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Override PartName="/word/charts/chart77.xml" ContentType="application/vnd.openxmlformats-officedocument.drawingml.chart+xml"/>
  <Override PartName="/word/charts/chart79.xml" ContentType="application/vnd.openxmlformats-officedocument.drawingml.chart+xml"/>
  <Override PartName="/word/charts/chart8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91.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A2" w:rsidRPr="009D4DB9" w:rsidRDefault="00CF07A2" w:rsidP="00CF07A2">
      <w:pPr>
        <w:pStyle w:val="Heading1"/>
      </w:pPr>
      <w:r w:rsidRPr="009D4DB9">
        <w:t>Immigration, Réfugiés et Citoyenneté Canada</w:t>
      </w:r>
    </w:p>
    <w:p w:rsidR="00CF07A2" w:rsidRPr="009D4DB9" w:rsidRDefault="00CF07A2" w:rsidP="00CF07A2">
      <w:pPr>
        <w:jc w:val="both"/>
        <w:rPr>
          <w:b/>
          <w:lang w:val="fr-CA"/>
        </w:rPr>
      </w:pPr>
      <w:r w:rsidRPr="009D4DB9">
        <w:rPr>
          <w:rStyle w:val="Heading2Char"/>
        </w:rPr>
        <w:t>Rendement global</w:t>
      </w:r>
      <w:r w:rsidRPr="009A2BED">
        <w:rPr>
          <w:rStyle w:val="FootnoteReference"/>
          <w:b/>
          <w:lang w:val="fr-CA"/>
        </w:rPr>
        <w:footnoteReference w:id="1"/>
      </w:r>
    </w:p>
    <w:p w:rsidR="00CF07A2" w:rsidRPr="009A2BED" w:rsidRDefault="00CF07A2" w:rsidP="00CF07A2">
      <w:pPr>
        <w:jc w:val="both"/>
        <w:rPr>
          <w:lang w:val="fr-CA"/>
        </w:rPr>
      </w:pPr>
      <w:r w:rsidRPr="009A2BED">
        <w:rPr>
          <w:lang w:val="fr-CA"/>
        </w:rPr>
        <w:t>Immigration, Réfugiés et Citoyenneté Canada (IRCC)</w:t>
      </w:r>
      <w:r w:rsidRPr="009A2BED">
        <w:rPr>
          <w:rStyle w:val="FootnoteReference"/>
          <w:lang w:val="fr-CA"/>
        </w:rPr>
        <w:footnoteReference w:id="2"/>
      </w:r>
      <w:r>
        <w:rPr>
          <w:lang w:val="fr-CA"/>
        </w:rPr>
        <w:t xml:space="preserve"> a démontré</w:t>
      </w:r>
      <w:r w:rsidRPr="009A2BED">
        <w:rPr>
          <w:lang w:val="fr-CA"/>
        </w:rPr>
        <w:t xml:space="preserve"> un rendement similaire à celui de l’année précédente, malgré une augme</w:t>
      </w:r>
      <w:r>
        <w:rPr>
          <w:lang w:val="fr-CA"/>
        </w:rPr>
        <w:t xml:space="preserve">ntation du nombre de demandes de </w:t>
      </w:r>
      <w:r w:rsidRPr="009A2BED">
        <w:rPr>
          <w:lang w:val="fr-CA"/>
        </w:rPr>
        <w:t>16,3 %. Le présent rapport contient des statistiques comparatives pour les trois dernières périodes (2012 à 2015).</w:t>
      </w:r>
    </w:p>
    <w:p w:rsidR="00CF07A2" w:rsidRPr="009D4DB9" w:rsidRDefault="00CF07A2" w:rsidP="00CF07A2">
      <w:pPr>
        <w:pStyle w:val="Heading2"/>
      </w:pPr>
      <w:r w:rsidRPr="009D4DB9">
        <w:t>Charge de travail</w:t>
      </w:r>
    </w:p>
    <w:p w:rsidR="00CF07A2" w:rsidRPr="009A2BED" w:rsidRDefault="00CF07A2" w:rsidP="00CF07A2">
      <w:pPr>
        <w:jc w:val="both"/>
        <w:rPr>
          <w:lang w:val="fr-CA"/>
        </w:rPr>
      </w:pPr>
      <w:r w:rsidRPr="009A2BED">
        <w:rPr>
          <w:lang w:val="fr-CA"/>
        </w:rPr>
        <w:t>IRCC a</w:t>
      </w:r>
      <w:r>
        <w:rPr>
          <w:lang w:val="fr-CA"/>
        </w:rPr>
        <w:t xml:space="preserve"> de loin</w:t>
      </w:r>
      <w:r w:rsidRPr="009A2BED">
        <w:rPr>
          <w:lang w:val="fr-CA"/>
        </w:rPr>
        <w:t xml:space="preserve"> reçu</w:t>
      </w:r>
      <w:r>
        <w:rPr>
          <w:lang w:val="fr-CA"/>
        </w:rPr>
        <w:t xml:space="preserve"> </w:t>
      </w:r>
      <w:r w:rsidRPr="009A2BED">
        <w:rPr>
          <w:lang w:val="fr-CA"/>
        </w:rPr>
        <w:t>le plus grand nombre de demandes</w:t>
      </w:r>
      <w:r>
        <w:rPr>
          <w:lang w:val="fr-CA"/>
        </w:rPr>
        <w:t xml:space="preserve"> (</w:t>
      </w:r>
      <w:r w:rsidRPr="009A2BED">
        <w:rPr>
          <w:lang w:val="fr-CA"/>
        </w:rPr>
        <w:t>34 066</w:t>
      </w:r>
      <w:r>
        <w:rPr>
          <w:lang w:val="fr-CA"/>
        </w:rPr>
        <w:t>)</w:t>
      </w:r>
      <w:r w:rsidRPr="009A2BED">
        <w:rPr>
          <w:lang w:val="fr-CA"/>
        </w:rPr>
        <w:t xml:space="preserve"> en vertu de la </w:t>
      </w:r>
      <w:r w:rsidRPr="009A2BED">
        <w:rPr>
          <w:i/>
          <w:lang w:val="fr-CA"/>
        </w:rPr>
        <w:t>Loi sur l’accès à l‘information</w:t>
      </w:r>
      <w:r w:rsidRPr="009A2BED">
        <w:rPr>
          <w:lang w:val="fr-CA"/>
        </w:rPr>
        <w:t xml:space="preserve"> (la </w:t>
      </w:r>
      <w:r w:rsidRPr="009A2BED">
        <w:rPr>
          <w:i/>
          <w:lang w:val="fr-CA"/>
        </w:rPr>
        <w:t>Loi</w:t>
      </w:r>
      <w:r w:rsidRPr="009A2BED">
        <w:rPr>
          <w:lang w:val="fr-CA"/>
        </w:rPr>
        <w:t>), représentant 50</w:t>
      </w:r>
      <w:r>
        <w:rPr>
          <w:lang w:val="fr-CA"/>
        </w:rPr>
        <w:t>,0</w:t>
      </w:r>
      <w:r w:rsidRPr="009A2BED">
        <w:rPr>
          <w:lang w:val="fr-CA"/>
        </w:rPr>
        <w:t> % du nombre total de demandes reçues à l’échelle du gouvernement en 2014</w:t>
      </w:r>
      <w:r>
        <w:rPr>
          <w:lang w:val="fr-CA"/>
        </w:rPr>
        <w:t>-</w:t>
      </w:r>
      <w:r w:rsidRPr="009A2BED">
        <w:rPr>
          <w:lang w:val="fr-CA"/>
        </w:rPr>
        <w:t xml:space="preserve">2015. </w:t>
      </w:r>
      <w:r>
        <w:rPr>
          <w:lang w:val="fr-CA"/>
        </w:rPr>
        <w:t>Cela représente une augmentation de 16,3 % par rapport aux 29 281</w:t>
      </w:r>
      <w:r w:rsidRPr="009A2BED">
        <w:rPr>
          <w:lang w:val="fr-CA"/>
        </w:rPr>
        <w:t xml:space="preserve"> demandes</w:t>
      </w:r>
      <w:r>
        <w:rPr>
          <w:lang w:val="fr-CA"/>
        </w:rPr>
        <w:t xml:space="preserve"> reçues en</w:t>
      </w:r>
      <w:r w:rsidRPr="009A2BED">
        <w:rPr>
          <w:lang w:val="fr-CA"/>
        </w:rPr>
        <w:t xml:space="preserve"> 2013</w:t>
      </w:r>
      <w:r>
        <w:rPr>
          <w:lang w:val="fr-CA"/>
        </w:rPr>
        <w:t>-</w:t>
      </w:r>
      <w:r w:rsidRPr="009A2BED">
        <w:rPr>
          <w:lang w:val="fr-CA"/>
        </w:rPr>
        <w:t>2014. La plupart des demandes (52,3 %) provenaient du secteur privé, suivies de celles du public (36,5 </w:t>
      </w:r>
      <w:r>
        <w:rPr>
          <w:lang w:val="fr-CA"/>
        </w:rPr>
        <w:t>%).</w:t>
      </w:r>
    </w:p>
    <w:p w:rsidR="00CF07A2" w:rsidRPr="009A2BED" w:rsidRDefault="00CF07A2" w:rsidP="00CF07A2">
      <w:pPr>
        <w:jc w:val="both"/>
        <w:rPr>
          <w:lang w:val="fr-CA"/>
        </w:rPr>
      </w:pPr>
      <w:r w:rsidRPr="009A2BED">
        <w:rPr>
          <w:lang w:val="fr-CA"/>
        </w:rPr>
        <w:t xml:space="preserve">IRCC </w:t>
      </w:r>
      <w:r>
        <w:rPr>
          <w:lang w:val="fr-CA"/>
        </w:rPr>
        <w:t xml:space="preserve">a complété </w:t>
      </w:r>
      <w:r w:rsidRPr="009A2BED">
        <w:rPr>
          <w:lang w:val="fr-CA"/>
        </w:rPr>
        <w:t xml:space="preserve">33 524 demandes </w:t>
      </w:r>
      <w:r>
        <w:rPr>
          <w:lang w:val="fr-CA"/>
        </w:rPr>
        <w:t>durant</w:t>
      </w:r>
      <w:r w:rsidRPr="009A2BED">
        <w:rPr>
          <w:lang w:val="fr-CA"/>
        </w:rPr>
        <w:t xml:space="preserve"> cette période de référence. Le taux d’achèvement</w:t>
      </w:r>
      <w:r>
        <w:rPr>
          <w:rStyle w:val="FootnoteReference"/>
          <w:lang w:val="fr-CA"/>
        </w:rPr>
        <w:footnoteReference w:id="3"/>
      </w:r>
      <w:r w:rsidRPr="009A2BED">
        <w:rPr>
          <w:lang w:val="fr-CA"/>
        </w:rPr>
        <w:t xml:space="preserve"> était de 90,2 %, soit un taux supérieur à celui rapporté pour l’ensemble du gouvernement</w:t>
      </w:r>
      <w:r>
        <w:rPr>
          <w:lang w:val="fr-CA"/>
        </w:rPr>
        <w:t xml:space="preserve"> qui lui, </w:t>
      </w:r>
      <w:r w:rsidRPr="009A5A03">
        <w:rPr>
          <w:lang w:val="fr-CA"/>
        </w:rPr>
        <w:t>é</w:t>
      </w:r>
      <w:r>
        <w:rPr>
          <w:lang w:val="fr-CA"/>
        </w:rPr>
        <w:t>tait de 85,1 %</w:t>
      </w:r>
      <w:r w:rsidRPr="009A2BED">
        <w:rPr>
          <w:lang w:val="fr-CA"/>
        </w:rPr>
        <w:t>. En 2013</w:t>
      </w:r>
      <w:r>
        <w:rPr>
          <w:lang w:val="fr-CA"/>
        </w:rPr>
        <w:t>-</w:t>
      </w:r>
      <w:r w:rsidRPr="009A2BED">
        <w:rPr>
          <w:lang w:val="fr-CA"/>
        </w:rPr>
        <w:t xml:space="preserve">2014, le taux d’achèvement pour IRCC était de 89,8 %. IRCC a </w:t>
      </w:r>
      <w:r>
        <w:rPr>
          <w:lang w:val="fr-CA"/>
        </w:rPr>
        <w:t xml:space="preserve">aussi </w:t>
      </w:r>
      <w:r w:rsidRPr="009A2BED">
        <w:rPr>
          <w:lang w:val="fr-CA"/>
        </w:rPr>
        <w:t xml:space="preserve">reçu </w:t>
      </w:r>
      <w:r>
        <w:rPr>
          <w:lang w:val="fr-CA"/>
        </w:rPr>
        <w:t>899 </w:t>
      </w:r>
      <w:r w:rsidRPr="009A2BED">
        <w:rPr>
          <w:lang w:val="fr-CA"/>
        </w:rPr>
        <w:t>demandes in</w:t>
      </w:r>
      <w:r>
        <w:rPr>
          <w:lang w:val="fr-CA"/>
        </w:rPr>
        <w:t>formelles en 2014-</w:t>
      </w:r>
      <w:r w:rsidRPr="009A2BED">
        <w:rPr>
          <w:lang w:val="fr-CA"/>
        </w:rPr>
        <w:t xml:space="preserve">2015, dont 43,8 % </w:t>
      </w:r>
      <w:r>
        <w:rPr>
          <w:lang w:val="fr-CA"/>
        </w:rPr>
        <w:t xml:space="preserve">qui </w:t>
      </w:r>
      <w:r w:rsidRPr="009A2BED">
        <w:rPr>
          <w:lang w:val="fr-CA"/>
        </w:rPr>
        <w:t xml:space="preserve">ont été </w:t>
      </w:r>
      <w:r>
        <w:rPr>
          <w:lang w:val="fr-CA"/>
        </w:rPr>
        <w:t>complétées</w:t>
      </w:r>
      <w:r w:rsidRPr="009A2BED">
        <w:rPr>
          <w:lang w:val="fr-CA"/>
        </w:rPr>
        <w:t xml:space="preserve"> en 30 jours</w:t>
      </w:r>
      <w:r>
        <w:rPr>
          <w:lang w:val="fr-CA"/>
        </w:rPr>
        <w:t xml:space="preserve"> ou moins</w:t>
      </w:r>
      <w:r w:rsidRPr="009A2BED">
        <w:rPr>
          <w:lang w:val="fr-CA"/>
        </w:rPr>
        <w:t xml:space="preserve">. </w:t>
      </w:r>
      <w:r>
        <w:rPr>
          <w:lang w:val="fr-CA"/>
        </w:rPr>
        <w:t>L</w:t>
      </w:r>
      <w:r w:rsidRPr="00F30B08">
        <w:rPr>
          <w:lang w:val="fr-CA"/>
        </w:rPr>
        <w:t>e nombre de demandes de consultation reçues par IRCC en provenance d’autres institutions fédérales a augmenté de 178 à 222, ce qui représente une hausse 24,7 %.</w:t>
      </w:r>
    </w:p>
    <w:p w:rsidR="00CF07A2" w:rsidRPr="009A2BED" w:rsidRDefault="00CF07A2" w:rsidP="00CF07A2">
      <w:pPr>
        <w:jc w:val="both"/>
        <w:rPr>
          <w:lang w:val="fr-CA"/>
        </w:rPr>
      </w:pPr>
      <w:r>
        <w:rPr>
          <w:lang w:val="fr-CA"/>
        </w:rPr>
        <w:t>En 2014-</w:t>
      </w:r>
      <w:r w:rsidRPr="009A2BED">
        <w:rPr>
          <w:lang w:val="fr-CA"/>
        </w:rPr>
        <w:t>2015, IRCC a traité 1 615 772 pages, représentant une augmentation de 30</w:t>
      </w:r>
      <w:r>
        <w:rPr>
          <w:lang w:val="fr-CA"/>
        </w:rPr>
        <w:t>,2</w:t>
      </w:r>
      <w:r w:rsidRPr="009A2BED">
        <w:rPr>
          <w:lang w:val="fr-CA"/>
        </w:rPr>
        <w:t xml:space="preserve"> % par rapport à la période précédente. Le nombre moyen de pages traitées par demande </w:t>
      </w:r>
      <w:r>
        <w:rPr>
          <w:lang w:val="fr-CA"/>
        </w:rPr>
        <w:t>complétée</w:t>
      </w:r>
      <w:r w:rsidRPr="009A2BED">
        <w:rPr>
          <w:lang w:val="fr-CA"/>
        </w:rPr>
        <w:t xml:space="preserve"> a augmenté </w:t>
      </w:r>
      <w:r>
        <w:rPr>
          <w:lang w:val="fr-CA"/>
        </w:rPr>
        <w:t>légèrement</w:t>
      </w:r>
      <w:r w:rsidRPr="009A2BED">
        <w:rPr>
          <w:lang w:val="fr-CA"/>
        </w:rPr>
        <w:t>, de 48 en 2013</w:t>
      </w:r>
      <w:r>
        <w:rPr>
          <w:lang w:val="fr-CA"/>
        </w:rPr>
        <w:t>-</w:t>
      </w:r>
      <w:r w:rsidRPr="009A2BED">
        <w:rPr>
          <w:lang w:val="fr-CA"/>
        </w:rPr>
        <w:t>2014</w:t>
      </w:r>
      <w:r>
        <w:rPr>
          <w:lang w:val="fr-CA"/>
        </w:rPr>
        <w:t>,</w:t>
      </w:r>
      <w:r w:rsidRPr="009A2BED">
        <w:rPr>
          <w:lang w:val="fr-CA"/>
        </w:rPr>
        <w:t xml:space="preserve"> à 50 en 2014</w:t>
      </w:r>
      <w:r>
        <w:rPr>
          <w:lang w:val="fr-CA"/>
        </w:rPr>
        <w:t>-2015.</w:t>
      </w:r>
    </w:p>
    <w:p w:rsidR="00CF07A2" w:rsidRPr="009A2BED" w:rsidRDefault="00CF07A2" w:rsidP="00CF07A2">
      <w:pPr>
        <w:jc w:val="both"/>
        <w:rPr>
          <w:lang w:val="fr-CA"/>
        </w:rPr>
      </w:pPr>
      <w:r w:rsidRPr="009A2BED">
        <w:rPr>
          <w:lang w:val="fr-CA"/>
        </w:rPr>
        <w:t xml:space="preserve">L’information diffusée par IRCC était </w:t>
      </w:r>
      <w:r w:rsidRPr="00852FBB">
        <w:rPr>
          <w:lang w:val="fr-CA"/>
        </w:rPr>
        <w:t>majoritairement</w:t>
      </w:r>
      <w:r w:rsidRPr="009A2BED">
        <w:rPr>
          <w:lang w:val="fr-CA"/>
        </w:rPr>
        <w:t xml:space="preserve"> en format électronique : 29 164 demandes en format électronique</w:t>
      </w:r>
      <w:r>
        <w:rPr>
          <w:lang w:val="fr-CA"/>
        </w:rPr>
        <w:t xml:space="preserve"> par rapport </w:t>
      </w:r>
      <w:r w:rsidRPr="00B809D1">
        <w:rPr>
          <w:lang w:val="fr-CA"/>
        </w:rPr>
        <w:t>à</w:t>
      </w:r>
      <w:r w:rsidRPr="009A2BED">
        <w:rPr>
          <w:lang w:val="fr-CA"/>
        </w:rPr>
        <w:t xml:space="preserve"> 979 </w:t>
      </w:r>
      <w:r>
        <w:rPr>
          <w:lang w:val="fr-CA"/>
        </w:rPr>
        <w:t xml:space="preserve">demandes </w:t>
      </w:r>
      <w:r w:rsidRPr="009A2BED">
        <w:rPr>
          <w:lang w:val="fr-CA"/>
        </w:rPr>
        <w:t xml:space="preserve">en format papier. </w:t>
      </w:r>
      <w:r w:rsidRPr="00371449">
        <w:rPr>
          <w:lang w:val="fr-CA"/>
        </w:rPr>
        <w:t>Cela représente une importante réduction de 48,6 % du nombre de demandes communiquées en format papier par rapport à l’année précédent (1 906).</w:t>
      </w:r>
    </w:p>
    <w:p w:rsidR="00CF07A2" w:rsidRPr="00425180" w:rsidRDefault="00CF07A2" w:rsidP="00BA2BE8">
      <w:pPr>
        <w:pStyle w:val="Heading3"/>
      </w:pPr>
      <w:r>
        <w:t xml:space="preserve">Tableau </w:t>
      </w:r>
      <w:proofErr w:type="gramStart"/>
      <w:r>
        <w:t xml:space="preserve">1 </w:t>
      </w:r>
      <w:r w:rsidRPr="00425180">
        <w:t>:</w:t>
      </w:r>
      <w:proofErr w:type="gramEnd"/>
      <w:r w:rsidRPr="00425180">
        <w:t xml:space="preserve"> Charge de travail</w:t>
      </w:r>
    </w:p>
    <w:tbl>
      <w:tblPr>
        <w:tblW w:w="9442" w:type="dxa"/>
        <w:tblInd w:w="98" w:type="dxa"/>
        <w:tblLook w:val="04A0"/>
      </w:tblPr>
      <w:tblGrid>
        <w:gridCol w:w="4259"/>
        <w:gridCol w:w="1562"/>
        <w:gridCol w:w="1864"/>
        <w:gridCol w:w="1757"/>
      </w:tblGrid>
      <w:tr w:rsidR="00CF07A2" w:rsidRPr="009A2BED" w:rsidTr="00CF07A2">
        <w:trPr>
          <w:trHeight w:val="315"/>
        </w:trPr>
        <w:tc>
          <w:tcPr>
            <w:tcW w:w="4259" w:type="dxa"/>
            <w:tcBorders>
              <w:top w:val="single" w:sz="4" w:space="0" w:color="auto"/>
              <w:left w:val="single" w:sz="4" w:space="0" w:color="auto"/>
              <w:right w:val="nil"/>
            </w:tcBorders>
            <w:shd w:val="clear" w:color="auto" w:fill="auto"/>
            <w:noWrap/>
            <w:vAlign w:val="bottom"/>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Mesures</w:t>
            </w:r>
          </w:p>
        </w:tc>
        <w:tc>
          <w:tcPr>
            <w:tcW w:w="1562" w:type="dxa"/>
            <w:tcBorders>
              <w:top w:val="single" w:sz="4" w:space="0" w:color="auto"/>
              <w:left w:val="nil"/>
              <w:right w:val="nil"/>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2012-2013</w:t>
            </w:r>
          </w:p>
        </w:tc>
        <w:tc>
          <w:tcPr>
            <w:tcW w:w="1864" w:type="dxa"/>
            <w:tcBorders>
              <w:top w:val="single" w:sz="4" w:space="0" w:color="auto"/>
              <w:left w:val="nil"/>
              <w:right w:val="nil"/>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2013-2014</w:t>
            </w:r>
          </w:p>
        </w:tc>
        <w:tc>
          <w:tcPr>
            <w:tcW w:w="1757" w:type="dxa"/>
            <w:tcBorders>
              <w:top w:val="single" w:sz="4" w:space="0" w:color="auto"/>
              <w:left w:val="nil"/>
              <w:right w:val="single" w:sz="4" w:space="0" w:color="auto"/>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2014-2015</w:t>
            </w:r>
          </w:p>
        </w:tc>
      </w:tr>
      <w:tr w:rsidR="00CF07A2" w:rsidRPr="009A2BED" w:rsidTr="00CF07A2">
        <w:trPr>
          <w:trHeight w:val="360"/>
        </w:trPr>
        <w:tc>
          <w:tcPr>
            <w:tcW w:w="4259" w:type="dxa"/>
            <w:tcBorders>
              <w:top w:val="nil"/>
              <w:left w:val="single" w:sz="4" w:space="0" w:color="auto"/>
              <w:bottom w:val="nil"/>
              <w:right w:val="nil"/>
            </w:tcBorders>
            <w:shd w:val="clear" w:color="000000" w:fill="DBE5F1"/>
            <w:noWrap/>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 xml:space="preserve">Nombre de demandes reçues </w:t>
            </w:r>
          </w:p>
        </w:tc>
        <w:tc>
          <w:tcPr>
            <w:tcW w:w="1562" w:type="dxa"/>
            <w:tcBorders>
              <w:top w:val="nil"/>
              <w:left w:val="nil"/>
              <w:bottom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25 010</w:t>
            </w:r>
          </w:p>
        </w:tc>
        <w:tc>
          <w:tcPr>
            <w:tcW w:w="1864" w:type="dxa"/>
            <w:tcBorders>
              <w:top w:val="nil"/>
              <w:left w:val="nil"/>
              <w:bottom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29 281</w:t>
            </w:r>
          </w:p>
        </w:tc>
        <w:tc>
          <w:tcPr>
            <w:tcW w:w="1757" w:type="dxa"/>
            <w:tcBorders>
              <w:top w:val="nil"/>
              <w:left w:val="nil"/>
              <w:bottom w:val="nil"/>
              <w:right w:val="single" w:sz="4" w:space="0" w:color="auto"/>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34 066</w:t>
            </w:r>
          </w:p>
        </w:tc>
      </w:tr>
      <w:tr w:rsidR="00CF07A2" w:rsidRPr="009A2BED" w:rsidTr="00CF07A2">
        <w:trPr>
          <w:trHeight w:val="360"/>
        </w:trPr>
        <w:tc>
          <w:tcPr>
            <w:tcW w:w="4259" w:type="dxa"/>
            <w:tcBorders>
              <w:top w:val="nil"/>
              <w:left w:val="single" w:sz="4" w:space="0" w:color="auto"/>
              <w:bottom w:val="nil"/>
              <w:right w:val="nil"/>
            </w:tcBorders>
            <w:shd w:val="clear" w:color="auto" w:fill="auto"/>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Variation annuelle en %</w:t>
            </w:r>
          </w:p>
        </w:tc>
        <w:tc>
          <w:tcPr>
            <w:tcW w:w="1562" w:type="dxa"/>
            <w:tcBorders>
              <w:top w:val="nil"/>
              <w:left w:val="nil"/>
              <w:bottom w:val="nil"/>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w:t>
            </w:r>
          </w:p>
        </w:tc>
        <w:tc>
          <w:tcPr>
            <w:tcW w:w="1864" w:type="dxa"/>
            <w:tcBorders>
              <w:top w:val="nil"/>
              <w:left w:val="nil"/>
              <w:bottom w:val="nil"/>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17,1 %</w:t>
            </w:r>
          </w:p>
        </w:tc>
        <w:tc>
          <w:tcPr>
            <w:tcW w:w="1757" w:type="dxa"/>
            <w:tcBorders>
              <w:top w:val="nil"/>
              <w:left w:val="nil"/>
              <w:bottom w:val="nil"/>
              <w:right w:val="single" w:sz="4" w:space="0" w:color="auto"/>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16,3 %</w:t>
            </w:r>
          </w:p>
        </w:tc>
      </w:tr>
      <w:tr w:rsidR="00CF07A2" w:rsidRPr="009A2BED" w:rsidTr="00CF07A2">
        <w:trPr>
          <w:trHeight w:val="300"/>
        </w:trPr>
        <w:tc>
          <w:tcPr>
            <w:tcW w:w="4259" w:type="dxa"/>
            <w:tcBorders>
              <w:top w:val="nil"/>
              <w:left w:val="single" w:sz="4" w:space="0" w:color="auto"/>
              <w:bottom w:val="nil"/>
              <w:right w:val="nil"/>
            </w:tcBorders>
            <w:shd w:val="clear" w:color="000000" w:fill="DBE5F1"/>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562" w:type="dxa"/>
            <w:tcBorders>
              <w:top w:val="nil"/>
              <w:left w:val="nil"/>
              <w:bottom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26 020</w:t>
            </w:r>
          </w:p>
        </w:tc>
        <w:tc>
          <w:tcPr>
            <w:tcW w:w="1864" w:type="dxa"/>
            <w:tcBorders>
              <w:top w:val="nil"/>
              <w:left w:val="nil"/>
              <w:bottom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27 407</w:t>
            </w:r>
          </w:p>
        </w:tc>
        <w:tc>
          <w:tcPr>
            <w:tcW w:w="1757" w:type="dxa"/>
            <w:tcBorders>
              <w:top w:val="nil"/>
              <w:left w:val="nil"/>
              <w:bottom w:val="nil"/>
              <w:right w:val="single" w:sz="4" w:space="0" w:color="auto"/>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33 524</w:t>
            </w:r>
          </w:p>
        </w:tc>
      </w:tr>
      <w:tr w:rsidR="00CF07A2" w:rsidRPr="009A2BED" w:rsidTr="00CF07A2">
        <w:trPr>
          <w:trHeight w:val="315"/>
        </w:trPr>
        <w:tc>
          <w:tcPr>
            <w:tcW w:w="4259" w:type="dxa"/>
            <w:tcBorders>
              <w:top w:val="nil"/>
              <w:left w:val="single" w:sz="4" w:space="0" w:color="auto"/>
              <w:right w:val="nil"/>
            </w:tcBorders>
            <w:shd w:val="clear" w:color="auto" w:fill="auto"/>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Variation annuelle en %</w:t>
            </w:r>
          </w:p>
        </w:tc>
        <w:tc>
          <w:tcPr>
            <w:tcW w:w="1562" w:type="dxa"/>
            <w:tcBorders>
              <w:top w:val="nil"/>
              <w:left w:val="nil"/>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w:t>
            </w:r>
          </w:p>
        </w:tc>
        <w:tc>
          <w:tcPr>
            <w:tcW w:w="1864" w:type="dxa"/>
            <w:tcBorders>
              <w:top w:val="nil"/>
              <w:left w:val="nil"/>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5,3 %</w:t>
            </w:r>
          </w:p>
        </w:tc>
        <w:tc>
          <w:tcPr>
            <w:tcW w:w="1757" w:type="dxa"/>
            <w:tcBorders>
              <w:top w:val="nil"/>
              <w:left w:val="nil"/>
              <w:right w:val="single" w:sz="4" w:space="0" w:color="auto"/>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22,3 %</w:t>
            </w:r>
          </w:p>
        </w:tc>
      </w:tr>
      <w:tr w:rsidR="00CF07A2" w:rsidRPr="009A2BED" w:rsidTr="00CF07A2">
        <w:trPr>
          <w:trHeight w:val="570"/>
        </w:trPr>
        <w:tc>
          <w:tcPr>
            <w:tcW w:w="4259" w:type="dxa"/>
            <w:tcBorders>
              <w:top w:val="nil"/>
              <w:left w:val="single" w:sz="4" w:space="0" w:color="auto"/>
              <w:right w:val="nil"/>
            </w:tcBorders>
            <w:shd w:val="clear" w:color="000000" w:fill="DBE5F1"/>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lastRenderedPageBreak/>
              <w:t>Nom</w:t>
            </w:r>
            <w:r>
              <w:rPr>
                <w:rFonts w:ascii="Calibri" w:eastAsia="Times New Roman" w:hAnsi="Calibri" w:cs="Times New Roman"/>
                <w:color w:val="000000"/>
                <w:lang w:val="fr-CA"/>
              </w:rPr>
              <w:t>bre de demandes de consultation</w:t>
            </w:r>
            <w:r w:rsidRPr="009A2BED">
              <w:rPr>
                <w:rFonts w:ascii="Calibri" w:eastAsia="Times New Roman" w:hAnsi="Calibri" w:cs="Times New Roman"/>
                <w:color w:val="000000"/>
                <w:lang w:val="fr-CA"/>
              </w:rPr>
              <w:t xml:space="preserve"> reçues (d’autres institutions fédérales)</w:t>
            </w:r>
          </w:p>
        </w:tc>
        <w:tc>
          <w:tcPr>
            <w:tcW w:w="1562" w:type="dxa"/>
            <w:tcBorders>
              <w:top w:val="nil"/>
              <w:left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188</w:t>
            </w:r>
          </w:p>
        </w:tc>
        <w:tc>
          <w:tcPr>
            <w:tcW w:w="1864" w:type="dxa"/>
            <w:tcBorders>
              <w:top w:val="nil"/>
              <w:left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178</w:t>
            </w:r>
          </w:p>
        </w:tc>
        <w:tc>
          <w:tcPr>
            <w:tcW w:w="1757" w:type="dxa"/>
            <w:tcBorders>
              <w:top w:val="nil"/>
              <w:left w:val="nil"/>
              <w:right w:val="single" w:sz="4" w:space="0" w:color="auto"/>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222</w:t>
            </w:r>
          </w:p>
        </w:tc>
      </w:tr>
      <w:tr w:rsidR="00CF07A2" w:rsidRPr="009A2BED" w:rsidTr="00CF07A2">
        <w:trPr>
          <w:trHeight w:val="480"/>
        </w:trPr>
        <w:tc>
          <w:tcPr>
            <w:tcW w:w="4259" w:type="dxa"/>
            <w:tcBorders>
              <w:top w:val="nil"/>
              <w:left w:val="single" w:sz="4" w:space="0" w:color="auto"/>
              <w:right w:val="nil"/>
            </w:tcBorders>
            <w:shd w:val="clear" w:color="auto" w:fill="auto"/>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Variation annuelle en %</w:t>
            </w:r>
          </w:p>
        </w:tc>
        <w:tc>
          <w:tcPr>
            <w:tcW w:w="1562" w:type="dxa"/>
            <w:tcBorders>
              <w:top w:val="nil"/>
              <w:left w:val="nil"/>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w:t>
            </w:r>
          </w:p>
        </w:tc>
        <w:tc>
          <w:tcPr>
            <w:tcW w:w="1864" w:type="dxa"/>
            <w:tcBorders>
              <w:top w:val="nil"/>
              <w:left w:val="nil"/>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-5,3 %</w:t>
            </w:r>
          </w:p>
        </w:tc>
        <w:tc>
          <w:tcPr>
            <w:tcW w:w="1757" w:type="dxa"/>
            <w:tcBorders>
              <w:top w:val="nil"/>
              <w:left w:val="nil"/>
              <w:right w:val="single" w:sz="4" w:space="0" w:color="auto"/>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24,7 %</w:t>
            </w:r>
          </w:p>
        </w:tc>
      </w:tr>
      <w:tr w:rsidR="00CF07A2" w:rsidRPr="009A2BED" w:rsidTr="00CF07A2">
        <w:trPr>
          <w:trHeight w:val="615"/>
        </w:trPr>
        <w:tc>
          <w:tcPr>
            <w:tcW w:w="4259" w:type="dxa"/>
            <w:tcBorders>
              <w:left w:val="single" w:sz="4" w:space="0" w:color="auto"/>
              <w:bottom w:val="nil"/>
              <w:right w:val="nil"/>
            </w:tcBorders>
            <w:shd w:val="clear" w:color="000000" w:fill="DBE5F1"/>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Nombre moyen de pages traitées par demande réglée</w:t>
            </w:r>
          </w:p>
        </w:tc>
        <w:tc>
          <w:tcPr>
            <w:tcW w:w="1562" w:type="dxa"/>
            <w:tcBorders>
              <w:left w:val="nil"/>
              <w:bottom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59</w:t>
            </w:r>
          </w:p>
        </w:tc>
        <w:tc>
          <w:tcPr>
            <w:tcW w:w="1864" w:type="dxa"/>
            <w:tcBorders>
              <w:left w:val="nil"/>
              <w:bottom w:val="nil"/>
              <w:right w:val="nil"/>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48</w:t>
            </w:r>
          </w:p>
        </w:tc>
        <w:tc>
          <w:tcPr>
            <w:tcW w:w="1757" w:type="dxa"/>
            <w:tcBorders>
              <w:left w:val="nil"/>
              <w:bottom w:val="nil"/>
              <w:right w:val="single" w:sz="4" w:space="0" w:color="auto"/>
            </w:tcBorders>
            <w:shd w:val="clear" w:color="000000" w:fill="DBE5F1"/>
            <w:noWrap/>
            <w:vAlign w:val="center"/>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50</w:t>
            </w:r>
          </w:p>
        </w:tc>
      </w:tr>
      <w:tr w:rsidR="00CF07A2" w:rsidRPr="009A2BED" w:rsidTr="00CF07A2">
        <w:trPr>
          <w:trHeight w:val="540"/>
        </w:trPr>
        <w:tc>
          <w:tcPr>
            <w:tcW w:w="4259" w:type="dxa"/>
            <w:tcBorders>
              <w:top w:val="nil"/>
              <w:left w:val="single" w:sz="4" w:space="0" w:color="auto"/>
              <w:bottom w:val="single" w:sz="4" w:space="0" w:color="auto"/>
              <w:right w:val="nil"/>
            </w:tcBorders>
            <w:shd w:val="clear" w:color="auto" w:fill="auto"/>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 xml:space="preserve">% des demandes pour lesquelles plus de </w:t>
            </w:r>
            <w:r>
              <w:rPr>
                <w:rFonts w:ascii="Calibri" w:eastAsia="Times New Roman" w:hAnsi="Calibri" w:cs="Times New Roman"/>
                <w:color w:val="000000"/>
                <w:lang w:val="fr-CA"/>
              </w:rPr>
              <w:t>1 000 </w:t>
            </w:r>
            <w:r w:rsidRPr="009A2BED">
              <w:rPr>
                <w:rFonts w:ascii="Calibri" w:eastAsia="Times New Roman" w:hAnsi="Calibri" w:cs="Times New Roman"/>
                <w:color w:val="000000"/>
                <w:lang w:val="fr-CA"/>
              </w:rPr>
              <w:t>pages ont été traitées</w:t>
            </w:r>
          </w:p>
        </w:tc>
        <w:tc>
          <w:tcPr>
            <w:tcW w:w="1562" w:type="dxa"/>
            <w:tcBorders>
              <w:top w:val="nil"/>
              <w:left w:val="nil"/>
              <w:bottom w:val="single" w:sz="4" w:space="0" w:color="auto"/>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0,3 %</w:t>
            </w:r>
          </w:p>
        </w:tc>
        <w:tc>
          <w:tcPr>
            <w:tcW w:w="1864" w:type="dxa"/>
            <w:tcBorders>
              <w:top w:val="nil"/>
              <w:left w:val="nil"/>
              <w:bottom w:val="single" w:sz="4" w:space="0" w:color="auto"/>
              <w:right w:val="nil"/>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0,2 %</w:t>
            </w:r>
          </w:p>
        </w:tc>
        <w:tc>
          <w:tcPr>
            <w:tcW w:w="1757" w:type="dxa"/>
            <w:tcBorders>
              <w:top w:val="nil"/>
              <w:left w:val="nil"/>
              <w:bottom w:val="single" w:sz="4" w:space="0" w:color="auto"/>
              <w:right w:val="single" w:sz="4" w:space="0" w:color="auto"/>
            </w:tcBorders>
            <w:shd w:val="clear" w:color="auto" w:fill="auto"/>
            <w:noWrap/>
            <w:vAlign w:val="center"/>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0,2 %</w:t>
            </w:r>
          </w:p>
        </w:tc>
      </w:tr>
    </w:tbl>
    <w:p w:rsidR="00CF07A2" w:rsidRDefault="00CF07A2" w:rsidP="00CF07A2">
      <w:pPr>
        <w:pStyle w:val="Heading2"/>
        <w:spacing w:before="240"/>
      </w:pPr>
      <w:r w:rsidRPr="009D4DB9">
        <w:t>Délai de traitement</w:t>
      </w:r>
    </w:p>
    <w:p w:rsidR="00CF07A2" w:rsidRPr="009D4DB9" w:rsidRDefault="00CF07A2" w:rsidP="00CF07A2">
      <w:pPr>
        <w:pStyle w:val="Heading4"/>
      </w:pPr>
      <w:r w:rsidRPr="009D4DB9">
        <w:t>Rapidité</w:t>
      </w:r>
    </w:p>
    <w:p w:rsidR="00CF07A2" w:rsidRPr="009A2BED" w:rsidRDefault="00CF07A2" w:rsidP="00CF07A2">
      <w:pPr>
        <w:jc w:val="both"/>
        <w:rPr>
          <w:lang w:val="fr-CA"/>
        </w:rPr>
      </w:pPr>
      <w:r w:rsidRPr="009A2BED">
        <w:rPr>
          <w:lang w:val="fr-CA"/>
        </w:rPr>
        <w:t xml:space="preserve">La figure 1 révèle que 69,3 % des demandes ont été </w:t>
      </w:r>
      <w:r>
        <w:rPr>
          <w:lang w:val="fr-CA"/>
        </w:rPr>
        <w:t>complétées</w:t>
      </w:r>
      <w:r w:rsidRPr="009A2BED">
        <w:rPr>
          <w:lang w:val="fr-CA"/>
        </w:rPr>
        <w:t xml:space="preserve"> en 30 jours ou moins, un résultat supérieur à celui observé en 2013</w:t>
      </w:r>
      <w:r>
        <w:rPr>
          <w:lang w:val="fr-CA"/>
        </w:rPr>
        <w:t>-</w:t>
      </w:r>
      <w:r w:rsidRPr="009A2BED">
        <w:rPr>
          <w:lang w:val="fr-CA"/>
        </w:rPr>
        <w:t xml:space="preserve">2014 (67,2 %). Le pourcentage de demandes </w:t>
      </w:r>
      <w:r>
        <w:rPr>
          <w:lang w:val="fr-CA"/>
        </w:rPr>
        <w:t>complétées</w:t>
      </w:r>
      <w:r w:rsidRPr="009A2BED">
        <w:rPr>
          <w:lang w:val="fr-CA"/>
        </w:rPr>
        <w:t xml:space="preserve"> entr</w:t>
      </w:r>
      <w:r>
        <w:rPr>
          <w:lang w:val="fr-CA"/>
        </w:rPr>
        <w:t>e 61 et 120 jours a diminué de 3,7</w:t>
      </w:r>
      <w:r w:rsidRPr="009A2BED">
        <w:rPr>
          <w:lang w:val="fr-CA"/>
        </w:rPr>
        <w:t xml:space="preserve"> % par rapport </w:t>
      </w:r>
      <w:r>
        <w:rPr>
          <w:lang w:val="fr-CA"/>
        </w:rPr>
        <w:t>à la période précédente.</w:t>
      </w:r>
    </w:p>
    <w:p w:rsidR="00CF07A2" w:rsidRPr="00EC4ED1" w:rsidRDefault="00CF07A2" w:rsidP="00BA2BE8">
      <w:pPr>
        <w:pStyle w:val="Heading3"/>
        <w:rPr>
          <w:lang w:val="fr-FR"/>
        </w:rPr>
      </w:pPr>
      <w:r w:rsidRPr="00EC4ED1">
        <w:rPr>
          <w:lang w:val="fr-FR"/>
        </w:rPr>
        <w:t>Figure 1 : Délai de trait</w:t>
      </w:r>
      <w:r>
        <w:rPr>
          <w:lang w:val="fr-FR"/>
        </w:rPr>
        <w:t>ement des demandes</w:t>
      </w:r>
    </w:p>
    <w:p w:rsidR="00CF07A2" w:rsidRPr="009D4DB9" w:rsidRDefault="00CF07A2" w:rsidP="00CF07A2">
      <w:pPr>
        <w:spacing w:line="240" w:lineRule="auto"/>
        <w:rPr>
          <w:lang w:val="fr-CA"/>
        </w:rPr>
      </w:pPr>
      <w:r w:rsidRPr="003C334A">
        <w:rPr>
          <w:noProof/>
          <w:color w:val="FF0000"/>
          <w:sz w:val="24"/>
          <w:szCs w:val="24"/>
        </w:rPr>
        <w:drawing>
          <wp:inline distT="0" distB="0" distL="0" distR="0">
            <wp:extent cx="6082748" cy="426985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07A2" w:rsidRPr="009D4DB9" w:rsidRDefault="00CF07A2" w:rsidP="00CF07A2">
      <w:pPr>
        <w:pStyle w:val="Heading4"/>
      </w:pPr>
      <w:r w:rsidRPr="009D4DB9">
        <w:t>Prorogations</w:t>
      </w:r>
    </w:p>
    <w:p w:rsidR="00CF07A2" w:rsidRPr="00FE13A5" w:rsidRDefault="00CF07A2" w:rsidP="00CF07A2">
      <w:pPr>
        <w:jc w:val="both"/>
        <w:rPr>
          <w:lang w:val="fr-CA"/>
        </w:rPr>
      </w:pPr>
      <w:r w:rsidRPr="00FE13A5">
        <w:rPr>
          <w:lang w:val="fr-CA"/>
        </w:rPr>
        <w:lastRenderedPageBreak/>
        <w:t>IRCC a eu recours à 1 465 prorogations en 2014</w:t>
      </w:r>
      <w:r>
        <w:rPr>
          <w:lang w:val="fr-CA"/>
        </w:rPr>
        <w:t>-</w:t>
      </w:r>
      <w:r w:rsidRPr="00FE13A5">
        <w:rPr>
          <w:lang w:val="fr-CA"/>
        </w:rPr>
        <w:t>2015 par rapport à 1 531 en 2013</w:t>
      </w:r>
      <w:r>
        <w:rPr>
          <w:lang w:val="fr-CA"/>
        </w:rPr>
        <w:t>-</w:t>
      </w:r>
      <w:r w:rsidRPr="00FE13A5">
        <w:rPr>
          <w:lang w:val="fr-CA"/>
        </w:rPr>
        <w:t>2014. L’entrave au fonctionnement de l’institution était la raison la plus fréquemment invoquée pour demander une prorogation, représentant 60,3 % du total des prorogations demandées, suivie des demandes de consultation (37,7 %) et des avis auprès de tiers (2,0 %).</w:t>
      </w:r>
    </w:p>
    <w:p w:rsidR="00CF07A2" w:rsidRPr="00FE13A5" w:rsidRDefault="00CF07A2" w:rsidP="00CF07A2">
      <w:pPr>
        <w:jc w:val="both"/>
        <w:rPr>
          <w:lang w:val="fr-CA"/>
        </w:rPr>
      </w:pPr>
      <w:r w:rsidRPr="00FE13A5">
        <w:rPr>
          <w:lang w:val="fr-CA"/>
        </w:rPr>
        <w:t>La figure 2 montre que 19,6 % des prorogations en 2014</w:t>
      </w:r>
      <w:r>
        <w:rPr>
          <w:lang w:val="fr-CA"/>
        </w:rPr>
        <w:t>-</w:t>
      </w:r>
      <w:r w:rsidRPr="00FE13A5">
        <w:rPr>
          <w:lang w:val="fr-CA"/>
        </w:rPr>
        <w:t>2015 étaient de 30 jours ou moins, un résultat supérieur à celui de l’année dernière. Cependant, par rapport à 2012</w:t>
      </w:r>
      <w:r>
        <w:rPr>
          <w:lang w:val="fr-CA"/>
        </w:rPr>
        <w:t>-</w:t>
      </w:r>
      <w:r w:rsidRPr="00FE13A5">
        <w:rPr>
          <w:lang w:val="fr-CA"/>
        </w:rPr>
        <w:t>2013, la part des prorogations de moins de 30 jours a chuté de façon considérable</w:t>
      </w:r>
      <w:r w:rsidRPr="00FE13A5">
        <w:rPr>
          <w:lang w:val="fr-FR"/>
        </w:rPr>
        <w:t xml:space="preserve"> </w:t>
      </w:r>
      <w:r>
        <w:rPr>
          <w:lang w:val="fr-CA"/>
        </w:rPr>
        <w:t>en 2013-</w:t>
      </w:r>
      <w:r w:rsidRPr="00FE13A5">
        <w:rPr>
          <w:lang w:val="fr-CA"/>
        </w:rPr>
        <w:t>2014. La proportion de prorogations de 31 à 60 jours a passé de 86,4% en 2013-2014 à 60,7% en 2014-2015.</w:t>
      </w:r>
    </w:p>
    <w:p w:rsidR="00CF07A2" w:rsidRPr="00423F8F" w:rsidRDefault="00CF07A2" w:rsidP="00BA2BE8">
      <w:pPr>
        <w:pStyle w:val="Heading3"/>
        <w:rPr>
          <w:lang w:val="fr-FR"/>
        </w:rPr>
      </w:pPr>
      <w:r w:rsidRPr="00423F8F">
        <w:rPr>
          <w:lang w:val="fr-FR"/>
        </w:rPr>
        <w:t>Figure 2 : Duré</w:t>
      </w:r>
      <w:r>
        <w:rPr>
          <w:lang w:val="fr-FR"/>
        </w:rPr>
        <w:t>e des prorogations</w:t>
      </w:r>
    </w:p>
    <w:p w:rsidR="00CF07A2" w:rsidRPr="009A2BED" w:rsidRDefault="00CF07A2" w:rsidP="00CF07A2">
      <w:pPr>
        <w:rPr>
          <w:b/>
          <w:noProof/>
          <w:lang w:val="fr-CA"/>
        </w:rPr>
      </w:pPr>
      <w:r w:rsidRPr="003C334A">
        <w:rPr>
          <w:b/>
          <w:noProof/>
        </w:rPr>
        <w:drawing>
          <wp:inline distT="0" distB="0" distL="0" distR="0">
            <wp:extent cx="6019137" cy="4031311"/>
            <wp:effectExtent l="0" t="0" r="127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07A2" w:rsidRPr="009D4DB9" w:rsidRDefault="00CF07A2" w:rsidP="00CF07A2">
      <w:pPr>
        <w:pStyle w:val="Heading4"/>
      </w:pPr>
      <w:r>
        <w:t>Présomptions de refus</w:t>
      </w:r>
    </w:p>
    <w:p w:rsidR="00CF07A2" w:rsidRPr="00FE13A5" w:rsidRDefault="00CF07A2" w:rsidP="00CF07A2">
      <w:pPr>
        <w:jc w:val="both"/>
        <w:rPr>
          <w:lang w:val="fr-CA"/>
        </w:rPr>
      </w:pPr>
      <w:r w:rsidRPr="00FE13A5">
        <w:rPr>
          <w:lang w:val="fr-CA"/>
        </w:rPr>
        <w:t>En 2014-2015, 3 706 demandes ont été fermées après l’échéancier réglementaire, ce qui représente 11,1 % de toutes les demandes complétées. Ce résultat représente une note de « C »</w:t>
      </w:r>
      <w:r w:rsidRPr="00FE13A5">
        <w:rPr>
          <w:rStyle w:val="FootnoteReference"/>
          <w:lang w:val="fr-CA"/>
        </w:rPr>
        <w:footnoteReference w:id="4"/>
      </w:r>
      <w:r w:rsidRPr="00FE13A5">
        <w:rPr>
          <w:lang w:val="fr-CA"/>
        </w:rPr>
        <w:t>. La charge de travail constitue la principale raison invoquée pour justifier les demandes échues (pour 97,9 % des demandes fermées après l’échéancier réglementaire fédéral).</w:t>
      </w:r>
    </w:p>
    <w:p w:rsidR="00CF07A2" w:rsidRPr="00FE13A5" w:rsidRDefault="00CF07A2" w:rsidP="00CF07A2">
      <w:pPr>
        <w:jc w:val="both"/>
        <w:rPr>
          <w:lang w:val="fr-CA"/>
        </w:rPr>
      </w:pPr>
      <w:r w:rsidRPr="00FE13A5">
        <w:rPr>
          <w:lang w:val="fr-CA"/>
        </w:rPr>
        <w:lastRenderedPageBreak/>
        <w:t>La figure 3 montre que 59,4 % des demandes échues étaient en retard de 15 jours ou moins, 8,6 % des demandes étaient en retard de 16 à 30 jours et 8,9 % étaient en retard de 61 à 120 jours; 2,9 % des demandes échues ont pris plus de 365 jours à traiter. En 2013-2014, 53,3 % des demandes échues ont été traitées dans un délai de 15 jours.</w:t>
      </w:r>
    </w:p>
    <w:p w:rsidR="00CF07A2" w:rsidRPr="00EC4ED1" w:rsidRDefault="00CF07A2" w:rsidP="00BA2BE8">
      <w:pPr>
        <w:pStyle w:val="Heading3"/>
        <w:rPr>
          <w:lang w:val="fr-FR"/>
        </w:rPr>
      </w:pPr>
      <w:r w:rsidRPr="00EC4ED1">
        <w:rPr>
          <w:lang w:val="fr-FR"/>
        </w:rPr>
        <w:t>Figure 3 : Retard</w:t>
      </w:r>
      <w:r>
        <w:rPr>
          <w:lang w:val="fr-FR"/>
        </w:rPr>
        <w:t xml:space="preserve"> des demandes échues</w:t>
      </w:r>
    </w:p>
    <w:p w:rsidR="00CF07A2" w:rsidRPr="003E02ED" w:rsidRDefault="00CF07A2" w:rsidP="00CF07A2">
      <w:pPr>
        <w:rPr>
          <w:b/>
          <w:lang w:val="fr-CA"/>
        </w:rPr>
      </w:pPr>
      <w:r w:rsidRPr="003C334A">
        <w:rPr>
          <w:b/>
          <w:noProof/>
        </w:rPr>
        <w:drawing>
          <wp:inline distT="0" distB="0" distL="0" distR="0">
            <wp:extent cx="5836257" cy="3904090"/>
            <wp:effectExtent l="0" t="0" r="12700" b="2032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07A2" w:rsidRPr="009D4DB9" w:rsidRDefault="00CF07A2" w:rsidP="00CF07A2">
      <w:pPr>
        <w:pStyle w:val="Heading2"/>
      </w:pPr>
      <w:r w:rsidRPr="009D4DB9">
        <w:t>Divulgation</w:t>
      </w:r>
    </w:p>
    <w:p w:rsidR="00CF07A2" w:rsidRPr="009D4DB9" w:rsidRDefault="00CF07A2" w:rsidP="00CF07A2">
      <w:pPr>
        <w:pStyle w:val="Heading4"/>
      </w:pPr>
      <w:r w:rsidRPr="009D4DB9">
        <w:t>Pourcentage de demandes pour lesquelle</w:t>
      </w:r>
      <w:r>
        <w:t>s l’information a été divulguée</w:t>
      </w:r>
    </w:p>
    <w:p w:rsidR="00CF07A2" w:rsidRDefault="00CF07A2" w:rsidP="00CF07A2">
      <w:pPr>
        <w:jc w:val="both"/>
        <w:rPr>
          <w:lang w:val="fr-CA"/>
        </w:rPr>
      </w:pPr>
      <w:r w:rsidRPr="009A2BED">
        <w:rPr>
          <w:lang w:val="fr-CA"/>
        </w:rPr>
        <w:t>En 2014</w:t>
      </w:r>
      <w:r>
        <w:rPr>
          <w:lang w:val="fr-CA"/>
        </w:rPr>
        <w:t>-</w:t>
      </w:r>
      <w:r w:rsidRPr="009A2BED">
        <w:rPr>
          <w:lang w:val="fr-CA"/>
        </w:rPr>
        <w:t xml:space="preserve">2015, 30,8 % des demandes </w:t>
      </w:r>
      <w:r>
        <w:rPr>
          <w:lang w:val="fr-CA"/>
        </w:rPr>
        <w:t>complétées</w:t>
      </w:r>
      <w:r w:rsidRPr="009A2BED">
        <w:rPr>
          <w:lang w:val="fr-CA"/>
        </w:rPr>
        <w:t xml:space="preserve"> ont fait l’objet d’une divulgation complète, ce qui représente un taux de divulgation complète inférieur à celui de la période précédente (3</w:t>
      </w:r>
      <w:r>
        <w:rPr>
          <w:lang w:val="fr-CA"/>
        </w:rPr>
        <w:t>3,4</w:t>
      </w:r>
      <w:r w:rsidRPr="009A2BED">
        <w:rPr>
          <w:lang w:val="fr-CA"/>
        </w:rPr>
        <w:t> %) (Voir figure 4). En 2014</w:t>
      </w:r>
      <w:r>
        <w:rPr>
          <w:lang w:val="fr-CA"/>
        </w:rPr>
        <w:t>-</w:t>
      </w:r>
      <w:r w:rsidRPr="009A2BED">
        <w:rPr>
          <w:lang w:val="fr-CA"/>
        </w:rPr>
        <w:t>2015, 62,9 % des demandes ont fait l’objet d’une divulgation partie</w:t>
      </w:r>
      <w:r>
        <w:rPr>
          <w:lang w:val="fr-CA"/>
        </w:rPr>
        <w:t xml:space="preserve">lle et 5,6 % </w:t>
      </w:r>
      <w:r w:rsidRPr="009B587A">
        <w:rPr>
          <w:lang w:val="fr-CA"/>
        </w:rPr>
        <w:t>des demandes ont été abandonnées</w:t>
      </w:r>
      <w:r>
        <w:rPr>
          <w:lang w:val="fr-CA"/>
        </w:rPr>
        <w:t xml:space="preserve"> représentant 1 893 demandes</w:t>
      </w:r>
      <w:r w:rsidRPr="009B587A">
        <w:rPr>
          <w:lang w:val="fr-CA"/>
        </w:rPr>
        <w:t>.</w:t>
      </w:r>
    </w:p>
    <w:p w:rsidR="00CF07A2" w:rsidRPr="00B42F54" w:rsidRDefault="00CF07A2" w:rsidP="00CF07A2">
      <w:pPr>
        <w:rPr>
          <w:lang w:val="fr-CA"/>
        </w:rPr>
      </w:pPr>
      <w:r>
        <w:rPr>
          <w:lang w:val="fr-CA"/>
        </w:rPr>
        <w:br w:type="page"/>
      </w:r>
    </w:p>
    <w:p w:rsidR="00CF07A2" w:rsidRPr="00006EDC" w:rsidRDefault="00CF07A2" w:rsidP="00BA2BE8">
      <w:pPr>
        <w:pStyle w:val="Heading3"/>
      </w:pPr>
      <w:r w:rsidRPr="00587CF7">
        <w:lastRenderedPageBreak/>
        <w:t xml:space="preserve">Figure </w:t>
      </w:r>
      <w:proofErr w:type="gramStart"/>
      <w:r w:rsidRPr="00587CF7">
        <w:t>4 :</w:t>
      </w:r>
      <w:proofErr w:type="gramEnd"/>
      <w:r w:rsidRPr="00587CF7">
        <w:t xml:space="preserve"> </w:t>
      </w:r>
      <w:proofErr w:type="spellStart"/>
      <w:r>
        <w:t>Niveau</w:t>
      </w:r>
      <w:proofErr w:type="spellEnd"/>
      <w:r w:rsidRPr="00587CF7">
        <w:t xml:space="preserve"> de divulgation</w:t>
      </w:r>
    </w:p>
    <w:p w:rsidR="00CF07A2" w:rsidRPr="009A2BED" w:rsidRDefault="00CF07A2" w:rsidP="00CF07A2">
      <w:pPr>
        <w:rPr>
          <w:lang w:val="fr-CA"/>
        </w:rPr>
      </w:pPr>
      <w:r w:rsidRPr="003C334A">
        <w:rPr>
          <w:noProof/>
        </w:rPr>
        <w:drawing>
          <wp:inline distT="0" distB="0" distL="0" distR="0">
            <wp:extent cx="5836257" cy="3967701"/>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07A2" w:rsidRPr="009D4DB9" w:rsidRDefault="00CF07A2" w:rsidP="00CF07A2">
      <w:pPr>
        <w:pStyle w:val="Heading4"/>
      </w:pPr>
      <w:r>
        <w:t>Exceptions</w:t>
      </w:r>
    </w:p>
    <w:p w:rsidR="00CF07A2" w:rsidRDefault="00CF07A2" w:rsidP="00CF07A2">
      <w:pPr>
        <w:jc w:val="both"/>
        <w:rPr>
          <w:lang w:val="fr-CA"/>
        </w:rPr>
      </w:pPr>
      <w:r w:rsidRPr="009A2BED">
        <w:rPr>
          <w:lang w:val="fr-CA"/>
        </w:rPr>
        <w:t xml:space="preserve">Le nombre moyen d’exceptions par demande </w:t>
      </w:r>
      <w:r>
        <w:rPr>
          <w:lang w:val="fr-CA"/>
        </w:rPr>
        <w:t>complétée</w:t>
      </w:r>
      <w:r w:rsidRPr="009A2BED">
        <w:rPr>
          <w:lang w:val="fr-CA"/>
        </w:rPr>
        <w:t xml:space="preserve"> a augmenté légèrement de 0,8</w:t>
      </w:r>
      <w:r>
        <w:rPr>
          <w:lang w:val="fr-CA"/>
        </w:rPr>
        <w:t>1</w:t>
      </w:r>
      <w:r w:rsidRPr="009A2BED">
        <w:rPr>
          <w:lang w:val="fr-CA"/>
        </w:rPr>
        <w:t xml:space="preserve"> en 2013</w:t>
      </w:r>
      <w:r>
        <w:rPr>
          <w:lang w:val="fr-CA"/>
        </w:rPr>
        <w:t>-2014 à 0,89</w:t>
      </w:r>
      <w:r w:rsidRPr="009A2BED">
        <w:rPr>
          <w:lang w:val="fr-CA"/>
        </w:rPr>
        <w:t xml:space="preserve"> </w:t>
      </w:r>
      <w:r w:rsidRPr="007714FB">
        <w:rPr>
          <w:lang w:val="fr-CA"/>
        </w:rPr>
        <w:t>en 2014</w:t>
      </w:r>
      <w:r>
        <w:rPr>
          <w:lang w:val="fr-CA"/>
        </w:rPr>
        <w:t>-</w:t>
      </w:r>
      <w:r w:rsidRPr="007714FB">
        <w:rPr>
          <w:lang w:val="fr-CA"/>
        </w:rPr>
        <w:t xml:space="preserve">2015 (voir tableau 2). </w:t>
      </w:r>
      <w:r w:rsidRPr="00F748F3">
        <w:rPr>
          <w:lang w:val="fr-CA"/>
        </w:rPr>
        <w:t>Les exceptions les plu</w:t>
      </w:r>
      <w:r>
        <w:rPr>
          <w:lang w:val="fr-CA"/>
        </w:rPr>
        <w:t>s fréquemment invoquées en 2014-</w:t>
      </w:r>
      <w:r w:rsidRPr="00F748F3">
        <w:rPr>
          <w:lang w:val="fr-CA"/>
        </w:rPr>
        <w:t>2015 étaient l’article 19 (renseignements personnels)</w:t>
      </w:r>
      <w:r>
        <w:rPr>
          <w:lang w:val="fr-CA"/>
        </w:rPr>
        <w:t xml:space="preserve"> (48,6</w:t>
      </w:r>
      <w:r w:rsidRPr="00F748F3">
        <w:rPr>
          <w:lang w:val="fr-CA"/>
        </w:rPr>
        <w:t> %), l’article 15 (les affaires in</w:t>
      </w:r>
      <w:r>
        <w:rPr>
          <w:lang w:val="fr-CA"/>
        </w:rPr>
        <w:t>ternationales et la défense) (29,8</w:t>
      </w:r>
      <w:r w:rsidRPr="00F748F3">
        <w:rPr>
          <w:lang w:val="fr-CA"/>
        </w:rPr>
        <w:t> %) et l’article 16 (application de la loi et les enquêtes) (14</w:t>
      </w:r>
      <w:r>
        <w:rPr>
          <w:lang w:val="fr-CA"/>
        </w:rPr>
        <w:t>,2</w:t>
      </w:r>
      <w:r w:rsidRPr="00F748F3">
        <w:rPr>
          <w:lang w:val="fr-CA"/>
        </w:rPr>
        <w:t> %).</w:t>
      </w:r>
    </w:p>
    <w:p w:rsidR="00CF07A2" w:rsidRPr="009A2BED" w:rsidRDefault="00CF07A2" w:rsidP="00BA2BE8">
      <w:pPr>
        <w:pStyle w:val="Heading3"/>
      </w:pPr>
      <w:r w:rsidRPr="009A2BED">
        <w:t xml:space="preserve">Tableau </w:t>
      </w:r>
      <w:proofErr w:type="gramStart"/>
      <w:r w:rsidRPr="009A2BED">
        <w:t>2 :</w:t>
      </w:r>
      <w:proofErr w:type="gramEnd"/>
      <w:r w:rsidRPr="009A2BED">
        <w:t xml:space="preserve"> Exceptions</w:t>
      </w:r>
    </w:p>
    <w:tbl>
      <w:tblPr>
        <w:tblW w:w="9349" w:type="dxa"/>
        <w:tblInd w:w="98" w:type="dxa"/>
        <w:tblLook w:val="04A0"/>
      </w:tblPr>
      <w:tblGrid>
        <w:gridCol w:w="4217"/>
        <w:gridCol w:w="1547"/>
        <w:gridCol w:w="1846"/>
        <w:gridCol w:w="1739"/>
      </w:tblGrid>
      <w:tr w:rsidR="00CF07A2" w:rsidRPr="009A2BED" w:rsidTr="00CF07A2">
        <w:trPr>
          <w:trHeight w:val="315"/>
        </w:trPr>
        <w:tc>
          <w:tcPr>
            <w:tcW w:w="4217" w:type="dxa"/>
            <w:tcBorders>
              <w:top w:val="single" w:sz="8" w:space="0" w:color="auto"/>
              <w:left w:val="single" w:sz="8" w:space="0" w:color="auto"/>
              <w:bottom w:val="single" w:sz="8" w:space="0" w:color="auto"/>
              <w:right w:val="nil"/>
            </w:tcBorders>
            <w:shd w:val="clear" w:color="000000" w:fill="DBE5F1"/>
            <w:noWrap/>
            <w:vAlign w:val="bottom"/>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 xml:space="preserve">Exceptions </w:t>
            </w:r>
          </w:p>
        </w:tc>
        <w:tc>
          <w:tcPr>
            <w:tcW w:w="1547" w:type="dxa"/>
            <w:tcBorders>
              <w:top w:val="single" w:sz="8" w:space="0" w:color="auto"/>
              <w:left w:val="nil"/>
              <w:bottom w:val="single" w:sz="8" w:space="0" w:color="auto"/>
              <w:right w:val="nil"/>
            </w:tcBorders>
            <w:shd w:val="clear" w:color="000000" w:fill="DBE5F1"/>
            <w:noWrap/>
            <w:vAlign w:val="bottom"/>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2012-2013</w:t>
            </w:r>
          </w:p>
        </w:tc>
        <w:tc>
          <w:tcPr>
            <w:tcW w:w="1846" w:type="dxa"/>
            <w:tcBorders>
              <w:top w:val="single" w:sz="8" w:space="0" w:color="auto"/>
              <w:left w:val="nil"/>
              <w:bottom w:val="single" w:sz="8" w:space="0" w:color="auto"/>
              <w:right w:val="nil"/>
            </w:tcBorders>
            <w:shd w:val="clear" w:color="000000" w:fill="DBE5F1"/>
            <w:noWrap/>
            <w:vAlign w:val="bottom"/>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2013-2014</w:t>
            </w:r>
          </w:p>
        </w:tc>
        <w:tc>
          <w:tcPr>
            <w:tcW w:w="1739" w:type="dxa"/>
            <w:tcBorders>
              <w:top w:val="single" w:sz="8" w:space="0" w:color="auto"/>
              <w:left w:val="nil"/>
              <w:bottom w:val="single" w:sz="8" w:space="0" w:color="auto"/>
              <w:right w:val="single" w:sz="8" w:space="0" w:color="auto"/>
            </w:tcBorders>
            <w:shd w:val="clear" w:color="000000" w:fill="DBE5F1"/>
            <w:noWrap/>
            <w:vAlign w:val="bottom"/>
            <w:hideMark/>
          </w:tcPr>
          <w:p w:rsidR="00CF07A2" w:rsidRPr="009A2BED" w:rsidRDefault="00CF07A2" w:rsidP="00CF07A2">
            <w:pPr>
              <w:spacing w:after="0" w:line="240" w:lineRule="auto"/>
              <w:jc w:val="center"/>
              <w:rPr>
                <w:rFonts w:ascii="Calibri" w:eastAsia="Times New Roman" w:hAnsi="Calibri" w:cs="Times New Roman"/>
                <w:b/>
                <w:bCs/>
                <w:color w:val="000000"/>
                <w:lang w:val="fr-CA"/>
              </w:rPr>
            </w:pPr>
            <w:r w:rsidRPr="009A2BED">
              <w:rPr>
                <w:rFonts w:ascii="Calibri" w:eastAsia="Times New Roman" w:hAnsi="Calibri" w:cs="Times New Roman"/>
                <w:b/>
                <w:bCs/>
                <w:color w:val="000000"/>
                <w:lang w:val="fr-CA"/>
              </w:rPr>
              <w:t>2014-2015</w:t>
            </w:r>
          </w:p>
        </w:tc>
      </w:tr>
      <w:tr w:rsidR="00CF07A2" w:rsidRPr="009A2BED" w:rsidTr="00CF07A2">
        <w:trPr>
          <w:trHeight w:val="300"/>
        </w:trPr>
        <w:tc>
          <w:tcPr>
            <w:tcW w:w="4217" w:type="dxa"/>
            <w:tcBorders>
              <w:top w:val="nil"/>
              <w:left w:val="single" w:sz="8" w:space="0" w:color="auto"/>
              <w:bottom w:val="nil"/>
              <w:right w:val="nil"/>
            </w:tcBorders>
            <w:shd w:val="clear" w:color="auto" w:fill="auto"/>
            <w:noWrap/>
            <w:vAlign w:val="bottom"/>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547" w:type="dxa"/>
            <w:tcBorders>
              <w:top w:val="nil"/>
              <w:left w:val="nil"/>
              <w:bottom w:val="nil"/>
              <w:right w:val="nil"/>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22 916</w:t>
            </w:r>
          </w:p>
        </w:tc>
        <w:tc>
          <w:tcPr>
            <w:tcW w:w="1846" w:type="dxa"/>
            <w:tcBorders>
              <w:top w:val="nil"/>
              <w:left w:val="nil"/>
              <w:bottom w:val="nil"/>
              <w:right w:val="nil"/>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22 062</w:t>
            </w:r>
          </w:p>
        </w:tc>
        <w:tc>
          <w:tcPr>
            <w:tcW w:w="1739" w:type="dxa"/>
            <w:tcBorders>
              <w:top w:val="nil"/>
              <w:left w:val="nil"/>
              <w:bottom w:val="nil"/>
              <w:right w:val="single" w:sz="8" w:space="0" w:color="auto"/>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29 996</w:t>
            </w:r>
          </w:p>
        </w:tc>
      </w:tr>
      <w:tr w:rsidR="00CF07A2" w:rsidRPr="009A2BED" w:rsidTr="00CF07A2">
        <w:trPr>
          <w:trHeight w:val="300"/>
        </w:trPr>
        <w:tc>
          <w:tcPr>
            <w:tcW w:w="4217" w:type="dxa"/>
            <w:tcBorders>
              <w:top w:val="nil"/>
              <w:left w:val="single" w:sz="8" w:space="0" w:color="auto"/>
              <w:bottom w:val="nil"/>
              <w:right w:val="nil"/>
            </w:tcBorders>
            <w:shd w:val="clear" w:color="auto" w:fill="auto"/>
            <w:noWrap/>
            <w:vAlign w:val="bottom"/>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547" w:type="dxa"/>
            <w:tcBorders>
              <w:top w:val="nil"/>
              <w:left w:val="nil"/>
              <w:bottom w:val="nil"/>
              <w:right w:val="nil"/>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26 020</w:t>
            </w:r>
          </w:p>
        </w:tc>
        <w:tc>
          <w:tcPr>
            <w:tcW w:w="1846" w:type="dxa"/>
            <w:tcBorders>
              <w:top w:val="nil"/>
              <w:left w:val="nil"/>
              <w:bottom w:val="nil"/>
              <w:right w:val="nil"/>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27 407</w:t>
            </w:r>
          </w:p>
        </w:tc>
        <w:tc>
          <w:tcPr>
            <w:tcW w:w="1739" w:type="dxa"/>
            <w:tcBorders>
              <w:top w:val="nil"/>
              <w:left w:val="nil"/>
              <w:bottom w:val="nil"/>
              <w:right w:val="single" w:sz="8" w:space="0" w:color="auto"/>
            </w:tcBorders>
            <w:shd w:val="clear" w:color="auto" w:fill="auto"/>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33 524</w:t>
            </w:r>
          </w:p>
        </w:tc>
      </w:tr>
      <w:tr w:rsidR="00CF07A2" w:rsidRPr="009A2BED" w:rsidTr="00CF07A2">
        <w:trPr>
          <w:trHeight w:val="315"/>
        </w:trPr>
        <w:tc>
          <w:tcPr>
            <w:tcW w:w="4217" w:type="dxa"/>
            <w:tcBorders>
              <w:top w:val="nil"/>
              <w:left w:val="single" w:sz="8" w:space="0" w:color="auto"/>
              <w:bottom w:val="single" w:sz="8" w:space="0" w:color="auto"/>
              <w:right w:val="nil"/>
            </w:tcBorders>
            <w:shd w:val="clear" w:color="000000" w:fill="DBE5F1"/>
            <w:noWrap/>
            <w:vAlign w:val="bottom"/>
            <w:hideMark/>
          </w:tcPr>
          <w:p w:rsidR="00CF07A2" w:rsidRPr="009A2BED" w:rsidRDefault="00CF07A2" w:rsidP="00CF07A2">
            <w:pPr>
              <w:spacing w:after="0" w:line="240" w:lineRule="auto"/>
              <w:rPr>
                <w:rFonts w:ascii="Calibri" w:eastAsia="Times New Roman" w:hAnsi="Calibri" w:cs="Times New Roman"/>
                <w:color w:val="000000"/>
                <w:lang w:val="fr-CA"/>
              </w:rPr>
            </w:pPr>
            <w:r w:rsidRPr="009A2BED">
              <w:rPr>
                <w:rFonts w:ascii="Calibri" w:eastAsia="Times New Roman" w:hAnsi="Calibri" w:cs="Times New Roman"/>
                <w:color w:val="000000"/>
                <w:lang w:val="fr-CA"/>
              </w:rPr>
              <w:t>Nombre moyen d’exceptions par demande</w:t>
            </w:r>
            <w:r>
              <w:rPr>
                <w:rFonts w:ascii="Calibri" w:eastAsia="Times New Roman" w:hAnsi="Calibri" w:cs="Times New Roman"/>
                <w:color w:val="000000"/>
                <w:lang w:val="fr-CA"/>
              </w:rPr>
              <w:t xml:space="preserve"> complétée</w:t>
            </w:r>
          </w:p>
        </w:tc>
        <w:tc>
          <w:tcPr>
            <w:tcW w:w="1547" w:type="dxa"/>
            <w:tcBorders>
              <w:top w:val="nil"/>
              <w:left w:val="nil"/>
              <w:bottom w:val="single" w:sz="8" w:space="0" w:color="auto"/>
              <w:right w:val="nil"/>
            </w:tcBorders>
            <w:shd w:val="clear" w:color="000000" w:fill="DBE5F1"/>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0,</w:t>
            </w:r>
            <w:r>
              <w:rPr>
                <w:rFonts w:ascii="Calibri" w:eastAsia="Times New Roman" w:hAnsi="Calibri" w:cs="Times New Roman"/>
                <w:color w:val="000000"/>
                <w:lang w:val="fr-CA"/>
              </w:rPr>
              <w:t>88</w:t>
            </w:r>
          </w:p>
        </w:tc>
        <w:tc>
          <w:tcPr>
            <w:tcW w:w="1846" w:type="dxa"/>
            <w:tcBorders>
              <w:top w:val="nil"/>
              <w:left w:val="nil"/>
              <w:bottom w:val="single" w:sz="8" w:space="0" w:color="auto"/>
              <w:right w:val="nil"/>
            </w:tcBorders>
            <w:shd w:val="clear" w:color="000000" w:fill="DBE5F1"/>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0,8</w:t>
            </w:r>
            <w:r>
              <w:rPr>
                <w:rFonts w:ascii="Calibri" w:eastAsia="Times New Roman" w:hAnsi="Calibri" w:cs="Times New Roman"/>
                <w:color w:val="000000"/>
                <w:lang w:val="fr-CA"/>
              </w:rPr>
              <w:t>1</w:t>
            </w:r>
          </w:p>
        </w:tc>
        <w:tc>
          <w:tcPr>
            <w:tcW w:w="1739" w:type="dxa"/>
            <w:tcBorders>
              <w:top w:val="nil"/>
              <w:left w:val="nil"/>
              <w:bottom w:val="single" w:sz="8" w:space="0" w:color="auto"/>
              <w:right w:val="single" w:sz="8" w:space="0" w:color="auto"/>
            </w:tcBorders>
            <w:shd w:val="clear" w:color="000000" w:fill="DBE5F1"/>
            <w:noWrap/>
            <w:vAlign w:val="bottom"/>
            <w:hideMark/>
          </w:tcPr>
          <w:p w:rsidR="00CF07A2" w:rsidRPr="009A2BED" w:rsidRDefault="00CF07A2" w:rsidP="00CF07A2">
            <w:pPr>
              <w:spacing w:after="0" w:line="240" w:lineRule="auto"/>
              <w:jc w:val="center"/>
              <w:rPr>
                <w:rFonts w:ascii="Calibri" w:eastAsia="Times New Roman" w:hAnsi="Calibri" w:cs="Times New Roman"/>
                <w:color w:val="000000"/>
                <w:lang w:val="fr-CA"/>
              </w:rPr>
            </w:pPr>
            <w:r w:rsidRPr="009A2BED">
              <w:rPr>
                <w:rFonts w:ascii="Calibri" w:eastAsia="Times New Roman" w:hAnsi="Calibri" w:cs="Times New Roman"/>
                <w:color w:val="000000"/>
                <w:lang w:val="fr-CA"/>
              </w:rPr>
              <w:t>0,89</w:t>
            </w:r>
          </w:p>
        </w:tc>
      </w:tr>
    </w:tbl>
    <w:p w:rsidR="00CF07A2" w:rsidRPr="009A2BED" w:rsidRDefault="00CF07A2" w:rsidP="00CF07A2">
      <w:pPr>
        <w:pStyle w:val="Heading2"/>
        <w:spacing w:before="240"/>
      </w:pPr>
      <w:r w:rsidRPr="009A2BED">
        <w:t xml:space="preserve">Plaintes </w:t>
      </w:r>
      <w:r>
        <w:t xml:space="preserve">au Commissariat </w:t>
      </w:r>
      <w:r w:rsidRPr="006D6EA8">
        <w:t>à l</w:t>
      </w:r>
      <w:r>
        <w:t>’information</w:t>
      </w:r>
    </w:p>
    <w:p w:rsidR="00CF07A2" w:rsidRPr="009A2BED" w:rsidRDefault="00CF07A2" w:rsidP="00CF07A2">
      <w:pPr>
        <w:jc w:val="both"/>
        <w:rPr>
          <w:lang w:val="fr-CA"/>
        </w:rPr>
      </w:pPr>
      <w:r w:rsidRPr="009A2BED">
        <w:rPr>
          <w:lang w:val="fr-CA"/>
        </w:rPr>
        <w:lastRenderedPageBreak/>
        <w:t>Le nomb</w:t>
      </w:r>
      <w:r>
        <w:rPr>
          <w:lang w:val="fr-CA"/>
        </w:rPr>
        <w:t>re de plaintes reçues par le Commissariat</w:t>
      </w:r>
      <w:r>
        <w:rPr>
          <w:rStyle w:val="FootnoteReference"/>
          <w:lang w:val="fr-CA"/>
        </w:rPr>
        <w:footnoteReference w:id="5"/>
      </w:r>
      <w:r>
        <w:rPr>
          <w:lang w:val="fr-CA"/>
        </w:rPr>
        <w:t xml:space="preserve"> </w:t>
      </w:r>
      <w:r w:rsidRPr="00713E7E">
        <w:rPr>
          <w:lang w:val="fr-CA"/>
        </w:rPr>
        <w:t>en 2014-2015</w:t>
      </w:r>
      <w:r w:rsidRPr="009A2BED">
        <w:rPr>
          <w:lang w:val="fr-CA"/>
        </w:rPr>
        <w:t xml:space="preserve"> concernant IRCC était de 246, soit un nombre inférieur </w:t>
      </w:r>
      <w:r>
        <w:rPr>
          <w:lang w:val="fr-CA"/>
        </w:rPr>
        <w:t>aux 305 plaintes reçues en 2013-</w:t>
      </w:r>
      <w:r w:rsidRPr="009A2BED">
        <w:rPr>
          <w:lang w:val="fr-CA"/>
        </w:rPr>
        <w:t xml:space="preserve">2014. Environ 45 % des plaintes étaient attribuables à des refus. Près de 51 % des plaintes reçues pour la période de référence </w:t>
      </w:r>
      <w:r>
        <w:rPr>
          <w:lang w:val="fr-CA"/>
        </w:rPr>
        <w:t xml:space="preserve">actuelle </w:t>
      </w:r>
      <w:r w:rsidRPr="009A2BED">
        <w:rPr>
          <w:lang w:val="fr-CA"/>
        </w:rPr>
        <w:t>étaient fondées et ont été réglées, et 14 % n’étaient pas fondées. Également, 2</w:t>
      </w:r>
      <w:r>
        <w:rPr>
          <w:lang w:val="fr-CA"/>
        </w:rPr>
        <w:t>6 plaintes ont été abandonnées</w:t>
      </w:r>
      <w:r w:rsidRPr="009A2BED">
        <w:rPr>
          <w:lang w:val="fr-CA"/>
        </w:rPr>
        <w:t xml:space="preserve"> et </w:t>
      </w:r>
      <w:r w:rsidRPr="00713E7E">
        <w:rPr>
          <w:lang w:val="fr-CA"/>
        </w:rPr>
        <w:t>31 </w:t>
      </w:r>
      <w:r>
        <w:rPr>
          <w:lang w:val="fr-CA"/>
        </w:rPr>
        <w:t>étaient encore en suspens.</w:t>
      </w:r>
    </w:p>
    <w:p w:rsidR="00CF07A2" w:rsidRDefault="00CF07A2">
      <w:pPr>
        <w:rPr>
          <w:lang w:val="fr-CA"/>
        </w:rPr>
      </w:pPr>
      <w:r>
        <w:rPr>
          <w:lang w:val="fr-CA"/>
        </w:rPr>
        <w:br w:type="page"/>
      </w:r>
    </w:p>
    <w:p w:rsidR="00CF07A2" w:rsidRPr="00C104E5" w:rsidRDefault="00CF07A2" w:rsidP="00CF07A2">
      <w:pPr>
        <w:pStyle w:val="Heading1"/>
      </w:pPr>
      <w:r w:rsidRPr="00C104E5">
        <w:lastRenderedPageBreak/>
        <w:t>Agence des services frontaliers du Canada</w:t>
      </w:r>
    </w:p>
    <w:p w:rsidR="00CF07A2" w:rsidRPr="00C104E5" w:rsidRDefault="00CF07A2" w:rsidP="00CF07A2">
      <w:pPr>
        <w:jc w:val="both"/>
        <w:rPr>
          <w:b/>
          <w:lang w:val="fr-CA"/>
        </w:rPr>
      </w:pPr>
      <w:r w:rsidRPr="00C104E5">
        <w:rPr>
          <w:rStyle w:val="Heading2Char"/>
        </w:rPr>
        <w:t>Rendement global</w:t>
      </w:r>
      <w:r w:rsidRPr="005E7D67">
        <w:rPr>
          <w:rStyle w:val="FootnoteReference"/>
          <w:b/>
          <w:lang w:val="fr-CA"/>
        </w:rPr>
        <w:footnoteReference w:id="6"/>
      </w:r>
    </w:p>
    <w:p w:rsidR="00CF07A2" w:rsidRPr="004E1944" w:rsidRDefault="00CF07A2" w:rsidP="00CF07A2">
      <w:pPr>
        <w:jc w:val="both"/>
        <w:rPr>
          <w:lang w:val="fr-CA"/>
        </w:rPr>
      </w:pPr>
      <w:r w:rsidRPr="00D47A46">
        <w:rPr>
          <w:lang w:val="fr-CA"/>
        </w:rPr>
        <w:t xml:space="preserve">L’Agence des services frontaliers du Canada (ASFC) a démontré un rendement similaire à celui de l’année précédente et ce, malgré une augmentation considérable de 43,5 % du nombre de demandes reçues. Le présent rapport contient des statistiques comparatives pour les trois dernières périodes </w:t>
      </w:r>
      <w:r w:rsidRPr="004E1944">
        <w:rPr>
          <w:lang w:val="fr-CA"/>
        </w:rPr>
        <w:t>(2012 à 2015).</w:t>
      </w:r>
    </w:p>
    <w:p w:rsidR="00CF07A2" w:rsidRPr="00C104E5" w:rsidRDefault="00CF07A2" w:rsidP="00CF07A2">
      <w:pPr>
        <w:pStyle w:val="Heading2"/>
      </w:pPr>
      <w:r w:rsidRPr="00C104E5">
        <w:t>Charge de travail</w:t>
      </w:r>
    </w:p>
    <w:p w:rsidR="00CF07A2" w:rsidRPr="004E1944" w:rsidRDefault="00CF07A2" w:rsidP="00CF07A2">
      <w:pPr>
        <w:jc w:val="both"/>
        <w:rPr>
          <w:lang w:val="fr-CA"/>
        </w:rPr>
      </w:pPr>
      <w:r>
        <w:rPr>
          <w:lang w:val="fr-CA"/>
        </w:rPr>
        <w:t>En 2013-</w:t>
      </w:r>
      <w:r w:rsidRPr="004E1944">
        <w:rPr>
          <w:lang w:val="fr-CA"/>
        </w:rPr>
        <w:t>2014, l’ASFC a reçu 4 671 demandes tandis qu’e</w:t>
      </w:r>
      <w:r>
        <w:rPr>
          <w:lang w:val="fr-CA"/>
        </w:rPr>
        <w:t>n 2014-2015</w:t>
      </w:r>
      <w:r w:rsidRPr="004E1944">
        <w:rPr>
          <w:lang w:val="fr-CA"/>
        </w:rPr>
        <w:t>, elle en a reçu 6 705</w:t>
      </w:r>
      <w:r w:rsidRPr="004E1944">
        <w:rPr>
          <w:rStyle w:val="FootnoteReference"/>
          <w:lang w:val="fr-CA"/>
        </w:rPr>
        <w:footnoteReference w:id="7"/>
      </w:r>
      <w:r w:rsidRPr="004E1944">
        <w:rPr>
          <w:lang w:val="fr-CA"/>
        </w:rPr>
        <w:t>, ce qui représente une augmentation de 45,3 %. Ces 6 705 demandes reçues par cette institution représentent 9,8 % du nombre total de demandes reçues à l’échelle du gouvernement en 2014</w:t>
      </w:r>
      <w:r>
        <w:rPr>
          <w:lang w:val="fr-CA"/>
        </w:rPr>
        <w:t>-</w:t>
      </w:r>
      <w:r w:rsidRPr="004E1944">
        <w:rPr>
          <w:lang w:val="fr-CA"/>
        </w:rPr>
        <w:t>2015. La plupart des demandes reçues par l’ASFC provenaient du public (74,6 %)</w:t>
      </w:r>
      <w:r>
        <w:rPr>
          <w:lang w:val="fr-CA"/>
        </w:rPr>
        <w:t>, suivies des demandes provenant du</w:t>
      </w:r>
      <w:r w:rsidRPr="004E1944">
        <w:rPr>
          <w:lang w:val="fr-CA"/>
        </w:rPr>
        <w:t xml:space="preserve"> secteur privé (20,5 %).</w:t>
      </w:r>
    </w:p>
    <w:p w:rsidR="00CF07A2" w:rsidRPr="005E7D67" w:rsidRDefault="00CF07A2" w:rsidP="00CF07A2">
      <w:pPr>
        <w:jc w:val="both"/>
        <w:rPr>
          <w:lang w:val="fr-CA"/>
        </w:rPr>
      </w:pPr>
      <w:r w:rsidRPr="004E1944">
        <w:rPr>
          <w:lang w:val="fr-CA"/>
        </w:rPr>
        <w:t>L’ASFC a complété 6 802 demandes durant cette période de référence. Le taux d’achèvement</w:t>
      </w:r>
      <w:r w:rsidRPr="004E1944">
        <w:rPr>
          <w:rStyle w:val="FootnoteReference"/>
          <w:lang w:val="fr-CA"/>
        </w:rPr>
        <w:footnoteReference w:id="8"/>
      </w:r>
      <w:r w:rsidRPr="004E1944">
        <w:rPr>
          <w:lang w:val="fr-CA"/>
        </w:rPr>
        <w:t xml:space="preserve"> était de 86,</w:t>
      </w:r>
      <w:r>
        <w:rPr>
          <w:lang w:val="fr-CA"/>
        </w:rPr>
        <w:t>2</w:t>
      </w:r>
      <w:r w:rsidRPr="004E1944">
        <w:rPr>
          <w:lang w:val="fr-CA"/>
        </w:rPr>
        <w:t> %, soit légèrement plus élevé que celui rapporté pour l’ensemble du gouvernement qui lui, était de 85,1 %. En 2013</w:t>
      </w:r>
      <w:r>
        <w:rPr>
          <w:lang w:val="fr-CA"/>
        </w:rPr>
        <w:t>-</w:t>
      </w:r>
      <w:r w:rsidRPr="004E1944">
        <w:rPr>
          <w:lang w:val="fr-CA"/>
        </w:rPr>
        <w:t xml:space="preserve">2014, le taux d’achèvement pour l’ASFC était de 77,6 %. L’ASFC a aussi reçu  </w:t>
      </w:r>
      <w:r>
        <w:rPr>
          <w:lang w:val="fr-CA"/>
        </w:rPr>
        <w:t>4</w:t>
      </w:r>
      <w:r w:rsidRPr="004E1944">
        <w:rPr>
          <w:lang w:val="fr-CA"/>
        </w:rPr>
        <w:t>50 demandes informelles en 2014</w:t>
      </w:r>
      <w:r>
        <w:rPr>
          <w:lang w:val="fr-CA"/>
        </w:rPr>
        <w:t>-</w:t>
      </w:r>
      <w:r w:rsidRPr="004E1944">
        <w:rPr>
          <w:lang w:val="fr-CA"/>
        </w:rPr>
        <w:t xml:space="preserve">2015, </w:t>
      </w:r>
      <w:r>
        <w:rPr>
          <w:lang w:val="fr-CA"/>
        </w:rPr>
        <w:t>dont 89,8</w:t>
      </w:r>
      <w:r w:rsidRPr="004E1944">
        <w:rPr>
          <w:lang w:val="fr-CA"/>
        </w:rPr>
        <w:t xml:space="preserve"> % qui ont été complétées en 30 jours ou moins. Le nombre de demandes de consultation reçues par l’ASFC en provenance d’autres institutions fédérales a </w:t>
      </w:r>
      <w:r>
        <w:rPr>
          <w:lang w:val="fr-CA"/>
        </w:rPr>
        <w:t>augment</w:t>
      </w:r>
      <w:r w:rsidRPr="004E1944">
        <w:rPr>
          <w:lang w:val="fr-CA"/>
        </w:rPr>
        <w:t xml:space="preserve">é de </w:t>
      </w:r>
      <w:r>
        <w:rPr>
          <w:lang w:val="fr-CA"/>
        </w:rPr>
        <w:t>282 à 291, représentant une augmentation</w:t>
      </w:r>
      <w:r w:rsidRPr="004E1944">
        <w:rPr>
          <w:lang w:val="fr-CA"/>
        </w:rPr>
        <w:t xml:space="preserve"> de 3,2 % par rapport </w:t>
      </w:r>
      <w:r>
        <w:rPr>
          <w:lang w:val="fr-CA"/>
        </w:rPr>
        <w:t>à 2013-2014.</w:t>
      </w:r>
    </w:p>
    <w:p w:rsidR="00CF07A2" w:rsidRPr="00384F71" w:rsidRDefault="00CF07A2" w:rsidP="00CF07A2">
      <w:pPr>
        <w:jc w:val="both"/>
        <w:rPr>
          <w:lang w:val="fr-CA"/>
        </w:rPr>
      </w:pPr>
      <w:r>
        <w:rPr>
          <w:lang w:val="fr-CA"/>
        </w:rPr>
        <w:t>En 2014-</w:t>
      </w:r>
      <w:r w:rsidRPr="005E7D67">
        <w:rPr>
          <w:lang w:val="fr-CA"/>
        </w:rPr>
        <w:t>2015, 442</w:t>
      </w:r>
      <w:r>
        <w:rPr>
          <w:lang w:val="fr-CA"/>
        </w:rPr>
        <w:t> 779 </w:t>
      </w:r>
      <w:r w:rsidRPr="005E7D67">
        <w:rPr>
          <w:lang w:val="fr-CA"/>
        </w:rPr>
        <w:t>pages ont été traitées par rapport à 386</w:t>
      </w:r>
      <w:r>
        <w:rPr>
          <w:lang w:val="fr-CA"/>
        </w:rPr>
        <w:t> 072 </w:t>
      </w:r>
      <w:r w:rsidRPr="005E7D67">
        <w:rPr>
          <w:lang w:val="fr-CA"/>
        </w:rPr>
        <w:t>pages en 2013</w:t>
      </w:r>
      <w:r>
        <w:rPr>
          <w:lang w:val="fr-CA"/>
        </w:rPr>
        <w:t>-</w:t>
      </w:r>
      <w:r w:rsidRPr="005E7D67">
        <w:rPr>
          <w:lang w:val="fr-CA"/>
        </w:rPr>
        <w:t xml:space="preserve">2014. Cela représente une hausse de 14,7 % du nombre de pages traitées. </w:t>
      </w:r>
      <w:r w:rsidRPr="004013F7">
        <w:rPr>
          <w:lang w:val="fr-CA"/>
        </w:rPr>
        <w:t xml:space="preserve">Le tableau 1 montre que le nombre moyen de pages traitées par demande a diminué depuis les 3 dernières </w:t>
      </w:r>
      <w:r>
        <w:rPr>
          <w:lang w:val="fr-CA"/>
        </w:rPr>
        <w:t>années passant de 112 pages en 2012-2013 à 69</w:t>
      </w:r>
      <w:r w:rsidRPr="004013F7">
        <w:rPr>
          <w:lang w:val="fr-CA"/>
        </w:rPr>
        <w:t xml:space="preserve"> pages en 2014-2015.</w:t>
      </w:r>
    </w:p>
    <w:p w:rsidR="00CF07A2" w:rsidRDefault="00CF07A2" w:rsidP="00CF07A2">
      <w:pPr>
        <w:spacing w:line="240" w:lineRule="auto"/>
        <w:contextualSpacing/>
        <w:jc w:val="both"/>
        <w:rPr>
          <w:lang w:val="fr-CA"/>
        </w:rPr>
      </w:pPr>
      <w:r w:rsidRPr="005E7D67">
        <w:rPr>
          <w:lang w:val="fr-CA"/>
        </w:rPr>
        <w:t xml:space="preserve">L’information diffusée par l’ASFC était </w:t>
      </w:r>
      <w:r w:rsidRPr="00852FBB">
        <w:rPr>
          <w:lang w:val="fr-CA"/>
        </w:rPr>
        <w:t>majoritairement</w:t>
      </w:r>
      <w:r w:rsidRPr="005E7D67">
        <w:rPr>
          <w:lang w:val="fr-CA"/>
        </w:rPr>
        <w:t xml:space="preserve"> en format </w:t>
      </w:r>
      <w:r>
        <w:rPr>
          <w:lang w:val="fr-CA"/>
        </w:rPr>
        <w:t>papier : 4 924 </w:t>
      </w:r>
      <w:r w:rsidRPr="005E7D67">
        <w:rPr>
          <w:lang w:val="fr-CA"/>
        </w:rPr>
        <w:t xml:space="preserve">demandes en format </w:t>
      </w:r>
      <w:r>
        <w:rPr>
          <w:lang w:val="fr-CA"/>
        </w:rPr>
        <w:t>papier par rapport à 1 041 demandes en format électronique</w:t>
      </w:r>
      <w:r w:rsidRPr="005E7D67">
        <w:rPr>
          <w:lang w:val="fr-CA"/>
        </w:rPr>
        <w:t xml:space="preserve">. </w:t>
      </w:r>
      <w:r w:rsidRPr="004013F7">
        <w:rPr>
          <w:lang w:val="fr-CA"/>
        </w:rPr>
        <w:t xml:space="preserve">Le nombre de demandes qui ont reçu une réponse en format papier </w:t>
      </w:r>
      <w:r w:rsidRPr="002B08E3">
        <w:rPr>
          <w:lang w:val="fr-FR"/>
        </w:rPr>
        <w:t>ét</w:t>
      </w:r>
      <w:r>
        <w:rPr>
          <w:lang w:val="fr-FR"/>
        </w:rPr>
        <w:t>ait de 2 941 en 2013-2014</w:t>
      </w:r>
      <w:r>
        <w:rPr>
          <w:rStyle w:val="FootnoteReference"/>
          <w:lang w:val="fr-FR"/>
        </w:rPr>
        <w:footnoteReference w:id="9"/>
      </w:r>
      <w:r>
        <w:rPr>
          <w:lang w:val="fr-FR"/>
        </w:rPr>
        <w:t>.</w:t>
      </w:r>
    </w:p>
    <w:p w:rsidR="00CF07A2" w:rsidRPr="005900D7" w:rsidRDefault="00CF07A2" w:rsidP="00BA2BE8">
      <w:pPr>
        <w:pStyle w:val="Heading3"/>
      </w:pPr>
      <w:r w:rsidRPr="005900D7">
        <w:t xml:space="preserve">Tableau </w:t>
      </w:r>
      <w:proofErr w:type="gramStart"/>
      <w:r w:rsidRPr="005900D7">
        <w:t>1 :</w:t>
      </w:r>
      <w:proofErr w:type="gramEnd"/>
      <w:r w:rsidRPr="005900D7">
        <w:t xml:space="preserve"> Charge de travail</w:t>
      </w:r>
    </w:p>
    <w:tbl>
      <w:tblPr>
        <w:tblW w:w="9421" w:type="dxa"/>
        <w:tblInd w:w="103" w:type="dxa"/>
        <w:tblBorders>
          <w:top w:val="single" w:sz="4" w:space="0" w:color="auto"/>
          <w:left w:val="single" w:sz="4" w:space="0" w:color="auto"/>
          <w:bottom w:val="single" w:sz="4" w:space="0" w:color="auto"/>
          <w:right w:val="single" w:sz="4" w:space="0" w:color="auto"/>
        </w:tblBorders>
        <w:tblLook w:val="04A0"/>
      </w:tblPr>
      <w:tblGrid>
        <w:gridCol w:w="4880"/>
        <w:gridCol w:w="1458"/>
        <w:gridCol w:w="1582"/>
        <w:gridCol w:w="1501"/>
      </w:tblGrid>
      <w:tr w:rsidR="00CF07A2" w:rsidRPr="005E7D67" w:rsidTr="00CF07A2">
        <w:trPr>
          <w:trHeight w:val="311"/>
        </w:trPr>
        <w:tc>
          <w:tcPr>
            <w:tcW w:w="4880" w:type="dxa"/>
            <w:shd w:val="clear" w:color="auto" w:fill="auto"/>
            <w:noWrap/>
            <w:vAlign w:val="bottom"/>
            <w:hideMark/>
          </w:tcPr>
          <w:p w:rsidR="00CF07A2" w:rsidRPr="005E7D67" w:rsidRDefault="00CF07A2" w:rsidP="00CF07A2">
            <w:pPr>
              <w:spacing w:after="0" w:line="240" w:lineRule="auto"/>
              <w:rPr>
                <w:rFonts w:ascii="Calibri" w:eastAsia="Times New Roman" w:hAnsi="Calibri" w:cs="Times New Roman"/>
                <w:color w:val="000000"/>
                <w:lang w:val="fr-CA"/>
              </w:rPr>
            </w:pPr>
            <w:r w:rsidRPr="005E7D67">
              <w:rPr>
                <w:rFonts w:ascii="Calibri" w:eastAsia="Times New Roman" w:hAnsi="Calibri" w:cs="Times New Roman"/>
                <w:color w:val="000000"/>
                <w:lang w:val="fr-CA"/>
              </w:rPr>
              <w:t xml:space="preserve">Mesures </w:t>
            </w:r>
          </w:p>
        </w:tc>
        <w:tc>
          <w:tcPr>
            <w:tcW w:w="1458" w:type="dxa"/>
            <w:shd w:val="clear" w:color="auto" w:fill="auto"/>
            <w:noWrap/>
            <w:vAlign w:val="bottom"/>
            <w:hideMark/>
          </w:tcPr>
          <w:p w:rsidR="00CF07A2" w:rsidRPr="005E7D67" w:rsidRDefault="00CF07A2" w:rsidP="00CF07A2">
            <w:pPr>
              <w:spacing w:after="0" w:line="240" w:lineRule="auto"/>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2012-2013</w:t>
            </w:r>
          </w:p>
        </w:tc>
        <w:tc>
          <w:tcPr>
            <w:tcW w:w="1582" w:type="dxa"/>
            <w:shd w:val="clear" w:color="auto" w:fill="auto"/>
            <w:noWrap/>
            <w:vAlign w:val="bottom"/>
            <w:hideMark/>
          </w:tcPr>
          <w:p w:rsidR="00CF07A2" w:rsidRPr="005E7D67" w:rsidRDefault="00CF07A2" w:rsidP="00CF07A2">
            <w:pPr>
              <w:spacing w:after="0" w:line="240" w:lineRule="auto"/>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2013-2014</w:t>
            </w:r>
          </w:p>
        </w:tc>
        <w:tc>
          <w:tcPr>
            <w:tcW w:w="1501" w:type="dxa"/>
            <w:shd w:val="clear" w:color="auto" w:fill="auto"/>
            <w:noWrap/>
            <w:vAlign w:val="bottom"/>
            <w:hideMark/>
          </w:tcPr>
          <w:p w:rsidR="00CF07A2" w:rsidRPr="005E7D67" w:rsidRDefault="00CF07A2" w:rsidP="00CF07A2">
            <w:pPr>
              <w:spacing w:after="0" w:line="240" w:lineRule="auto"/>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2014-2015</w:t>
            </w:r>
          </w:p>
        </w:tc>
      </w:tr>
      <w:tr w:rsidR="00CF07A2" w:rsidRPr="005E7D67" w:rsidTr="00CF07A2">
        <w:trPr>
          <w:trHeight w:val="311"/>
        </w:trPr>
        <w:tc>
          <w:tcPr>
            <w:tcW w:w="4880" w:type="dxa"/>
            <w:shd w:val="clear" w:color="000000" w:fill="DBE5F1"/>
            <w:noWrap/>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t xml:space="preserve">Nombre de demandes reçues </w:t>
            </w:r>
          </w:p>
        </w:tc>
        <w:tc>
          <w:tcPr>
            <w:tcW w:w="1458" w:type="dxa"/>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3 147</w:t>
            </w:r>
          </w:p>
        </w:tc>
        <w:tc>
          <w:tcPr>
            <w:tcW w:w="1582" w:type="dxa"/>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4 671</w:t>
            </w:r>
          </w:p>
        </w:tc>
        <w:tc>
          <w:tcPr>
            <w:tcW w:w="1501" w:type="dxa"/>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6 705</w:t>
            </w:r>
          </w:p>
        </w:tc>
      </w:tr>
      <w:tr w:rsidR="00CF07A2" w:rsidRPr="005E7D67" w:rsidTr="00CF07A2">
        <w:trPr>
          <w:trHeight w:val="297"/>
        </w:trPr>
        <w:tc>
          <w:tcPr>
            <w:tcW w:w="4880" w:type="dxa"/>
            <w:tcBorders>
              <w:bottom w:val="nil"/>
            </w:tcBorders>
            <w:shd w:val="clear" w:color="auto" w:fill="auto"/>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lastRenderedPageBreak/>
              <w:t>Variation annuelle en %</w:t>
            </w:r>
          </w:p>
        </w:tc>
        <w:tc>
          <w:tcPr>
            <w:tcW w:w="1458" w:type="dxa"/>
            <w:tcBorders>
              <w:bottom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sidRPr="005E7D67">
              <w:rPr>
                <w:rFonts w:ascii="Calibri" w:eastAsia="Times New Roman" w:hAnsi="Calibri" w:cs="Times New Roman"/>
                <w:lang w:val="fr-CA"/>
              </w:rPr>
              <w:t>-</w:t>
            </w:r>
          </w:p>
        </w:tc>
        <w:tc>
          <w:tcPr>
            <w:tcW w:w="1582" w:type="dxa"/>
            <w:tcBorders>
              <w:bottom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48,4 </w:t>
            </w:r>
            <w:r w:rsidRPr="005E7D67">
              <w:rPr>
                <w:rFonts w:ascii="Calibri" w:eastAsia="Times New Roman" w:hAnsi="Calibri" w:cs="Times New Roman"/>
                <w:lang w:val="fr-CA"/>
              </w:rPr>
              <w:t>%</w:t>
            </w:r>
          </w:p>
        </w:tc>
        <w:tc>
          <w:tcPr>
            <w:tcW w:w="1501" w:type="dxa"/>
            <w:tcBorders>
              <w:bottom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43,5 </w:t>
            </w:r>
            <w:r w:rsidRPr="005E7D67">
              <w:rPr>
                <w:rFonts w:ascii="Calibri" w:eastAsia="Times New Roman" w:hAnsi="Calibri" w:cs="Times New Roman"/>
                <w:lang w:val="fr-CA"/>
              </w:rPr>
              <w:t>%</w:t>
            </w:r>
          </w:p>
        </w:tc>
      </w:tr>
      <w:tr w:rsidR="00CF07A2" w:rsidRPr="005E7D67" w:rsidTr="00CF07A2">
        <w:trPr>
          <w:trHeight w:val="297"/>
        </w:trPr>
        <w:tc>
          <w:tcPr>
            <w:tcW w:w="4880" w:type="dxa"/>
            <w:tcBorders>
              <w:top w:val="nil"/>
              <w:bottom w:val="nil"/>
            </w:tcBorders>
            <w:shd w:val="clear" w:color="000000" w:fill="DBE5F1"/>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t xml:space="preserve">Demandes </w:t>
            </w:r>
            <w:r>
              <w:rPr>
                <w:rFonts w:ascii="Calibri" w:eastAsia="Times New Roman" w:hAnsi="Calibri" w:cs="Times New Roman"/>
                <w:lang w:val="fr-CA"/>
              </w:rPr>
              <w:t>complétées</w:t>
            </w:r>
          </w:p>
        </w:tc>
        <w:tc>
          <w:tcPr>
            <w:tcW w:w="1458" w:type="dxa"/>
            <w:tcBorders>
              <w:top w:val="nil"/>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2 891</w:t>
            </w:r>
          </w:p>
        </w:tc>
        <w:tc>
          <w:tcPr>
            <w:tcW w:w="1582" w:type="dxa"/>
            <w:tcBorders>
              <w:top w:val="nil"/>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4 079</w:t>
            </w:r>
          </w:p>
        </w:tc>
        <w:tc>
          <w:tcPr>
            <w:tcW w:w="1501" w:type="dxa"/>
            <w:tcBorders>
              <w:top w:val="nil"/>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6 802</w:t>
            </w:r>
          </w:p>
        </w:tc>
      </w:tr>
      <w:tr w:rsidR="00CF07A2" w:rsidRPr="005E7D67" w:rsidTr="00CF07A2">
        <w:trPr>
          <w:trHeight w:val="297"/>
        </w:trPr>
        <w:tc>
          <w:tcPr>
            <w:tcW w:w="4880" w:type="dxa"/>
            <w:tcBorders>
              <w:top w:val="nil"/>
            </w:tcBorders>
            <w:shd w:val="clear" w:color="auto" w:fill="auto"/>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t>Variation annuelle en %</w:t>
            </w:r>
          </w:p>
        </w:tc>
        <w:tc>
          <w:tcPr>
            <w:tcW w:w="1458" w:type="dxa"/>
            <w:tcBorders>
              <w:top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sidRPr="005E7D67">
              <w:rPr>
                <w:rFonts w:ascii="Calibri" w:eastAsia="Times New Roman" w:hAnsi="Calibri" w:cs="Times New Roman"/>
                <w:lang w:val="fr-CA"/>
              </w:rPr>
              <w:t>-</w:t>
            </w:r>
          </w:p>
        </w:tc>
        <w:tc>
          <w:tcPr>
            <w:tcW w:w="1582" w:type="dxa"/>
            <w:tcBorders>
              <w:top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41,1 </w:t>
            </w:r>
            <w:r w:rsidRPr="005E7D67">
              <w:rPr>
                <w:rFonts w:ascii="Calibri" w:eastAsia="Times New Roman" w:hAnsi="Calibri" w:cs="Times New Roman"/>
                <w:lang w:val="fr-CA"/>
              </w:rPr>
              <w:t>%</w:t>
            </w:r>
          </w:p>
        </w:tc>
        <w:tc>
          <w:tcPr>
            <w:tcW w:w="1501" w:type="dxa"/>
            <w:tcBorders>
              <w:top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66,8 </w:t>
            </w:r>
            <w:r w:rsidRPr="005E7D67">
              <w:rPr>
                <w:rFonts w:ascii="Calibri" w:eastAsia="Times New Roman" w:hAnsi="Calibri" w:cs="Times New Roman"/>
                <w:lang w:val="fr-CA"/>
              </w:rPr>
              <w:t>%</w:t>
            </w:r>
          </w:p>
        </w:tc>
      </w:tr>
      <w:tr w:rsidR="00CF07A2" w:rsidRPr="005E7D67" w:rsidTr="00CF07A2">
        <w:trPr>
          <w:trHeight w:val="415"/>
        </w:trPr>
        <w:tc>
          <w:tcPr>
            <w:tcW w:w="4880" w:type="dxa"/>
            <w:tcBorders>
              <w:bottom w:val="nil"/>
            </w:tcBorders>
            <w:shd w:val="clear" w:color="000000" w:fill="DBE5F1"/>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t>Nombre de demandes de consultation reçues (d’autres institutions fédérales)</w:t>
            </w:r>
          </w:p>
        </w:tc>
        <w:tc>
          <w:tcPr>
            <w:tcW w:w="1458" w:type="dxa"/>
            <w:tcBorders>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366</w:t>
            </w:r>
          </w:p>
        </w:tc>
        <w:tc>
          <w:tcPr>
            <w:tcW w:w="1582" w:type="dxa"/>
            <w:tcBorders>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282</w:t>
            </w:r>
          </w:p>
        </w:tc>
        <w:tc>
          <w:tcPr>
            <w:tcW w:w="1501" w:type="dxa"/>
            <w:tcBorders>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sidRPr="005E7D67">
              <w:rPr>
                <w:rFonts w:ascii="Calibri" w:eastAsia="Times New Roman" w:hAnsi="Calibri" w:cs="Times New Roman"/>
                <w:b/>
                <w:lang w:val="fr-CA"/>
              </w:rPr>
              <w:t>291</w:t>
            </w:r>
          </w:p>
        </w:tc>
      </w:tr>
      <w:tr w:rsidR="00CF07A2" w:rsidRPr="005E7D67" w:rsidTr="00CF07A2">
        <w:trPr>
          <w:trHeight w:val="297"/>
        </w:trPr>
        <w:tc>
          <w:tcPr>
            <w:tcW w:w="4880" w:type="dxa"/>
            <w:tcBorders>
              <w:top w:val="nil"/>
              <w:bottom w:val="nil"/>
            </w:tcBorders>
            <w:shd w:val="clear" w:color="auto" w:fill="auto"/>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t>Variation annuelle en %</w:t>
            </w:r>
          </w:p>
        </w:tc>
        <w:tc>
          <w:tcPr>
            <w:tcW w:w="1458" w:type="dxa"/>
            <w:tcBorders>
              <w:top w:val="nil"/>
              <w:bottom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sidRPr="005E7D67">
              <w:rPr>
                <w:rFonts w:ascii="Calibri" w:eastAsia="Times New Roman" w:hAnsi="Calibri" w:cs="Times New Roman"/>
                <w:lang w:val="fr-CA"/>
              </w:rPr>
              <w:t>-</w:t>
            </w:r>
          </w:p>
        </w:tc>
        <w:tc>
          <w:tcPr>
            <w:tcW w:w="1582" w:type="dxa"/>
            <w:tcBorders>
              <w:top w:val="nil"/>
              <w:bottom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-23,0 </w:t>
            </w:r>
            <w:r w:rsidRPr="005E7D67">
              <w:rPr>
                <w:rFonts w:ascii="Calibri" w:eastAsia="Times New Roman" w:hAnsi="Calibri" w:cs="Times New Roman"/>
                <w:lang w:val="fr-CA"/>
              </w:rPr>
              <w:t>%</w:t>
            </w:r>
          </w:p>
        </w:tc>
        <w:tc>
          <w:tcPr>
            <w:tcW w:w="1501" w:type="dxa"/>
            <w:tcBorders>
              <w:top w:val="nil"/>
              <w:bottom w:val="nil"/>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3,2 </w:t>
            </w:r>
            <w:r w:rsidRPr="005E7D67">
              <w:rPr>
                <w:rFonts w:ascii="Calibri" w:eastAsia="Times New Roman" w:hAnsi="Calibri" w:cs="Times New Roman"/>
                <w:lang w:val="fr-CA"/>
              </w:rPr>
              <w:t>%</w:t>
            </w:r>
          </w:p>
        </w:tc>
      </w:tr>
      <w:tr w:rsidR="00CF07A2" w:rsidRPr="005E7D67" w:rsidTr="00CF07A2">
        <w:trPr>
          <w:trHeight w:val="593"/>
        </w:trPr>
        <w:tc>
          <w:tcPr>
            <w:tcW w:w="4880" w:type="dxa"/>
            <w:tcBorders>
              <w:top w:val="nil"/>
              <w:bottom w:val="nil"/>
            </w:tcBorders>
            <w:shd w:val="clear" w:color="000000" w:fill="DBE5F1"/>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t xml:space="preserve">Nombre moyen de pages traitées par demande </w:t>
            </w:r>
          </w:p>
          <w:p w:rsidR="00CF07A2" w:rsidRPr="005E7D67" w:rsidRDefault="00CF07A2" w:rsidP="00CF07A2">
            <w:pPr>
              <w:spacing w:after="0" w:line="240" w:lineRule="auto"/>
              <w:rPr>
                <w:rFonts w:ascii="Calibri" w:eastAsia="Times New Roman" w:hAnsi="Calibri" w:cs="Times New Roman"/>
                <w:lang w:val="fr-CA"/>
              </w:rPr>
            </w:pPr>
            <w:r>
              <w:rPr>
                <w:rFonts w:ascii="Calibri" w:eastAsia="Times New Roman" w:hAnsi="Calibri" w:cs="Times New Roman"/>
                <w:lang w:val="fr-CA"/>
              </w:rPr>
              <w:t>complétée</w:t>
            </w:r>
          </w:p>
        </w:tc>
        <w:tc>
          <w:tcPr>
            <w:tcW w:w="1458" w:type="dxa"/>
            <w:tcBorders>
              <w:top w:val="nil"/>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Pr>
                <w:rFonts w:ascii="Calibri" w:eastAsia="Times New Roman" w:hAnsi="Calibri" w:cs="Times New Roman"/>
                <w:b/>
                <w:lang w:val="fr-CA"/>
              </w:rPr>
              <w:t>112</w:t>
            </w:r>
          </w:p>
        </w:tc>
        <w:tc>
          <w:tcPr>
            <w:tcW w:w="1582" w:type="dxa"/>
            <w:tcBorders>
              <w:top w:val="nil"/>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Pr>
                <w:rFonts w:ascii="Calibri" w:eastAsia="Times New Roman" w:hAnsi="Calibri" w:cs="Times New Roman"/>
                <w:b/>
                <w:lang w:val="fr-CA"/>
              </w:rPr>
              <w:t>101</w:t>
            </w:r>
          </w:p>
        </w:tc>
        <w:tc>
          <w:tcPr>
            <w:tcW w:w="1501" w:type="dxa"/>
            <w:tcBorders>
              <w:top w:val="nil"/>
              <w:bottom w:val="nil"/>
            </w:tcBorders>
            <w:shd w:val="clear" w:color="000000" w:fill="DBE5F1"/>
            <w:noWrap/>
            <w:vAlign w:val="center"/>
            <w:hideMark/>
          </w:tcPr>
          <w:p w:rsidR="00CF07A2" w:rsidRPr="005E7D67" w:rsidRDefault="00CF07A2" w:rsidP="00CF07A2">
            <w:pPr>
              <w:spacing w:after="0" w:line="240" w:lineRule="auto"/>
              <w:jc w:val="center"/>
              <w:rPr>
                <w:rFonts w:ascii="Calibri" w:eastAsia="Times New Roman" w:hAnsi="Calibri" w:cs="Times New Roman"/>
                <w:b/>
                <w:lang w:val="fr-CA"/>
              </w:rPr>
            </w:pPr>
            <w:r>
              <w:rPr>
                <w:rFonts w:ascii="Calibri" w:eastAsia="Times New Roman" w:hAnsi="Calibri" w:cs="Times New Roman"/>
                <w:b/>
                <w:lang w:val="fr-CA"/>
              </w:rPr>
              <w:t>69</w:t>
            </w:r>
          </w:p>
        </w:tc>
      </w:tr>
      <w:tr w:rsidR="00CF07A2" w:rsidRPr="005E7D67" w:rsidTr="00CF07A2">
        <w:trPr>
          <w:trHeight w:val="416"/>
        </w:trPr>
        <w:tc>
          <w:tcPr>
            <w:tcW w:w="4880" w:type="dxa"/>
            <w:tcBorders>
              <w:top w:val="nil"/>
              <w:bottom w:val="single" w:sz="4" w:space="0" w:color="auto"/>
            </w:tcBorders>
            <w:shd w:val="clear" w:color="auto" w:fill="auto"/>
            <w:hideMark/>
          </w:tcPr>
          <w:p w:rsidR="00CF07A2" w:rsidRPr="005E7D67" w:rsidRDefault="00CF07A2" w:rsidP="00CF07A2">
            <w:pPr>
              <w:spacing w:after="0" w:line="240" w:lineRule="auto"/>
              <w:rPr>
                <w:rFonts w:ascii="Calibri" w:eastAsia="Times New Roman" w:hAnsi="Calibri" w:cs="Times New Roman"/>
                <w:lang w:val="fr-CA"/>
              </w:rPr>
            </w:pPr>
            <w:r w:rsidRPr="005E7D67">
              <w:rPr>
                <w:rFonts w:ascii="Calibri" w:eastAsia="Times New Roman" w:hAnsi="Calibri" w:cs="Times New Roman"/>
                <w:lang w:val="fr-CA"/>
              </w:rPr>
              <w:t>% des demandes pour lesquelles plus de 1 000 pages ont été traitées</w:t>
            </w:r>
          </w:p>
        </w:tc>
        <w:tc>
          <w:tcPr>
            <w:tcW w:w="1458" w:type="dxa"/>
            <w:tcBorders>
              <w:top w:val="nil"/>
              <w:bottom w:val="single" w:sz="4" w:space="0" w:color="auto"/>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2,3 </w:t>
            </w:r>
            <w:r w:rsidRPr="005E7D67">
              <w:rPr>
                <w:rFonts w:ascii="Calibri" w:eastAsia="Times New Roman" w:hAnsi="Calibri" w:cs="Times New Roman"/>
                <w:lang w:val="fr-CA"/>
              </w:rPr>
              <w:t>%</w:t>
            </w:r>
          </w:p>
        </w:tc>
        <w:tc>
          <w:tcPr>
            <w:tcW w:w="1582" w:type="dxa"/>
            <w:tcBorders>
              <w:top w:val="nil"/>
              <w:bottom w:val="single" w:sz="4" w:space="0" w:color="auto"/>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1,9 </w:t>
            </w:r>
            <w:r w:rsidRPr="005E7D67">
              <w:rPr>
                <w:rFonts w:ascii="Calibri" w:eastAsia="Times New Roman" w:hAnsi="Calibri" w:cs="Times New Roman"/>
                <w:lang w:val="fr-CA"/>
              </w:rPr>
              <w:t>%</w:t>
            </w:r>
          </w:p>
        </w:tc>
        <w:tc>
          <w:tcPr>
            <w:tcW w:w="1501" w:type="dxa"/>
            <w:tcBorders>
              <w:top w:val="nil"/>
              <w:bottom w:val="single" w:sz="4" w:space="0" w:color="auto"/>
            </w:tcBorders>
            <w:shd w:val="clear" w:color="auto" w:fill="auto"/>
            <w:noWrap/>
            <w:vAlign w:val="center"/>
            <w:hideMark/>
          </w:tcPr>
          <w:p w:rsidR="00CF07A2" w:rsidRPr="005E7D67" w:rsidRDefault="00CF07A2" w:rsidP="00CF07A2">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1,1 </w:t>
            </w:r>
            <w:r w:rsidRPr="005E7D67">
              <w:rPr>
                <w:rFonts w:ascii="Calibri" w:eastAsia="Times New Roman" w:hAnsi="Calibri" w:cs="Times New Roman"/>
                <w:lang w:val="fr-CA"/>
              </w:rPr>
              <w:t>%</w:t>
            </w:r>
          </w:p>
        </w:tc>
      </w:tr>
    </w:tbl>
    <w:p w:rsidR="00CF07A2" w:rsidRPr="00C104E5" w:rsidRDefault="00CF07A2" w:rsidP="00CF07A2">
      <w:pPr>
        <w:pStyle w:val="Heading2"/>
        <w:spacing w:before="240"/>
      </w:pPr>
      <w:r w:rsidRPr="00C104E5">
        <w:t>Délai de traitement</w:t>
      </w:r>
    </w:p>
    <w:p w:rsidR="00CF07A2" w:rsidRPr="00C104E5" w:rsidRDefault="00CF07A2" w:rsidP="00CF07A2">
      <w:pPr>
        <w:pStyle w:val="Heading4"/>
      </w:pPr>
      <w:r w:rsidRPr="00C104E5">
        <w:t>Rapidité</w:t>
      </w:r>
    </w:p>
    <w:p w:rsidR="00CF07A2" w:rsidRPr="005E7D67" w:rsidRDefault="00CF07A2" w:rsidP="00CF07A2">
      <w:pPr>
        <w:jc w:val="both"/>
        <w:rPr>
          <w:lang w:val="fr-CA"/>
        </w:rPr>
      </w:pPr>
      <w:r w:rsidRPr="005E7D67">
        <w:rPr>
          <w:lang w:val="fr-CA"/>
        </w:rPr>
        <w:t xml:space="preserve">La figure 1 révèle que 75,9 % des demandes ont été </w:t>
      </w:r>
      <w:r>
        <w:rPr>
          <w:lang w:val="fr-CA"/>
        </w:rPr>
        <w:t>complétées</w:t>
      </w:r>
      <w:r w:rsidRPr="005E7D67">
        <w:rPr>
          <w:lang w:val="fr-CA"/>
        </w:rPr>
        <w:t xml:space="preserve"> en 30 jours ou moins, soit un résultat similaire à celui</w:t>
      </w:r>
      <w:r>
        <w:rPr>
          <w:lang w:val="fr-CA"/>
        </w:rPr>
        <w:t xml:space="preserve"> observé en 2013-2014 (76,9 %).</w:t>
      </w:r>
    </w:p>
    <w:p w:rsidR="00CF07A2" w:rsidRPr="006D53B4" w:rsidRDefault="00CF07A2" w:rsidP="00BA2BE8">
      <w:pPr>
        <w:pStyle w:val="Heading3"/>
        <w:rPr>
          <w:lang w:val="fr-FR"/>
        </w:rPr>
      </w:pPr>
      <w:r w:rsidRPr="006D53B4">
        <w:rPr>
          <w:lang w:val="fr-FR"/>
        </w:rPr>
        <w:t>Figure 1 : Délai de traite</w:t>
      </w:r>
      <w:r>
        <w:rPr>
          <w:lang w:val="fr-FR"/>
        </w:rPr>
        <w:t>ment des demandes</w:t>
      </w:r>
    </w:p>
    <w:p w:rsidR="00CF07A2" w:rsidRDefault="00CF07A2" w:rsidP="00CF07A2">
      <w:pPr>
        <w:spacing w:line="240" w:lineRule="auto"/>
        <w:contextualSpacing/>
        <w:jc w:val="center"/>
        <w:rPr>
          <w:lang w:val="fr-CA"/>
        </w:rPr>
      </w:pPr>
      <w:r w:rsidRPr="007032E3">
        <w:rPr>
          <w:noProof/>
        </w:rPr>
        <w:drawing>
          <wp:inline distT="0" distB="0" distL="0" distR="0">
            <wp:extent cx="6074797" cy="3816626"/>
            <wp:effectExtent l="0" t="0" r="21590" b="1270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07A2" w:rsidRPr="005E7D67" w:rsidRDefault="00CF07A2" w:rsidP="00CF07A2">
      <w:pPr>
        <w:pStyle w:val="Heading4"/>
      </w:pPr>
      <w:r w:rsidRPr="00C104E5">
        <w:t>Prorogations</w:t>
      </w:r>
    </w:p>
    <w:p w:rsidR="00CF07A2" w:rsidRPr="00E75CA1" w:rsidRDefault="00CF07A2" w:rsidP="00CF07A2">
      <w:pPr>
        <w:jc w:val="both"/>
        <w:rPr>
          <w:lang w:val="fr-CA"/>
        </w:rPr>
      </w:pPr>
      <w:r w:rsidRPr="00E75CA1">
        <w:rPr>
          <w:lang w:val="fr-CA"/>
        </w:rPr>
        <w:lastRenderedPageBreak/>
        <w:t>L’ASFC a eu recours à 445 prorogations en 2014-2015 par rapport à 467 en 2013-2014. Les demandes de consultation (53,3 %) étaient la raison la plus fréquemment invoquée pour demander une prorogation, suivie de l’entrave au fonctionnement de l’institution (44,7 %) et des avis à des tiers (2,0 %).</w:t>
      </w:r>
    </w:p>
    <w:p w:rsidR="00CF07A2" w:rsidRPr="005E7D67" w:rsidRDefault="00CF07A2" w:rsidP="00CF07A2">
      <w:pPr>
        <w:jc w:val="both"/>
        <w:rPr>
          <w:lang w:val="fr-CA"/>
        </w:rPr>
      </w:pPr>
      <w:r w:rsidRPr="005E7D67">
        <w:rPr>
          <w:lang w:val="fr-CA"/>
        </w:rPr>
        <w:t>La figure 2 montre que 45,8 % des prorogations en 2014</w:t>
      </w:r>
      <w:r>
        <w:rPr>
          <w:lang w:val="fr-CA"/>
        </w:rPr>
        <w:t>-</w:t>
      </w:r>
      <w:r w:rsidRPr="005E7D67">
        <w:rPr>
          <w:lang w:val="fr-CA"/>
        </w:rPr>
        <w:t>2015 étaient de 30 </w:t>
      </w:r>
      <w:r>
        <w:rPr>
          <w:lang w:val="fr-CA"/>
        </w:rPr>
        <w:t xml:space="preserve">jours ou moins. </w:t>
      </w:r>
      <w:r w:rsidRPr="00704351">
        <w:rPr>
          <w:lang w:val="fr-CA"/>
        </w:rPr>
        <w:t>Également, le nombre de prorogations de 31 à 60 </w:t>
      </w:r>
      <w:r>
        <w:rPr>
          <w:lang w:val="fr-CA"/>
        </w:rPr>
        <w:t>jours a chuté de 32,5</w:t>
      </w:r>
      <w:r w:rsidRPr="00704351">
        <w:rPr>
          <w:lang w:val="fr-CA"/>
        </w:rPr>
        <w:t xml:space="preserve"> % en 2013-2014 à 25,2 % en 2014</w:t>
      </w:r>
      <w:r>
        <w:rPr>
          <w:lang w:val="fr-CA"/>
        </w:rPr>
        <w:t>-</w:t>
      </w:r>
      <w:r w:rsidRPr="00704351">
        <w:rPr>
          <w:lang w:val="fr-CA"/>
        </w:rPr>
        <w:t>2015. Une diminution similaire a été observée quant au nombre de prorogations de 61 à 120 jours</w:t>
      </w:r>
      <w:r w:rsidRPr="005E7D67">
        <w:rPr>
          <w:lang w:val="fr-CA"/>
        </w:rPr>
        <w:t>. Cependant, nous constatons une augmentation du pourcentage de demandes prorogées au</w:t>
      </w:r>
      <w:r w:rsidRPr="005E7D67">
        <w:rPr>
          <w:lang w:val="fr-CA"/>
        </w:rPr>
        <w:noBreakHyphen/>
        <w:t>delà de 121 </w:t>
      </w:r>
      <w:r>
        <w:rPr>
          <w:lang w:val="fr-CA"/>
        </w:rPr>
        <w:t>jours (15,7</w:t>
      </w:r>
      <w:r w:rsidRPr="005E7D67">
        <w:rPr>
          <w:lang w:val="fr-CA"/>
        </w:rPr>
        <w:t> % en 2014</w:t>
      </w:r>
      <w:r>
        <w:rPr>
          <w:lang w:val="fr-CA"/>
        </w:rPr>
        <w:t>-2015 par rapport à 7,5</w:t>
      </w:r>
      <w:r w:rsidRPr="005E7D67">
        <w:rPr>
          <w:lang w:val="fr-CA"/>
        </w:rPr>
        <w:t xml:space="preserve"> % en </w:t>
      </w:r>
      <w:r>
        <w:rPr>
          <w:lang w:val="fr-CA"/>
        </w:rPr>
        <w:t>2013-</w:t>
      </w:r>
      <w:r w:rsidRPr="005E7D67">
        <w:rPr>
          <w:lang w:val="fr-CA"/>
        </w:rPr>
        <w:t>2014).</w:t>
      </w:r>
    </w:p>
    <w:p w:rsidR="00CF07A2" w:rsidRPr="006D53B4" w:rsidRDefault="00CF07A2" w:rsidP="00BA2BE8">
      <w:pPr>
        <w:pStyle w:val="Heading3"/>
        <w:rPr>
          <w:lang w:val="fr-FR"/>
        </w:rPr>
      </w:pPr>
      <w:r w:rsidRPr="006D53B4">
        <w:rPr>
          <w:lang w:val="fr-FR"/>
        </w:rPr>
        <w:t>Fig</w:t>
      </w:r>
      <w:r>
        <w:rPr>
          <w:lang w:val="fr-FR"/>
        </w:rPr>
        <w:t>ure 2 : Durée des prorogations</w:t>
      </w:r>
    </w:p>
    <w:p w:rsidR="00CF07A2" w:rsidRPr="007032E3" w:rsidRDefault="00CF07A2" w:rsidP="00CF07A2">
      <w:pPr>
        <w:rPr>
          <w:b/>
          <w:noProof/>
          <w:sz w:val="24"/>
          <w:szCs w:val="24"/>
          <w:lang w:val="fr-CA"/>
        </w:rPr>
      </w:pPr>
      <w:r w:rsidRPr="007032E3">
        <w:rPr>
          <w:noProof/>
        </w:rPr>
        <w:drawing>
          <wp:inline distT="0" distB="0" distL="0" distR="0">
            <wp:extent cx="5939624" cy="3848431"/>
            <wp:effectExtent l="0" t="0" r="23495" b="1905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07A2" w:rsidRPr="00C104E5" w:rsidRDefault="00CF07A2" w:rsidP="00CF07A2">
      <w:pPr>
        <w:pStyle w:val="Heading4"/>
      </w:pPr>
      <w:r>
        <w:t>Présomptions de refus</w:t>
      </w:r>
    </w:p>
    <w:p w:rsidR="00CF07A2" w:rsidRDefault="00CF07A2" w:rsidP="00CF07A2">
      <w:pPr>
        <w:jc w:val="both"/>
        <w:rPr>
          <w:lang w:val="fr-CA"/>
        </w:rPr>
      </w:pPr>
      <w:r w:rsidRPr="005E7D67">
        <w:rPr>
          <w:lang w:val="fr-CA"/>
        </w:rPr>
        <w:t>En 2014</w:t>
      </w:r>
      <w:r>
        <w:rPr>
          <w:lang w:val="fr-CA"/>
        </w:rPr>
        <w:t>-</w:t>
      </w:r>
      <w:r w:rsidRPr="005E7D67">
        <w:rPr>
          <w:lang w:val="fr-CA"/>
        </w:rPr>
        <w:t xml:space="preserve">2015, 441 demandes ont été fermées après l’échéancier réglementaire, ce qui représente 6,5 % des demandes </w:t>
      </w:r>
      <w:r>
        <w:rPr>
          <w:lang w:val="fr-CA"/>
        </w:rPr>
        <w:t>complétées</w:t>
      </w:r>
      <w:r w:rsidRPr="005E7D67">
        <w:rPr>
          <w:lang w:val="fr-CA"/>
        </w:rPr>
        <w:t>. Ce</w:t>
      </w:r>
      <w:r>
        <w:rPr>
          <w:lang w:val="fr-CA"/>
        </w:rPr>
        <w:t xml:space="preserve"> résultat procure à l’ASFC une n</w:t>
      </w:r>
      <w:r w:rsidRPr="005E7D67">
        <w:rPr>
          <w:lang w:val="fr-CA"/>
        </w:rPr>
        <w:t>ote</w:t>
      </w:r>
      <w:r>
        <w:rPr>
          <w:lang w:val="fr-CA"/>
        </w:rPr>
        <w:t xml:space="preserve"> de</w:t>
      </w:r>
      <w:r w:rsidRPr="005E7D67">
        <w:rPr>
          <w:lang w:val="fr-CA"/>
        </w:rPr>
        <w:t xml:space="preserve"> « B »</w:t>
      </w:r>
      <w:r w:rsidRPr="005E7D67">
        <w:rPr>
          <w:rStyle w:val="FootnoteReference"/>
          <w:lang w:val="fr-CA"/>
        </w:rPr>
        <w:footnoteReference w:id="10"/>
      </w:r>
      <w:r w:rsidRPr="005E7D67">
        <w:rPr>
          <w:lang w:val="fr-CA"/>
        </w:rPr>
        <w:t xml:space="preserve">. La </w:t>
      </w:r>
      <w:r w:rsidRPr="005E7D67">
        <w:rPr>
          <w:i/>
          <w:lang w:val="fr-CA"/>
        </w:rPr>
        <w:t>charge de travail</w:t>
      </w:r>
      <w:r>
        <w:rPr>
          <w:lang w:val="fr-CA"/>
        </w:rPr>
        <w:t xml:space="preserve"> (86,6</w:t>
      </w:r>
      <w:r w:rsidRPr="005E7D67">
        <w:rPr>
          <w:lang w:val="fr-CA"/>
        </w:rPr>
        <w:t> %) était la principale raison invoquée pour ne pas respecter l’échéancier réglementaire. La figure 3 montre que 42</w:t>
      </w:r>
      <w:r>
        <w:rPr>
          <w:lang w:val="fr-CA"/>
        </w:rPr>
        <w:t>,6</w:t>
      </w:r>
      <w:r w:rsidRPr="005E7D67">
        <w:rPr>
          <w:lang w:val="fr-CA"/>
        </w:rPr>
        <w:t> % des demandes échues étaient en retard de 15 jours ou moins et que 51</w:t>
      </w:r>
      <w:r>
        <w:rPr>
          <w:lang w:val="fr-CA"/>
        </w:rPr>
        <w:t>,5</w:t>
      </w:r>
      <w:r w:rsidRPr="005E7D67">
        <w:rPr>
          <w:lang w:val="fr-CA"/>
        </w:rPr>
        <w:t xml:space="preserve"> % des demandes étaient en retard de 30 jours ou moins. Ces </w:t>
      </w:r>
      <w:r>
        <w:rPr>
          <w:lang w:val="fr-CA"/>
        </w:rPr>
        <w:t>résultats</w:t>
      </w:r>
      <w:r w:rsidRPr="005E7D67">
        <w:rPr>
          <w:lang w:val="fr-CA"/>
        </w:rPr>
        <w:t xml:space="preserve"> sont similaire</w:t>
      </w:r>
      <w:r>
        <w:rPr>
          <w:lang w:val="fr-CA"/>
        </w:rPr>
        <w:t>s à ceux de la dernière période.</w:t>
      </w:r>
    </w:p>
    <w:p w:rsidR="00CF07A2" w:rsidRPr="005E7D67" w:rsidRDefault="00CF07A2" w:rsidP="00CF07A2">
      <w:pPr>
        <w:rPr>
          <w:lang w:val="fr-CA"/>
        </w:rPr>
      </w:pPr>
      <w:r>
        <w:rPr>
          <w:lang w:val="fr-CA"/>
        </w:rPr>
        <w:lastRenderedPageBreak/>
        <w:br w:type="page"/>
      </w:r>
    </w:p>
    <w:p w:rsidR="00CF07A2" w:rsidRPr="006D53B4" w:rsidRDefault="00CF07A2" w:rsidP="00BA2BE8">
      <w:pPr>
        <w:pStyle w:val="Heading3"/>
        <w:rPr>
          <w:lang w:val="fr-FR"/>
        </w:rPr>
      </w:pPr>
      <w:r w:rsidRPr="006D53B4">
        <w:rPr>
          <w:lang w:val="fr-FR"/>
        </w:rPr>
        <w:lastRenderedPageBreak/>
        <w:t xml:space="preserve">Figure 3 : </w:t>
      </w:r>
      <w:r>
        <w:rPr>
          <w:lang w:val="fr-FR"/>
        </w:rPr>
        <w:t>Retard des demandes échues</w:t>
      </w:r>
    </w:p>
    <w:p w:rsidR="00CF07A2" w:rsidRPr="007032E3" w:rsidRDefault="00CF07A2" w:rsidP="00CF07A2">
      <w:pPr>
        <w:rPr>
          <w:sz w:val="24"/>
          <w:szCs w:val="24"/>
          <w:lang w:val="fr-CA"/>
        </w:rPr>
      </w:pPr>
      <w:r w:rsidRPr="007032E3">
        <w:rPr>
          <w:noProof/>
        </w:rPr>
        <w:drawing>
          <wp:inline distT="0" distB="0" distL="0" distR="0">
            <wp:extent cx="5852160" cy="3803904"/>
            <wp:effectExtent l="0" t="0" r="15240" b="2540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07A2" w:rsidRDefault="00CF07A2" w:rsidP="00CF07A2">
      <w:pPr>
        <w:pStyle w:val="Heading2"/>
      </w:pPr>
      <w:r w:rsidRPr="00C104E5">
        <w:t>Divulgation</w:t>
      </w:r>
    </w:p>
    <w:p w:rsidR="00CF07A2" w:rsidRPr="00C104E5" w:rsidRDefault="00CF07A2" w:rsidP="00CF07A2">
      <w:pPr>
        <w:pStyle w:val="Heading4"/>
        <w:rPr>
          <w:b/>
        </w:rPr>
      </w:pPr>
      <w:r w:rsidRPr="00C104E5">
        <w:t>Pourcentage de demandes pour lesquelle</w:t>
      </w:r>
      <w:r>
        <w:t>s l’information a été divulguée</w:t>
      </w:r>
    </w:p>
    <w:p w:rsidR="00CF07A2" w:rsidRPr="00E75CA1" w:rsidRDefault="00CF07A2" w:rsidP="00CF07A2">
      <w:pPr>
        <w:keepNext/>
        <w:keepLines/>
        <w:jc w:val="both"/>
        <w:rPr>
          <w:lang w:val="fr-CA"/>
        </w:rPr>
      </w:pPr>
      <w:r w:rsidRPr="005E7D67">
        <w:rPr>
          <w:lang w:val="fr-CA"/>
        </w:rPr>
        <w:t>En 2014</w:t>
      </w:r>
      <w:r w:rsidRPr="005E7D67">
        <w:rPr>
          <w:lang w:val="fr-CA"/>
        </w:rPr>
        <w:noBreakHyphen/>
        <w:t xml:space="preserve">2015, 59,8 % des demandes </w:t>
      </w:r>
      <w:r>
        <w:rPr>
          <w:lang w:val="fr-CA"/>
        </w:rPr>
        <w:t>complétées</w:t>
      </w:r>
      <w:r w:rsidRPr="005E7D67">
        <w:rPr>
          <w:lang w:val="fr-CA"/>
        </w:rPr>
        <w:t xml:space="preserve"> (6 802) ont </w:t>
      </w:r>
      <w:r>
        <w:rPr>
          <w:lang w:val="fr-CA"/>
        </w:rPr>
        <w:t>fait l’objet d’une divulgation complète</w:t>
      </w:r>
      <w:r w:rsidRPr="005E7D67">
        <w:rPr>
          <w:lang w:val="fr-CA"/>
        </w:rPr>
        <w:t>, ce qui représente le taux de divulgation le plus élevé depuis 2012 (voir figure 4). L</w:t>
      </w:r>
      <w:r>
        <w:rPr>
          <w:lang w:val="fr-CA"/>
        </w:rPr>
        <w:t>e taux de</w:t>
      </w:r>
      <w:r w:rsidRPr="005E7D67">
        <w:rPr>
          <w:lang w:val="fr-CA"/>
        </w:rPr>
        <w:t xml:space="preserve"> demandes </w:t>
      </w:r>
      <w:r>
        <w:rPr>
          <w:lang w:val="fr-CA"/>
        </w:rPr>
        <w:t xml:space="preserve">ayant fait l’objet d’une divulgation partielle </w:t>
      </w:r>
      <w:r w:rsidRPr="005E7D67">
        <w:rPr>
          <w:lang w:val="fr-CA"/>
        </w:rPr>
        <w:t xml:space="preserve">était de </w:t>
      </w:r>
      <w:r>
        <w:rPr>
          <w:lang w:val="fr-CA"/>
        </w:rPr>
        <w:t>27,9 %</w:t>
      </w:r>
      <w:r w:rsidRPr="005E7D67">
        <w:rPr>
          <w:lang w:val="fr-CA"/>
        </w:rPr>
        <w:t xml:space="preserve"> en 2014</w:t>
      </w:r>
      <w:r w:rsidRPr="005E7D67">
        <w:rPr>
          <w:lang w:val="fr-CA"/>
        </w:rPr>
        <w:noBreakHyphen/>
        <w:t>2015, ce qui représ</w:t>
      </w:r>
      <w:r>
        <w:rPr>
          <w:lang w:val="fr-CA"/>
        </w:rPr>
        <w:t>ente une diminution de 8,9</w:t>
      </w:r>
      <w:r w:rsidRPr="005E7D67">
        <w:rPr>
          <w:lang w:val="fr-CA"/>
        </w:rPr>
        <w:t> % par ra</w:t>
      </w:r>
      <w:r>
        <w:rPr>
          <w:lang w:val="fr-CA"/>
        </w:rPr>
        <w:t>pport à la période précédente.</w:t>
      </w:r>
    </w:p>
    <w:p w:rsidR="00CF07A2" w:rsidRPr="00957E09" w:rsidRDefault="00CF07A2">
      <w:pPr>
        <w:rPr>
          <w:b/>
          <w:lang w:val="fr-FR"/>
        </w:rPr>
      </w:pPr>
      <w:r w:rsidRPr="00957E09">
        <w:rPr>
          <w:lang w:val="fr-FR"/>
        </w:rPr>
        <w:br w:type="page"/>
      </w:r>
    </w:p>
    <w:p w:rsidR="00CF07A2" w:rsidRPr="007A004C" w:rsidRDefault="00CF07A2" w:rsidP="00BA2BE8">
      <w:pPr>
        <w:pStyle w:val="Heading3"/>
      </w:pPr>
      <w:r w:rsidRPr="007A004C">
        <w:lastRenderedPageBreak/>
        <w:t xml:space="preserve">Figure </w:t>
      </w:r>
      <w:proofErr w:type="gramStart"/>
      <w:r w:rsidRPr="007A004C">
        <w:t>4 :</w:t>
      </w:r>
      <w:proofErr w:type="gramEnd"/>
      <w:r w:rsidRPr="007A004C">
        <w:t xml:space="preserve"> </w:t>
      </w:r>
      <w:proofErr w:type="spellStart"/>
      <w:r w:rsidRPr="007A004C">
        <w:t>Niveaux</w:t>
      </w:r>
      <w:proofErr w:type="spellEnd"/>
      <w:r w:rsidRPr="007A004C">
        <w:t xml:space="preserve"> de divulgation</w:t>
      </w:r>
    </w:p>
    <w:p w:rsidR="00CF07A2" w:rsidRPr="00C104E5" w:rsidRDefault="00CF07A2" w:rsidP="00CF07A2">
      <w:pPr>
        <w:spacing w:line="240" w:lineRule="auto"/>
        <w:contextualSpacing/>
        <w:jc w:val="center"/>
        <w:rPr>
          <w:sz w:val="24"/>
          <w:szCs w:val="24"/>
          <w:lang w:val="fr-CA"/>
        </w:rPr>
      </w:pPr>
      <w:r w:rsidRPr="007032E3">
        <w:rPr>
          <w:noProof/>
          <w:sz w:val="24"/>
          <w:szCs w:val="24"/>
        </w:rPr>
        <w:drawing>
          <wp:inline distT="0" distB="0" distL="0" distR="0">
            <wp:extent cx="5998464" cy="3913632"/>
            <wp:effectExtent l="0" t="0" r="21590" b="10795"/>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07A2" w:rsidRPr="00C104E5" w:rsidRDefault="00CF07A2" w:rsidP="00CF07A2">
      <w:pPr>
        <w:pStyle w:val="Heading4"/>
      </w:pPr>
      <w:r w:rsidRPr="00C104E5">
        <w:t>Exceptions</w:t>
      </w:r>
    </w:p>
    <w:p w:rsidR="00CF07A2" w:rsidRDefault="00CF07A2" w:rsidP="00CF07A2">
      <w:pPr>
        <w:jc w:val="both"/>
        <w:rPr>
          <w:lang w:val="fr-CA"/>
        </w:rPr>
      </w:pPr>
      <w:r w:rsidRPr="005E7D67">
        <w:rPr>
          <w:lang w:val="fr-CA"/>
        </w:rPr>
        <w:t xml:space="preserve">Le nombre </w:t>
      </w:r>
      <w:r w:rsidRPr="00DF4CB0">
        <w:rPr>
          <w:lang w:val="fr-CA"/>
        </w:rPr>
        <w:t xml:space="preserve">moyen d’exceptions par demande </w:t>
      </w:r>
      <w:r>
        <w:rPr>
          <w:lang w:val="fr-CA"/>
        </w:rPr>
        <w:t>complétée</w:t>
      </w:r>
      <w:r w:rsidRPr="00DF4CB0">
        <w:rPr>
          <w:lang w:val="fr-CA"/>
        </w:rPr>
        <w:t xml:space="preserve"> a diminué </w:t>
      </w:r>
      <w:r>
        <w:rPr>
          <w:lang w:val="fr-CA"/>
        </w:rPr>
        <w:t>de 1,05 en 2013</w:t>
      </w:r>
      <w:r w:rsidRPr="00DF4CB0">
        <w:rPr>
          <w:lang w:val="fr-CA"/>
        </w:rPr>
        <w:noBreakHyphen/>
      </w:r>
      <w:r>
        <w:rPr>
          <w:lang w:val="fr-CA"/>
        </w:rPr>
        <w:t xml:space="preserve">2014 </w:t>
      </w:r>
      <w:r w:rsidRPr="00DF4CB0">
        <w:rPr>
          <w:lang w:val="fr-CA"/>
        </w:rPr>
        <w:t>à 0,75</w:t>
      </w:r>
      <w:r>
        <w:rPr>
          <w:lang w:val="fr-CA"/>
        </w:rPr>
        <w:t xml:space="preserve"> en 2014-2015 </w:t>
      </w:r>
      <w:r w:rsidRPr="00DF4CB0">
        <w:rPr>
          <w:lang w:val="fr-CA"/>
        </w:rPr>
        <w:t>(voir tableau 2). Les exceptions les plus fréquemment invoquées en 2014-2015 étaient l’article 16 (l’application de la loi et les enquêtes)</w:t>
      </w:r>
      <w:r>
        <w:rPr>
          <w:lang w:val="fr-CA"/>
        </w:rPr>
        <w:t xml:space="preserve"> </w:t>
      </w:r>
      <w:r w:rsidRPr="00DF4CB0">
        <w:rPr>
          <w:lang w:val="fr-CA"/>
        </w:rPr>
        <w:t>(3</w:t>
      </w:r>
      <w:r>
        <w:rPr>
          <w:lang w:val="fr-CA"/>
        </w:rPr>
        <w:t>6,6</w:t>
      </w:r>
      <w:r w:rsidRPr="00DF4CB0">
        <w:rPr>
          <w:lang w:val="fr-CA"/>
        </w:rPr>
        <w:t> %), l’article 19 (les renseignements personnels) (29</w:t>
      </w:r>
      <w:r>
        <w:rPr>
          <w:lang w:val="fr-CA"/>
        </w:rPr>
        <w:t>,2</w:t>
      </w:r>
      <w:r w:rsidRPr="00DF4CB0">
        <w:rPr>
          <w:lang w:val="fr-CA"/>
        </w:rPr>
        <w:t> %), et l’article 15 (les affaires internationales</w:t>
      </w:r>
      <w:r>
        <w:rPr>
          <w:lang w:val="fr-CA"/>
        </w:rPr>
        <w:t xml:space="preserve"> et la défense</w:t>
      </w:r>
      <w:r w:rsidRPr="00DF4CB0">
        <w:rPr>
          <w:lang w:val="fr-CA"/>
        </w:rPr>
        <w:t>)</w:t>
      </w:r>
      <w:r>
        <w:rPr>
          <w:lang w:val="fr-CA"/>
        </w:rPr>
        <w:t xml:space="preserve"> </w:t>
      </w:r>
      <w:r w:rsidRPr="00DF4CB0">
        <w:rPr>
          <w:lang w:val="fr-CA"/>
        </w:rPr>
        <w:t>(12</w:t>
      </w:r>
      <w:r>
        <w:rPr>
          <w:lang w:val="fr-CA"/>
        </w:rPr>
        <w:t>,2</w:t>
      </w:r>
      <w:r w:rsidRPr="00DF4CB0">
        <w:rPr>
          <w:lang w:val="fr-CA"/>
        </w:rPr>
        <w:t> %).</w:t>
      </w:r>
    </w:p>
    <w:p w:rsidR="00CF07A2" w:rsidRPr="005E7D67" w:rsidRDefault="00CF07A2" w:rsidP="00BA2BE8">
      <w:pPr>
        <w:pStyle w:val="Heading3"/>
      </w:pPr>
      <w:r w:rsidRPr="005E7D67">
        <w:t xml:space="preserve">Tableau </w:t>
      </w:r>
      <w:proofErr w:type="gramStart"/>
      <w:r w:rsidRPr="005E7D67">
        <w:t>2 :</w:t>
      </w:r>
      <w:proofErr w:type="gramEnd"/>
      <w:r w:rsidRPr="005E7D67">
        <w:t xml:space="preserve"> Exceptions</w:t>
      </w:r>
    </w:p>
    <w:tbl>
      <w:tblPr>
        <w:tblW w:w="9152" w:type="dxa"/>
        <w:tblInd w:w="93" w:type="dxa"/>
        <w:tblLook w:val="04A0"/>
      </w:tblPr>
      <w:tblGrid>
        <w:gridCol w:w="4246"/>
        <w:gridCol w:w="1576"/>
        <w:gridCol w:w="1525"/>
        <w:gridCol w:w="1805"/>
      </w:tblGrid>
      <w:tr w:rsidR="00CF07A2" w:rsidRPr="005E7D67" w:rsidTr="00CF07A2">
        <w:trPr>
          <w:trHeight w:val="270"/>
        </w:trPr>
        <w:tc>
          <w:tcPr>
            <w:tcW w:w="4246" w:type="dxa"/>
            <w:tcBorders>
              <w:top w:val="single" w:sz="4" w:space="0" w:color="auto"/>
              <w:left w:val="single" w:sz="4" w:space="0" w:color="auto"/>
              <w:bottom w:val="single" w:sz="4" w:space="0" w:color="auto"/>
              <w:right w:val="nil"/>
            </w:tcBorders>
            <w:shd w:val="clear" w:color="auto" w:fill="auto"/>
            <w:noWrap/>
            <w:vAlign w:val="bottom"/>
            <w:hideMark/>
          </w:tcPr>
          <w:p w:rsidR="00CF07A2" w:rsidRPr="005E7D67" w:rsidRDefault="00CF07A2" w:rsidP="00CF07A2">
            <w:pPr>
              <w:spacing w:after="0" w:line="240" w:lineRule="auto"/>
              <w:contextualSpacing/>
              <w:rPr>
                <w:rFonts w:ascii="Calibri" w:eastAsia="Times New Roman" w:hAnsi="Calibri" w:cs="Times New Roman"/>
                <w:color w:val="000000"/>
                <w:lang w:val="fr-CA"/>
              </w:rPr>
            </w:pPr>
            <w:r w:rsidRPr="005E7D67">
              <w:rPr>
                <w:rFonts w:ascii="Calibri" w:eastAsia="Times New Roman" w:hAnsi="Calibri" w:cs="Times New Roman"/>
                <w:color w:val="000000"/>
                <w:lang w:val="fr-CA"/>
              </w:rPr>
              <w:t xml:space="preserve">Exceptions </w:t>
            </w:r>
          </w:p>
        </w:tc>
        <w:tc>
          <w:tcPr>
            <w:tcW w:w="1576" w:type="dxa"/>
            <w:tcBorders>
              <w:top w:val="single" w:sz="4" w:space="0" w:color="auto"/>
              <w:left w:val="nil"/>
              <w:bottom w:val="single" w:sz="4" w:space="0" w:color="auto"/>
              <w:right w:val="nil"/>
            </w:tcBorders>
            <w:shd w:val="clear" w:color="auto" w:fill="auto"/>
            <w:noWrap/>
            <w:vAlign w:val="center"/>
            <w:hideMark/>
          </w:tcPr>
          <w:p w:rsidR="00CF07A2" w:rsidRPr="005E7D67" w:rsidRDefault="00CF07A2" w:rsidP="00CF07A2">
            <w:pPr>
              <w:spacing w:after="0" w:line="240" w:lineRule="auto"/>
              <w:contextualSpacing/>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2012-2013</w:t>
            </w:r>
          </w:p>
        </w:tc>
        <w:tc>
          <w:tcPr>
            <w:tcW w:w="1525" w:type="dxa"/>
            <w:tcBorders>
              <w:top w:val="single" w:sz="4" w:space="0" w:color="auto"/>
              <w:left w:val="nil"/>
              <w:bottom w:val="single" w:sz="4" w:space="0" w:color="auto"/>
              <w:right w:val="nil"/>
            </w:tcBorders>
            <w:shd w:val="clear" w:color="auto" w:fill="auto"/>
            <w:noWrap/>
            <w:vAlign w:val="center"/>
            <w:hideMark/>
          </w:tcPr>
          <w:p w:rsidR="00CF07A2" w:rsidRPr="005E7D67" w:rsidRDefault="00CF07A2" w:rsidP="00CF07A2">
            <w:pPr>
              <w:spacing w:after="0" w:line="240" w:lineRule="auto"/>
              <w:contextualSpacing/>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2013-2014</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CF07A2" w:rsidRPr="005E7D67" w:rsidRDefault="00CF07A2" w:rsidP="00CF07A2">
            <w:pPr>
              <w:spacing w:after="0" w:line="240" w:lineRule="auto"/>
              <w:contextualSpacing/>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2014-2015</w:t>
            </w:r>
          </w:p>
        </w:tc>
      </w:tr>
      <w:tr w:rsidR="00CF07A2" w:rsidRPr="005E7D67" w:rsidTr="00CF07A2">
        <w:trPr>
          <w:trHeight w:val="468"/>
        </w:trPr>
        <w:tc>
          <w:tcPr>
            <w:tcW w:w="4246" w:type="dxa"/>
            <w:tcBorders>
              <w:top w:val="nil"/>
              <w:left w:val="single" w:sz="4" w:space="0" w:color="auto"/>
              <w:bottom w:val="nil"/>
              <w:right w:val="nil"/>
            </w:tcBorders>
            <w:shd w:val="clear" w:color="000000" w:fill="DBE5F1"/>
            <w:hideMark/>
          </w:tcPr>
          <w:p w:rsidR="00CF07A2" w:rsidRPr="005E7D67" w:rsidRDefault="00CF07A2" w:rsidP="00CF07A2">
            <w:pPr>
              <w:spacing w:after="0" w:line="240" w:lineRule="auto"/>
              <w:contextualSpacing/>
              <w:rPr>
                <w:rFonts w:ascii="Calibri" w:eastAsia="Times New Roman" w:hAnsi="Calibri" w:cs="Times New Roman"/>
                <w:color w:val="000000"/>
                <w:lang w:val="fr-CA"/>
              </w:rPr>
            </w:pPr>
            <w:r w:rsidRPr="005E7D67">
              <w:rPr>
                <w:rFonts w:ascii="Calibri" w:eastAsia="Times New Roman" w:hAnsi="Calibri" w:cs="Times New Roman"/>
                <w:color w:val="000000"/>
                <w:lang w:val="fr-CA"/>
              </w:rPr>
              <w:t xml:space="preserve">Nombre total d’exceptions </w:t>
            </w:r>
          </w:p>
        </w:tc>
        <w:tc>
          <w:tcPr>
            <w:tcW w:w="1576" w:type="dxa"/>
            <w:tcBorders>
              <w:top w:val="nil"/>
              <w:left w:val="nil"/>
              <w:bottom w:val="nil"/>
              <w:right w:val="nil"/>
            </w:tcBorders>
            <w:shd w:val="clear" w:color="000000" w:fill="DBE5F1"/>
            <w:noWrap/>
            <w:vAlign w:val="center"/>
            <w:hideMark/>
          </w:tcPr>
          <w:p w:rsidR="00CF07A2" w:rsidRPr="005E7D67" w:rsidRDefault="00CF07A2" w:rsidP="00CF07A2">
            <w:pPr>
              <w:spacing w:after="0" w:line="240" w:lineRule="auto"/>
              <w:contextualSpacing/>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2 983</w:t>
            </w:r>
          </w:p>
        </w:tc>
        <w:tc>
          <w:tcPr>
            <w:tcW w:w="1525" w:type="dxa"/>
            <w:tcBorders>
              <w:top w:val="nil"/>
              <w:left w:val="nil"/>
              <w:bottom w:val="nil"/>
              <w:right w:val="nil"/>
            </w:tcBorders>
            <w:shd w:val="clear" w:color="000000" w:fill="DBE5F1"/>
            <w:noWrap/>
            <w:vAlign w:val="center"/>
            <w:hideMark/>
          </w:tcPr>
          <w:p w:rsidR="00CF07A2" w:rsidRPr="005E7D67" w:rsidRDefault="00CF07A2" w:rsidP="00CF07A2">
            <w:pPr>
              <w:spacing w:after="0" w:line="240" w:lineRule="auto"/>
              <w:contextualSpacing/>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4 298</w:t>
            </w:r>
          </w:p>
        </w:tc>
        <w:tc>
          <w:tcPr>
            <w:tcW w:w="1805" w:type="dxa"/>
            <w:tcBorders>
              <w:top w:val="nil"/>
              <w:left w:val="nil"/>
              <w:bottom w:val="nil"/>
              <w:right w:val="single" w:sz="4" w:space="0" w:color="auto"/>
            </w:tcBorders>
            <w:shd w:val="clear" w:color="000000" w:fill="DBE5F1"/>
            <w:noWrap/>
            <w:vAlign w:val="center"/>
            <w:hideMark/>
          </w:tcPr>
          <w:p w:rsidR="00CF07A2" w:rsidRPr="005E7D67" w:rsidRDefault="00CF07A2" w:rsidP="00CF07A2">
            <w:pPr>
              <w:spacing w:after="0" w:line="240" w:lineRule="auto"/>
              <w:contextualSpacing/>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5 121</w:t>
            </w:r>
          </w:p>
        </w:tc>
      </w:tr>
      <w:tr w:rsidR="00CF07A2" w:rsidRPr="005E7D67" w:rsidTr="00CF07A2">
        <w:trPr>
          <w:trHeight w:val="391"/>
        </w:trPr>
        <w:tc>
          <w:tcPr>
            <w:tcW w:w="4246" w:type="dxa"/>
            <w:tcBorders>
              <w:top w:val="nil"/>
              <w:left w:val="single" w:sz="4" w:space="0" w:color="auto"/>
              <w:bottom w:val="nil"/>
              <w:right w:val="nil"/>
            </w:tcBorders>
            <w:shd w:val="clear" w:color="auto" w:fill="FFFFFF" w:themeFill="background1"/>
            <w:hideMark/>
          </w:tcPr>
          <w:p w:rsidR="00CF07A2" w:rsidRPr="005E7D67" w:rsidRDefault="00CF07A2" w:rsidP="00CF07A2">
            <w:pPr>
              <w:rPr>
                <w:rFonts w:ascii="Calibri" w:hAnsi="Calibri"/>
                <w:color w:val="000000"/>
                <w:lang w:val="fr-CA"/>
              </w:rPr>
            </w:pPr>
            <w:r>
              <w:rPr>
                <w:rFonts w:ascii="Calibri" w:hAnsi="Calibri"/>
                <w:color w:val="000000"/>
                <w:lang w:val="fr-CA"/>
              </w:rPr>
              <w:t>Nombre total de demandes complét</w:t>
            </w:r>
            <w:r w:rsidRPr="005E7D67">
              <w:rPr>
                <w:rFonts w:ascii="Calibri" w:hAnsi="Calibri"/>
                <w:color w:val="000000"/>
                <w:lang w:val="fr-CA"/>
              </w:rPr>
              <w:t>ées</w:t>
            </w:r>
          </w:p>
        </w:tc>
        <w:tc>
          <w:tcPr>
            <w:tcW w:w="1576" w:type="dxa"/>
            <w:tcBorders>
              <w:top w:val="nil"/>
              <w:left w:val="nil"/>
              <w:bottom w:val="nil"/>
              <w:right w:val="nil"/>
            </w:tcBorders>
            <w:shd w:val="clear" w:color="auto" w:fill="FFFFFF" w:themeFill="background1"/>
            <w:noWrap/>
            <w:vAlign w:val="center"/>
            <w:hideMark/>
          </w:tcPr>
          <w:p w:rsidR="00CF07A2" w:rsidRPr="008C6540" w:rsidRDefault="00CF07A2" w:rsidP="00CF07A2">
            <w:pPr>
              <w:jc w:val="center"/>
              <w:rPr>
                <w:rFonts w:ascii="Calibri" w:hAnsi="Calibri"/>
                <w:color w:val="000000"/>
                <w:lang w:val="fr-CA"/>
              </w:rPr>
            </w:pPr>
            <w:r w:rsidRPr="005E7D67">
              <w:rPr>
                <w:rFonts w:ascii="Calibri" w:hAnsi="Calibri"/>
                <w:color w:val="000000"/>
                <w:lang w:val="fr-CA"/>
              </w:rPr>
              <w:t>2 891</w:t>
            </w:r>
          </w:p>
        </w:tc>
        <w:tc>
          <w:tcPr>
            <w:tcW w:w="1525" w:type="dxa"/>
            <w:tcBorders>
              <w:top w:val="nil"/>
              <w:left w:val="nil"/>
              <w:bottom w:val="nil"/>
              <w:right w:val="nil"/>
            </w:tcBorders>
            <w:shd w:val="clear" w:color="auto" w:fill="FFFFFF" w:themeFill="background1"/>
            <w:noWrap/>
            <w:vAlign w:val="center"/>
            <w:hideMark/>
          </w:tcPr>
          <w:p w:rsidR="00CF07A2" w:rsidRPr="008C6540" w:rsidRDefault="00CF07A2" w:rsidP="00CF07A2">
            <w:pPr>
              <w:jc w:val="center"/>
              <w:rPr>
                <w:rFonts w:ascii="Calibri" w:hAnsi="Calibri"/>
                <w:color w:val="000000"/>
                <w:lang w:val="fr-CA"/>
              </w:rPr>
            </w:pPr>
            <w:r w:rsidRPr="005E7D67">
              <w:rPr>
                <w:rFonts w:ascii="Calibri" w:hAnsi="Calibri"/>
                <w:color w:val="000000"/>
                <w:lang w:val="fr-CA"/>
              </w:rPr>
              <w:t>4 079</w:t>
            </w:r>
          </w:p>
        </w:tc>
        <w:tc>
          <w:tcPr>
            <w:tcW w:w="1805" w:type="dxa"/>
            <w:tcBorders>
              <w:top w:val="nil"/>
              <w:left w:val="nil"/>
              <w:bottom w:val="nil"/>
              <w:right w:val="single" w:sz="4" w:space="0" w:color="auto"/>
            </w:tcBorders>
            <w:shd w:val="clear" w:color="auto" w:fill="FFFFFF" w:themeFill="background1"/>
            <w:noWrap/>
            <w:hideMark/>
          </w:tcPr>
          <w:p w:rsidR="00CF07A2" w:rsidRPr="005E7D67" w:rsidRDefault="00CF07A2" w:rsidP="00CF07A2">
            <w:pPr>
              <w:jc w:val="center"/>
              <w:rPr>
                <w:rFonts w:ascii="Calibri" w:eastAsia="Times New Roman" w:hAnsi="Calibri" w:cs="Times New Roman"/>
                <w:lang w:val="fr-CA"/>
              </w:rPr>
            </w:pPr>
            <w:r w:rsidRPr="005E7D67">
              <w:rPr>
                <w:rFonts w:ascii="Calibri" w:hAnsi="Calibri"/>
                <w:color w:val="000000"/>
                <w:lang w:val="fr-CA"/>
              </w:rPr>
              <w:t>6 802</w:t>
            </w:r>
          </w:p>
        </w:tc>
      </w:tr>
      <w:tr w:rsidR="00CF07A2" w:rsidRPr="005E7D67" w:rsidTr="00CF07A2">
        <w:trPr>
          <w:trHeight w:val="508"/>
        </w:trPr>
        <w:tc>
          <w:tcPr>
            <w:tcW w:w="4246" w:type="dxa"/>
            <w:tcBorders>
              <w:top w:val="nil"/>
              <w:left w:val="single" w:sz="4" w:space="0" w:color="auto"/>
              <w:bottom w:val="single" w:sz="4" w:space="0" w:color="auto"/>
              <w:right w:val="nil"/>
            </w:tcBorders>
            <w:shd w:val="clear" w:color="auto" w:fill="DBE5F1" w:themeFill="accent1" w:themeFillTint="33"/>
            <w:hideMark/>
          </w:tcPr>
          <w:p w:rsidR="00CF07A2" w:rsidRPr="005E7D67" w:rsidRDefault="00CF07A2" w:rsidP="00CF07A2">
            <w:pPr>
              <w:spacing w:after="0" w:line="240" w:lineRule="auto"/>
              <w:rPr>
                <w:rFonts w:ascii="Calibri" w:eastAsia="Times New Roman" w:hAnsi="Calibri" w:cs="Times New Roman"/>
                <w:color w:val="000000"/>
                <w:lang w:val="fr-CA"/>
              </w:rPr>
            </w:pPr>
            <w:r w:rsidRPr="005E7D67">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576" w:type="dxa"/>
            <w:tcBorders>
              <w:top w:val="nil"/>
              <w:left w:val="nil"/>
              <w:bottom w:val="single" w:sz="4" w:space="0" w:color="auto"/>
              <w:right w:val="nil"/>
            </w:tcBorders>
            <w:shd w:val="clear" w:color="auto" w:fill="DBE5F1" w:themeFill="accent1" w:themeFillTint="33"/>
            <w:noWrap/>
            <w:vAlign w:val="center"/>
            <w:hideMark/>
          </w:tcPr>
          <w:p w:rsidR="00CF07A2" w:rsidRPr="005E7D67" w:rsidRDefault="00CF07A2" w:rsidP="00CF07A2">
            <w:pPr>
              <w:spacing w:after="0" w:line="240" w:lineRule="auto"/>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1,03</w:t>
            </w:r>
          </w:p>
        </w:tc>
        <w:tc>
          <w:tcPr>
            <w:tcW w:w="1525" w:type="dxa"/>
            <w:tcBorders>
              <w:top w:val="nil"/>
              <w:left w:val="nil"/>
              <w:bottom w:val="single" w:sz="4" w:space="0" w:color="auto"/>
              <w:right w:val="nil"/>
            </w:tcBorders>
            <w:shd w:val="clear" w:color="auto" w:fill="DBE5F1" w:themeFill="accent1" w:themeFillTint="33"/>
            <w:noWrap/>
            <w:vAlign w:val="center"/>
            <w:hideMark/>
          </w:tcPr>
          <w:p w:rsidR="00CF07A2" w:rsidRPr="005E7D67" w:rsidRDefault="00CF07A2" w:rsidP="00CF07A2">
            <w:pPr>
              <w:spacing w:after="0" w:line="240" w:lineRule="auto"/>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1,05</w:t>
            </w:r>
          </w:p>
        </w:tc>
        <w:tc>
          <w:tcPr>
            <w:tcW w:w="1805" w:type="dxa"/>
            <w:tcBorders>
              <w:top w:val="nil"/>
              <w:left w:val="nil"/>
              <w:bottom w:val="single" w:sz="4" w:space="0" w:color="auto"/>
              <w:right w:val="single" w:sz="4" w:space="0" w:color="auto"/>
            </w:tcBorders>
            <w:shd w:val="clear" w:color="auto" w:fill="DBE5F1" w:themeFill="accent1" w:themeFillTint="33"/>
            <w:noWrap/>
            <w:vAlign w:val="center"/>
            <w:hideMark/>
          </w:tcPr>
          <w:p w:rsidR="00CF07A2" w:rsidRPr="005E7D67" w:rsidRDefault="00CF07A2" w:rsidP="00CF07A2">
            <w:pPr>
              <w:spacing w:after="0" w:line="240" w:lineRule="auto"/>
              <w:jc w:val="center"/>
              <w:rPr>
                <w:rFonts w:ascii="Calibri" w:eastAsia="Times New Roman" w:hAnsi="Calibri" w:cs="Times New Roman"/>
                <w:color w:val="000000"/>
                <w:lang w:val="fr-CA"/>
              </w:rPr>
            </w:pPr>
            <w:r w:rsidRPr="005E7D67">
              <w:rPr>
                <w:rFonts w:ascii="Calibri" w:eastAsia="Times New Roman" w:hAnsi="Calibri" w:cs="Times New Roman"/>
                <w:color w:val="000000"/>
                <w:lang w:val="fr-CA"/>
              </w:rPr>
              <w:t>0,75</w:t>
            </w:r>
          </w:p>
        </w:tc>
      </w:tr>
    </w:tbl>
    <w:p w:rsidR="00CF07A2" w:rsidRDefault="00CF07A2" w:rsidP="00CF07A2">
      <w:pPr>
        <w:pStyle w:val="Heading2"/>
        <w:spacing w:before="240"/>
      </w:pPr>
    </w:p>
    <w:p w:rsidR="00CF07A2" w:rsidRDefault="00CF07A2" w:rsidP="00CF07A2">
      <w:pPr>
        <w:rPr>
          <w:lang w:val="fr-CA"/>
        </w:rPr>
      </w:pPr>
      <w:r>
        <w:br w:type="page"/>
      </w:r>
    </w:p>
    <w:p w:rsidR="00CF07A2" w:rsidRPr="00C104E5" w:rsidRDefault="00CF07A2" w:rsidP="00CF07A2">
      <w:pPr>
        <w:pStyle w:val="Heading2"/>
        <w:spacing w:before="240"/>
      </w:pPr>
      <w:r w:rsidRPr="00C104E5">
        <w:lastRenderedPageBreak/>
        <w:t>Plaintes au Commissariat à l’information</w:t>
      </w:r>
    </w:p>
    <w:p w:rsidR="00CF07A2" w:rsidRDefault="00CF07A2" w:rsidP="00CF07A2">
      <w:pPr>
        <w:jc w:val="both"/>
        <w:rPr>
          <w:lang w:val="fr-CA"/>
        </w:rPr>
      </w:pPr>
      <w:r w:rsidRPr="005E7D67">
        <w:rPr>
          <w:lang w:val="fr-CA"/>
        </w:rPr>
        <w:t>Le nombre de plaintes reçues</w:t>
      </w:r>
      <w:r>
        <w:rPr>
          <w:rStyle w:val="FootnoteReference"/>
          <w:lang w:val="fr-CA"/>
        </w:rPr>
        <w:footnoteReference w:id="11"/>
      </w:r>
      <w:r w:rsidRPr="005E7D67">
        <w:rPr>
          <w:lang w:val="fr-CA"/>
        </w:rPr>
        <w:t xml:space="preserve"> contre l’ASFC était de 78 en 2014</w:t>
      </w:r>
      <w:r w:rsidRPr="005E7D67">
        <w:rPr>
          <w:lang w:val="fr-CA"/>
        </w:rPr>
        <w:noBreakHyphen/>
        <w:t xml:space="preserve">2015 par rapport à 106 lors de la période précédente. On observe une diminution considérable </w:t>
      </w:r>
      <w:r>
        <w:rPr>
          <w:lang w:val="fr-CA"/>
        </w:rPr>
        <w:t>du nombre de</w:t>
      </w:r>
      <w:r w:rsidRPr="005E7D67">
        <w:rPr>
          <w:lang w:val="fr-CA"/>
        </w:rPr>
        <w:t xml:space="preserve"> plaintes administratives, qui ont </w:t>
      </w:r>
      <w:r>
        <w:rPr>
          <w:lang w:val="fr-CA"/>
        </w:rPr>
        <w:t>diminué</w:t>
      </w:r>
      <w:r w:rsidRPr="005E7D67">
        <w:rPr>
          <w:lang w:val="fr-CA"/>
        </w:rPr>
        <w:t xml:space="preserve"> </w:t>
      </w:r>
      <w:r>
        <w:rPr>
          <w:lang w:val="fr-CA"/>
        </w:rPr>
        <w:t xml:space="preserve">pour passer </w:t>
      </w:r>
      <w:r w:rsidRPr="005E7D67">
        <w:rPr>
          <w:lang w:val="fr-CA"/>
        </w:rPr>
        <w:t>de 46,2 % en 2013</w:t>
      </w:r>
      <w:r w:rsidRPr="005E7D67">
        <w:rPr>
          <w:lang w:val="fr-CA"/>
        </w:rPr>
        <w:noBreakHyphen/>
        <w:t>2014 à 28,2 % pour la période de référence</w:t>
      </w:r>
      <w:r>
        <w:rPr>
          <w:lang w:val="fr-CA"/>
        </w:rPr>
        <w:t xml:space="preserve"> actuelle</w:t>
      </w:r>
      <w:r w:rsidRPr="005E7D67">
        <w:rPr>
          <w:lang w:val="fr-CA"/>
        </w:rPr>
        <w:t>. En 2014</w:t>
      </w:r>
      <w:r w:rsidRPr="005E7D67">
        <w:rPr>
          <w:lang w:val="fr-CA"/>
        </w:rPr>
        <w:noBreakHyphen/>
        <w:t xml:space="preserve">2015, 20 plaintes étaient fondées et ont été réglées, 9 plaintes ont </w:t>
      </w:r>
      <w:r>
        <w:rPr>
          <w:lang w:val="fr-CA"/>
        </w:rPr>
        <w:t>été abandonnées</w:t>
      </w:r>
      <w:r w:rsidRPr="005E7D67">
        <w:rPr>
          <w:lang w:val="fr-CA"/>
        </w:rPr>
        <w:t xml:space="preserve"> et 17 </w:t>
      </w:r>
      <w:r>
        <w:rPr>
          <w:lang w:val="fr-CA"/>
        </w:rPr>
        <w:t>étaient encore en suspens.</w:t>
      </w:r>
    </w:p>
    <w:p w:rsidR="00CF07A2" w:rsidRDefault="00CF07A2">
      <w:pPr>
        <w:rPr>
          <w:lang w:val="fr-CA"/>
        </w:rPr>
      </w:pPr>
      <w:r>
        <w:rPr>
          <w:lang w:val="fr-CA"/>
        </w:rPr>
        <w:br w:type="page"/>
      </w:r>
    </w:p>
    <w:p w:rsidR="00CF07A2" w:rsidRPr="001B4B6A" w:rsidRDefault="00CF07A2" w:rsidP="00CF07A2">
      <w:pPr>
        <w:pStyle w:val="Heading1"/>
      </w:pPr>
      <w:r w:rsidRPr="001B4B6A">
        <w:lastRenderedPageBreak/>
        <w:t>Gendarmerie royale du Canada</w:t>
      </w:r>
    </w:p>
    <w:p w:rsidR="00CF07A2" w:rsidRPr="001B4B6A" w:rsidRDefault="00CF07A2" w:rsidP="00CF07A2">
      <w:pPr>
        <w:jc w:val="both"/>
        <w:rPr>
          <w:b/>
          <w:lang w:val="fr-CA"/>
        </w:rPr>
      </w:pPr>
      <w:r w:rsidRPr="001B4B6A">
        <w:rPr>
          <w:rStyle w:val="Heading2Char"/>
        </w:rPr>
        <w:t>Rendement global</w:t>
      </w:r>
      <w:r w:rsidRPr="00CF285F">
        <w:rPr>
          <w:rStyle w:val="FootnoteReference"/>
          <w:b/>
          <w:lang w:val="fr-CA"/>
        </w:rPr>
        <w:footnoteReference w:id="12"/>
      </w:r>
    </w:p>
    <w:p w:rsidR="00CF07A2" w:rsidRPr="00CF285F" w:rsidRDefault="00CF07A2" w:rsidP="00CF07A2">
      <w:pPr>
        <w:jc w:val="both"/>
        <w:rPr>
          <w:lang w:val="fr-CA"/>
        </w:rPr>
      </w:pPr>
      <w:r w:rsidRPr="00CF285F">
        <w:rPr>
          <w:lang w:val="fr-CA"/>
        </w:rPr>
        <w:t xml:space="preserve">La Gendarmerie royale du Canada (GRC) a amélioré son rendement </w:t>
      </w:r>
      <w:r>
        <w:rPr>
          <w:lang w:val="fr-CA"/>
        </w:rPr>
        <w:t>en 2014-</w:t>
      </w:r>
      <w:r w:rsidRPr="00CF285F">
        <w:rPr>
          <w:lang w:val="fr-CA"/>
        </w:rPr>
        <w:t xml:space="preserve">2015. Malgré une augmentation importante de 93,2 % du nombre de demandes reçues par rapport à l’année dernière, la GRC a </w:t>
      </w:r>
      <w:r>
        <w:rPr>
          <w:lang w:val="fr-CA"/>
        </w:rPr>
        <w:t>réussi à accroître la</w:t>
      </w:r>
      <w:r w:rsidRPr="00CF285F">
        <w:rPr>
          <w:lang w:val="fr-CA"/>
        </w:rPr>
        <w:t xml:space="preserve"> </w:t>
      </w:r>
      <w:r>
        <w:rPr>
          <w:lang w:val="fr-CA"/>
        </w:rPr>
        <w:t>proportion</w:t>
      </w:r>
      <w:r w:rsidRPr="00CF285F">
        <w:rPr>
          <w:lang w:val="fr-CA"/>
        </w:rPr>
        <w:t xml:space="preserve"> de demandes complétées en 30 jours ou moins de 30,7 %. Le présent rapport contient des statistiques comparatives pour les trois dernières périodes (2012 à 2015).</w:t>
      </w:r>
    </w:p>
    <w:p w:rsidR="00CF07A2" w:rsidRPr="001B4B6A" w:rsidRDefault="00CF07A2" w:rsidP="00CF07A2">
      <w:pPr>
        <w:pStyle w:val="Heading2"/>
      </w:pPr>
      <w:r w:rsidRPr="001B4B6A">
        <w:t>Charge de travail</w:t>
      </w:r>
    </w:p>
    <w:p w:rsidR="00CF07A2" w:rsidRPr="00CF285F" w:rsidRDefault="00CF07A2" w:rsidP="00CF07A2">
      <w:pPr>
        <w:jc w:val="both"/>
        <w:rPr>
          <w:lang w:val="fr-CA"/>
        </w:rPr>
      </w:pPr>
      <w:r w:rsidRPr="00CF285F">
        <w:rPr>
          <w:lang w:val="fr-CA"/>
        </w:rPr>
        <w:t xml:space="preserve">La GRC a reçu 3 343 demandes en vertu de la </w:t>
      </w:r>
      <w:r w:rsidRPr="00CF285F">
        <w:rPr>
          <w:i/>
          <w:lang w:val="fr-CA"/>
        </w:rPr>
        <w:t>Loi sur l’accès à l‘information</w:t>
      </w:r>
      <w:r w:rsidRPr="00CF285F">
        <w:rPr>
          <w:lang w:val="fr-CA"/>
        </w:rPr>
        <w:t xml:space="preserve"> (la </w:t>
      </w:r>
      <w:r w:rsidRPr="00CF285F">
        <w:rPr>
          <w:i/>
          <w:lang w:val="fr-CA"/>
        </w:rPr>
        <w:t>Loi</w:t>
      </w:r>
      <w:r w:rsidRPr="00CF285F">
        <w:rPr>
          <w:lang w:val="fr-CA"/>
        </w:rPr>
        <w:t>), représentant 4,9 % du nombre total de demandes reçues à l’</w:t>
      </w:r>
      <w:r>
        <w:rPr>
          <w:lang w:val="fr-CA"/>
        </w:rPr>
        <w:t>échelle du gouvernement en 2014-</w:t>
      </w:r>
      <w:r w:rsidRPr="00CF285F">
        <w:rPr>
          <w:lang w:val="fr-CA"/>
        </w:rPr>
        <w:t>2015. En général, on observe une augmentation considérable du nombre de demandes depuis 2012 (voir tableau 1). La majorité des demandes reçues par la GRC venaient du public (70,4 %), suivies des médias (14,4 %). L’inventaire des demandes dans ces deux catégories a augmenté de 92,6 % et de 51,1 %, respectiveme</w:t>
      </w:r>
      <w:r>
        <w:rPr>
          <w:lang w:val="fr-CA"/>
        </w:rPr>
        <w:t>nt, par rapport à 2013-2014.</w:t>
      </w:r>
    </w:p>
    <w:p w:rsidR="00CF07A2" w:rsidRPr="00CF285F" w:rsidRDefault="00CF07A2" w:rsidP="00CF07A2">
      <w:pPr>
        <w:jc w:val="both"/>
        <w:rPr>
          <w:lang w:val="fr-CA"/>
        </w:rPr>
      </w:pPr>
      <w:r w:rsidRPr="00CF285F">
        <w:rPr>
          <w:lang w:val="fr-CA"/>
        </w:rPr>
        <w:t>La GRC a complété 3 356 demandes pour cette période de référence. Le taux d’achèvement</w:t>
      </w:r>
      <w:r w:rsidRPr="00CF285F">
        <w:rPr>
          <w:rStyle w:val="FootnoteReference"/>
          <w:lang w:val="fr-CA"/>
        </w:rPr>
        <w:footnoteReference w:id="13"/>
      </w:r>
      <w:r w:rsidRPr="00CF285F">
        <w:rPr>
          <w:lang w:val="fr-CA"/>
        </w:rPr>
        <w:t xml:space="preserve"> était de 84,6 %, soit à peu près le même que celui établi pour l’ensemble du gouvernement qui lui, était de 85,1 %</w:t>
      </w:r>
      <w:r>
        <w:rPr>
          <w:lang w:val="fr-CA"/>
        </w:rPr>
        <w:t>. En 2013-</w:t>
      </w:r>
      <w:r w:rsidRPr="00CF285F">
        <w:rPr>
          <w:lang w:val="fr-CA"/>
        </w:rPr>
        <w:t>2014, le taux de divulgation était de 73,2 %. La GRC a aussi reçu 1</w:t>
      </w:r>
      <w:r>
        <w:rPr>
          <w:lang w:val="fr-CA"/>
        </w:rPr>
        <w:t>97 demandes informelles en 2014-</w:t>
      </w:r>
      <w:r w:rsidRPr="00CF285F">
        <w:rPr>
          <w:lang w:val="fr-CA"/>
        </w:rPr>
        <w:t>2015, dont 95,4 % qui ont été complétées en 30 jours ou moins. Le nombre de demandes de consultation reçues par</w:t>
      </w:r>
      <w:r>
        <w:rPr>
          <w:lang w:val="fr-CA"/>
        </w:rPr>
        <w:t xml:space="preserve"> la</w:t>
      </w:r>
      <w:r w:rsidRPr="00CF285F">
        <w:rPr>
          <w:lang w:val="fr-CA"/>
        </w:rPr>
        <w:t xml:space="preserve"> GRC en provenance d’autres institutions fédérales a diminué de 538</w:t>
      </w:r>
      <w:r>
        <w:rPr>
          <w:lang w:val="fr-CA"/>
        </w:rPr>
        <w:t xml:space="preserve"> en 2013-2014</w:t>
      </w:r>
      <w:r w:rsidRPr="00CF285F">
        <w:rPr>
          <w:lang w:val="fr-CA"/>
        </w:rPr>
        <w:t xml:space="preserve"> à 459</w:t>
      </w:r>
      <w:r>
        <w:rPr>
          <w:lang w:val="fr-CA"/>
        </w:rPr>
        <w:t xml:space="preserve"> en 2014-2015,</w:t>
      </w:r>
      <w:r w:rsidRPr="00CF285F">
        <w:rPr>
          <w:lang w:val="fr-CA"/>
        </w:rPr>
        <w:t xml:space="preserve"> </w:t>
      </w:r>
      <w:r>
        <w:rPr>
          <w:lang w:val="fr-CA"/>
        </w:rPr>
        <w:t xml:space="preserve">soit </w:t>
      </w:r>
      <w:r w:rsidRPr="00CF285F">
        <w:rPr>
          <w:lang w:val="fr-CA"/>
        </w:rPr>
        <w:t xml:space="preserve">une diminution de </w:t>
      </w:r>
      <w:r>
        <w:rPr>
          <w:lang w:val="fr-CA"/>
        </w:rPr>
        <w:t>14,7 %.</w:t>
      </w:r>
    </w:p>
    <w:p w:rsidR="00CF07A2" w:rsidRPr="00CF285F" w:rsidRDefault="00CF07A2" w:rsidP="00CF07A2">
      <w:pPr>
        <w:jc w:val="both"/>
        <w:rPr>
          <w:lang w:val="fr-CA"/>
        </w:rPr>
      </w:pPr>
      <w:r w:rsidRPr="00CF285F">
        <w:rPr>
          <w:lang w:val="fr-CA"/>
        </w:rPr>
        <w:t xml:space="preserve">Le nombre total de pages traitées par la GRC pour la période de référence visée était de 646 785 ce qui est plus élevé que les </w:t>
      </w:r>
      <w:r>
        <w:rPr>
          <w:lang w:val="fr-CA"/>
        </w:rPr>
        <w:t>505 610 pages traitées en 2013-</w:t>
      </w:r>
      <w:r w:rsidRPr="00CF285F">
        <w:rPr>
          <w:lang w:val="fr-CA"/>
        </w:rPr>
        <w:t>2014. Cependant, le nombre moyen de pages traitées par demande complétée a diminué de</w:t>
      </w:r>
      <w:r>
        <w:rPr>
          <w:lang w:val="fr-CA"/>
        </w:rPr>
        <w:t xml:space="preserve"> 360 en 2013-2014 à 229 en 2014-</w:t>
      </w:r>
      <w:r w:rsidRPr="00CF285F">
        <w:rPr>
          <w:lang w:val="fr-CA"/>
        </w:rPr>
        <w:t>2015.</w:t>
      </w:r>
    </w:p>
    <w:p w:rsidR="00CF07A2" w:rsidRPr="00CF285F" w:rsidRDefault="00CF07A2" w:rsidP="00CF07A2">
      <w:pPr>
        <w:jc w:val="both"/>
        <w:rPr>
          <w:lang w:val="fr-CA"/>
        </w:rPr>
      </w:pPr>
      <w:r w:rsidRPr="00CF285F">
        <w:rPr>
          <w:lang w:val="fr-CA"/>
        </w:rPr>
        <w:t xml:space="preserve">L’information diffusée par la GRC était </w:t>
      </w:r>
      <w:r w:rsidRPr="00852FBB">
        <w:rPr>
          <w:lang w:val="fr-CA"/>
        </w:rPr>
        <w:t>majoritairement</w:t>
      </w:r>
      <w:r w:rsidRPr="00CF285F">
        <w:rPr>
          <w:lang w:val="fr-CA"/>
        </w:rPr>
        <w:t xml:space="preserve"> en format électronique : 1 395 demandes en format électronique et 531 demandes en format papier. On a observé que le nombre des demandes divulguées en format électronique a considérablement augmenté par rapport à l’année précédente (615 en format papier et seulement 354 en format électronique).</w:t>
      </w:r>
    </w:p>
    <w:p w:rsidR="00CF07A2" w:rsidRPr="001B4B6A" w:rsidRDefault="00CF07A2" w:rsidP="00BA2BE8">
      <w:pPr>
        <w:pStyle w:val="Heading3"/>
      </w:pPr>
      <w:r w:rsidRPr="001B4B6A">
        <w:t xml:space="preserve">Tableau </w:t>
      </w:r>
      <w:proofErr w:type="gramStart"/>
      <w:r w:rsidRPr="001B4B6A">
        <w:t>1 :</w:t>
      </w:r>
      <w:proofErr w:type="gramEnd"/>
      <w:r w:rsidRPr="001B4B6A">
        <w:t xml:space="preserve"> Charge de travail</w:t>
      </w:r>
    </w:p>
    <w:tbl>
      <w:tblPr>
        <w:tblW w:w="9548" w:type="dxa"/>
        <w:tblInd w:w="98" w:type="dxa"/>
        <w:tblLook w:val="04A0"/>
      </w:tblPr>
      <w:tblGrid>
        <w:gridCol w:w="5210"/>
        <w:gridCol w:w="1446"/>
        <w:gridCol w:w="1446"/>
        <w:gridCol w:w="1446"/>
      </w:tblGrid>
      <w:tr w:rsidR="00CF07A2" w:rsidRPr="00CF285F" w:rsidTr="00CF07A2">
        <w:trPr>
          <w:trHeight w:val="302"/>
        </w:trPr>
        <w:tc>
          <w:tcPr>
            <w:tcW w:w="5210" w:type="dxa"/>
            <w:tcBorders>
              <w:top w:val="single" w:sz="4" w:space="0" w:color="auto"/>
              <w:left w:val="single" w:sz="4" w:space="0" w:color="auto"/>
              <w:bottom w:val="single" w:sz="8" w:space="0" w:color="auto"/>
              <w:right w:val="nil"/>
            </w:tcBorders>
            <w:shd w:val="clear" w:color="auto" w:fill="auto"/>
            <w:noWrap/>
            <w:vAlign w:val="bottom"/>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 xml:space="preserve">Mesures </w:t>
            </w:r>
          </w:p>
        </w:tc>
        <w:tc>
          <w:tcPr>
            <w:tcW w:w="1446" w:type="dxa"/>
            <w:tcBorders>
              <w:top w:val="single" w:sz="4" w:space="0" w:color="auto"/>
              <w:left w:val="nil"/>
              <w:bottom w:val="single" w:sz="8" w:space="0" w:color="auto"/>
              <w:right w:val="nil"/>
            </w:tcBorders>
            <w:shd w:val="clear" w:color="auto" w:fill="auto"/>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2012-2013</w:t>
            </w:r>
          </w:p>
        </w:tc>
        <w:tc>
          <w:tcPr>
            <w:tcW w:w="1446" w:type="dxa"/>
            <w:tcBorders>
              <w:top w:val="single" w:sz="4" w:space="0" w:color="auto"/>
              <w:left w:val="nil"/>
              <w:bottom w:val="single" w:sz="8" w:space="0" w:color="auto"/>
              <w:right w:val="nil"/>
            </w:tcBorders>
            <w:shd w:val="clear" w:color="auto" w:fill="auto"/>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2013-2014</w:t>
            </w:r>
          </w:p>
        </w:tc>
        <w:tc>
          <w:tcPr>
            <w:tcW w:w="1446" w:type="dxa"/>
            <w:tcBorders>
              <w:top w:val="single" w:sz="4" w:space="0" w:color="auto"/>
              <w:left w:val="nil"/>
              <w:bottom w:val="single" w:sz="8" w:space="0" w:color="auto"/>
              <w:right w:val="single" w:sz="4" w:space="0" w:color="auto"/>
            </w:tcBorders>
            <w:shd w:val="clear" w:color="auto" w:fill="auto"/>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2014-2015</w:t>
            </w:r>
          </w:p>
        </w:tc>
      </w:tr>
      <w:tr w:rsidR="00CF07A2" w:rsidRPr="00CF285F" w:rsidTr="00CF07A2">
        <w:trPr>
          <w:trHeight w:val="422"/>
        </w:trPr>
        <w:tc>
          <w:tcPr>
            <w:tcW w:w="5210" w:type="dxa"/>
            <w:tcBorders>
              <w:top w:val="nil"/>
              <w:left w:val="single" w:sz="4" w:space="0" w:color="auto"/>
              <w:bottom w:val="nil"/>
              <w:right w:val="nil"/>
            </w:tcBorders>
            <w:shd w:val="clear" w:color="000000" w:fill="DBE5F1"/>
            <w:noWrap/>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 xml:space="preserve">Nombre de demandes reçues </w:t>
            </w:r>
          </w:p>
        </w:tc>
        <w:tc>
          <w:tcPr>
            <w:tcW w:w="1446" w:type="dxa"/>
            <w:tcBorders>
              <w:top w:val="nil"/>
              <w:left w:val="nil"/>
              <w:bottom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1 218</w:t>
            </w:r>
          </w:p>
        </w:tc>
        <w:tc>
          <w:tcPr>
            <w:tcW w:w="1446" w:type="dxa"/>
            <w:tcBorders>
              <w:top w:val="nil"/>
              <w:left w:val="nil"/>
              <w:bottom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1 730</w:t>
            </w:r>
          </w:p>
        </w:tc>
        <w:tc>
          <w:tcPr>
            <w:tcW w:w="1446" w:type="dxa"/>
            <w:tcBorders>
              <w:top w:val="nil"/>
              <w:left w:val="nil"/>
              <w:bottom w:val="nil"/>
              <w:right w:val="single" w:sz="4" w:space="0" w:color="auto"/>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3 343</w:t>
            </w:r>
          </w:p>
        </w:tc>
      </w:tr>
      <w:tr w:rsidR="00CF07A2" w:rsidRPr="00CF285F" w:rsidTr="00CF07A2">
        <w:trPr>
          <w:trHeight w:val="417"/>
        </w:trPr>
        <w:tc>
          <w:tcPr>
            <w:tcW w:w="5210" w:type="dxa"/>
            <w:tcBorders>
              <w:top w:val="nil"/>
              <w:left w:val="single" w:sz="4" w:space="0" w:color="auto"/>
              <w:right w:val="nil"/>
            </w:tcBorders>
            <w:shd w:val="clear" w:color="auto" w:fill="auto"/>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Variation annuelle en %</w:t>
            </w:r>
          </w:p>
        </w:tc>
        <w:tc>
          <w:tcPr>
            <w:tcW w:w="1446" w:type="dxa"/>
            <w:tcBorders>
              <w:top w:val="nil"/>
              <w:left w:val="nil"/>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w:t>
            </w:r>
          </w:p>
        </w:tc>
        <w:tc>
          <w:tcPr>
            <w:tcW w:w="1446" w:type="dxa"/>
            <w:tcBorders>
              <w:top w:val="nil"/>
              <w:left w:val="nil"/>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42,0 %</w:t>
            </w:r>
          </w:p>
        </w:tc>
        <w:tc>
          <w:tcPr>
            <w:tcW w:w="1446" w:type="dxa"/>
            <w:tcBorders>
              <w:top w:val="nil"/>
              <w:left w:val="nil"/>
              <w:right w:val="single" w:sz="4" w:space="0" w:color="auto"/>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93,2 %</w:t>
            </w:r>
          </w:p>
        </w:tc>
      </w:tr>
      <w:tr w:rsidR="00CF07A2" w:rsidRPr="00CF285F" w:rsidTr="00CF07A2">
        <w:trPr>
          <w:trHeight w:val="549"/>
        </w:trPr>
        <w:tc>
          <w:tcPr>
            <w:tcW w:w="5210" w:type="dxa"/>
            <w:tcBorders>
              <w:top w:val="nil"/>
              <w:left w:val="single" w:sz="4" w:space="0" w:color="auto"/>
              <w:bottom w:val="nil"/>
              <w:right w:val="nil"/>
            </w:tcBorders>
            <w:shd w:val="clear" w:color="000000" w:fill="DBE5F1"/>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lastRenderedPageBreak/>
              <w:t>Demandes complétées</w:t>
            </w:r>
          </w:p>
        </w:tc>
        <w:tc>
          <w:tcPr>
            <w:tcW w:w="1446" w:type="dxa"/>
            <w:tcBorders>
              <w:top w:val="nil"/>
              <w:left w:val="nil"/>
              <w:bottom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981</w:t>
            </w:r>
          </w:p>
        </w:tc>
        <w:tc>
          <w:tcPr>
            <w:tcW w:w="1446" w:type="dxa"/>
            <w:tcBorders>
              <w:top w:val="nil"/>
              <w:left w:val="nil"/>
              <w:bottom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1 706</w:t>
            </w:r>
          </w:p>
        </w:tc>
        <w:tc>
          <w:tcPr>
            <w:tcW w:w="1446" w:type="dxa"/>
            <w:tcBorders>
              <w:top w:val="nil"/>
              <w:left w:val="nil"/>
              <w:bottom w:val="nil"/>
              <w:right w:val="single" w:sz="4" w:space="0" w:color="auto"/>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3 356</w:t>
            </w:r>
          </w:p>
        </w:tc>
      </w:tr>
      <w:tr w:rsidR="00CF07A2" w:rsidRPr="00CF285F" w:rsidTr="00CF07A2">
        <w:trPr>
          <w:trHeight w:val="569"/>
        </w:trPr>
        <w:tc>
          <w:tcPr>
            <w:tcW w:w="5210" w:type="dxa"/>
            <w:tcBorders>
              <w:top w:val="nil"/>
              <w:left w:val="single" w:sz="4" w:space="0" w:color="auto"/>
              <w:right w:val="nil"/>
            </w:tcBorders>
            <w:shd w:val="clear" w:color="auto" w:fill="auto"/>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Variation annuelle en %</w:t>
            </w:r>
          </w:p>
        </w:tc>
        <w:tc>
          <w:tcPr>
            <w:tcW w:w="1446" w:type="dxa"/>
            <w:tcBorders>
              <w:top w:val="nil"/>
              <w:left w:val="nil"/>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w:t>
            </w:r>
          </w:p>
        </w:tc>
        <w:tc>
          <w:tcPr>
            <w:tcW w:w="1446" w:type="dxa"/>
            <w:tcBorders>
              <w:top w:val="nil"/>
              <w:left w:val="nil"/>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73,9 %</w:t>
            </w:r>
          </w:p>
        </w:tc>
        <w:tc>
          <w:tcPr>
            <w:tcW w:w="1446" w:type="dxa"/>
            <w:tcBorders>
              <w:top w:val="nil"/>
              <w:left w:val="nil"/>
              <w:right w:val="single" w:sz="4" w:space="0" w:color="auto"/>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96,7 %</w:t>
            </w:r>
          </w:p>
        </w:tc>
      </w:tr>
      <w:tr w:rsidR="00CF07A2" w:rsidRPr="00CF285F" w:rsidTr="00CF07A2">
        <w:trPr>
          <w:trHeight w:val="494"/>
        </w:trPr>
        <w:tc>
          <w:tcPr>
            <w:tcW w:w="5210" w:type="dxa"/>
            <w:tcBorders>
              <w:top w:val="nil"/>
              <w:left w:val="single" w:sz="4" w:space="0" w:color="auto"/>
              <w:right w:val="nil"/>
            </w:tcBorders>
            <w:shd w:val="clear" w:color="000000" w:fill="DBE5F1"/>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Nombre de demandes de consultation reçues (d’autres institutions fédérales)</w:t>
            </w:r>
          </w:p>
        </w:tc>
        <w:tc>
          <w:tcPr>
            <w:tcW w:w="1446" w:type="dxa"/>
            <w:tcBorders>
              <w:top w:val="nil"/>
              <w:left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652</w:t>
            </w:r>
          </w:p>
        </w:tc>
        <w:tc>
          <w:tcPr>
            <w:tcW w:w="1446" w:type="dxa"/>
            <w:tcBorders>
              <w:top w:val="nil"/>
              <w:left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538</w:t>
            </w:r>
          </w:p>
        </w:tc>
        <w:tc>
          <w:tcPr>
            <w:tcW w:w="1446" w:type="dxa"/>
            <w:tcBorders>
              <w:top w:val="nil"/>
              <w:left w:val="nil"/>
              <w:right w:val="single" w:sz="4" w:space="0" w:color="auto"/>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459</w:t>
            </w:r>
          </w:p>
        </w:tc>
      </w:tr>
      <w:tr w:rsidR="00CF07A2" w:rsidRPr="00CF285F" w:rsidTr="00CF07A2">
        <w:trPr>
          <w:trHeight w:val="516"/>
        </w:trPr>
        <w:tc>
          <w:tcPr>
            <w:tcW w:w="5210" w:type="dxa"/>
            <w:tcBorders>
              <w:left w:val="single" w:sz="4" w:space="0" w:color="auto"/>
              <w:right w:val="nil"/>
            </w:tcBorders>
            <w:shd w:val="clear" w:color="auto" w:fill="auto"/>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Variation annuelle en %</w:t>
            </w:r>
          </w:p>
        </w:tc>
        <w:tc>
          <w:tcPr>
            <w:tcW w:w="1446" w:type="dxa"/>
            <w:tcBorders>
              <w:left w:val="nil"/>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w:t>
            </w:r>
          </w:p>
        </w:tc>
        <w:tc>
          <w:tcPr>
            <w:tcW w:w="1446" w:type="dxa"/>
            <w:tcBorders>
              <w:left w:val="nil"/>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-17,5 %</w:t>
            </w:r>
          </w:p>
        </w:tc>
        <w:tc>
          <w:tcPr>
            <w:tcW w:w="1446" w:type="dxa"/>
            <w:tcBorders>
              <w:left w:val="nil"/>
              <w:right w:val="single" w:sz="4" w:space="0" w:color="auto"/>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-14,7 %</w:t>
            </w:r>
          </w:p>
        </w:tc>
      </w:tr>
      <w:tr w:rsidR="00CF07A2" w:rsidRPr="00CF285F" w:rsidTr="00CF07A2">
        <w:trPr>
          <w:trHeight w:val="589"/>
        </w:trPr>
        <w:tc>
          <w:tcPr>
            <w:tcW w:w="5210" w:type="dxa"/>
            <w:tcBorders>
              <w:left w:val="single" w:sz="4" w:space="0" w:color="auto"/>
              <w:bottom w:val="nil"/>
              <w:right w:val="nil"/>
            </w:tcBorders>
            <w:shd w:val="clear" w:color="000000" w:fill="DBE5F1"/>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Nombre moyen de pages traitées par demande complétée</w:t>
            </w:r>
          </w:p>
        </w:tc>
        <w:tc>
          <w:tcPr>
            <w:tcW w:w="1446" w:type="dxa"/>
            <w:tcBorders>
              <w:left w:val="nil"/>
              <w:bottom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1 522</w:t>
            </w:r>
          </w:p>
        </w:tc>
        <w:tc>
          <w:tcPr>
            <w:tcW w:w="1446" w:type="dxa"/>
            <w:tcBorders>
              <w:left w:val="nil"/>
              <w:bottom w:val="nil"/>
              <w:right w:val="nil"/>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360</w:t>
            </w:r>
          </w:p>
        </w:tc>
        <w:tc>
          <w:tcPr>
            <w:tcW w:w="1446" w:type="dxa"/>
            <w:tcBorders>
              <w:left w:val="nil"/>
              <w:bottom w:val="nil"/>
              <w:right w:val="single" w:sz="4" w:space="0" w:color="auto"/>
            </w:tcBorders>
            <w:shd w:val="clear" w:color="000000" w:fill="DBE5F1"/>
            <w:noWrap/>
            <w:vAlign w:val="center"/>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229</w:t>
            </w:r>
          </w:p>
        </w:tc>
      </w:tr>
      <w:tr w:rsidR="00CF07A2" w:rsidRPr="00CF285F" w:rsidTr="00CF07A2">
        <w:trPr>
          <w:trHeight w:val="589"/>
        </w:trPr>
        <w:tc>
          <w:tcPr>
            <w:tcW w:w="5210" w:type="dxa"/>
            <w:tcBorders>
              <w:top w:val="nil"/>
              <w:left w:val="single" w:sz="4" w:space="0" w:color="auto"/>
              <w:bottom w:val="single" w:sz="4" w:space="0" w:color="auto"/>
              <w:right w:val="nil"/>
            </w:tcBorders>
            <w:shd w:val="clear" w:color="auto" w:fill="auto"/>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 des demandes pour lesquelles plus de 1 000 pages ont été traitées</w:t>
            </w:r>
          </w:p>
        </w:tc>
        <w:tc>
          <w:tcPr>
            <w:tcW w:w="1446" w:type="dxa"/>
            <w:tcBorders>
              <w:top w:val="nil"/>
              <w:left w:val="nil"/>
              <w:bottom w:val="single" w:sz="4" w:space="0" w:color="auto"/>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5,7 %</w:t>
            </w:r>
          </w:p>
        </w:tc>
        <w:tc>
          <w:tcPr>
            <w:tcW w:w="1446" w:type="dxa"/>
            <w:tcBorders>
              <w:top w:val="nil"/>
              <w:left w:val="nil"/>
              <w:bottom w:val="single" w:sz="4" w:space="0" w:color="auto"/>
              <w:right w:val="nil"/>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4,1 %</w:t>
            </w:r>
          </w:p>
        </w:tc>
        <w:tc>
          <w:tcPr>
            <w:tcW w:w="1446" w:type="dxa"/>
            <w:tcBorders>
              <w:top w:val="nil"/>
              <w:left w:val="nil"/>
              <w:bottom w:val="single" w:sz="4" w:space="0" w:color="auto"/>
              <w:right w:val="single" w:sz="4" w:space="0" w:color="auto"/>
            </w:tcBorders>
            <w:shd w:val="clear" w:color="auto" w:fill="auto"/>
            <w:noWrap/>
            <w:vAlign w:val="center"/>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5,4 %</w:t>
            </w:r>
          </w:p>
        </w:tc>
      </w:tr>
    </w:tbl>
    <w:p w:rsidR="00CF07A2" w:rsidRPr="001B4B6A" w:rsidRDefault="00CF07A2" w:rsidP="00CF07A2">
      <w:pPr>
        <w:pStyle w:val="Heading2"/>
        <w:spacing w:before="240"/>
      </w:pPr>
      <w:r w:rsidRPr="001B4B6A">
        <w:t>Délai de traitement des demandes</w:t>
      </w:r>
    </w:p>
    <w:p w:rsidR="00CF07A2" w:rsidRPr="001B4B6A" w:rsidRDefault="00CF07A2" w:rsidP="00CF07A2">
      <w:pPr>
        <w:pStyle w:val="Heading4"/>
      </w:pPr>
      <w:r w:rsidRPr="001B4B6A">
        <w:t>Rapidité</w:t>
      </w:r>
    </w:p>
    <w:p w:rsidR="00CF07A2" w:rsidRPr="00CF285F" w:rsidRDefault="00CF07A2" w:rsidP="00CF07A2">
      <w:pPr>
        <w:jc w:val="both"/>
        <w:rPr>
          <w:lang w:val="fr-CA"/>
        </w:rPr>
      </w:pPr>
      <w:r w:rsidRPr="00CF285F">
        <w:rPr>
          <w:lang w:val="fr-CA"/>
        </w:rPr>
        <w:t xml:space="preserve">La figure 1 révèle que 60,0 % des demandes ont été complétées en 30 jours ou moins, soit une augmentation importante par rapport </w:t>
      </w:r>
      <w:r>
        <w:rPr>
          <w:lang w:val="fr-CA"/>
        </w:rPr>
        <w:t>aux résultats rapportés en 2013-</w:t>
      </w:r>
      <w:r w:rsidRPr="00CF285F">
        <w:rPr>
          <w:lang w:val="fr-CA"/>
        </w:rPr>
        <w:t>2014 (29,3 %).</w:t>
      </w:r>
    </w:p>
    <w:p w:rsidR="00CF07A2" w:rsidRPr="00CF07A2" w:rsidRDefault="00CF07A2" w:rsidP="00CF07A2">
      <w:pPr>
        <w:spacing w:line="240" w:lineRule="auto"/>
        <w:rPr>
          <w:rStyle w:val="Heading3Char"/>
          <w:lang w:val="fr-FR"/>
        </w:rPr>
      </w:pPr>
      <w:r w:rsidRPr="00CF07A2">
        <w:rPr>
          <w:rStyle w:val="Heading3Char"/>
          <w:lang w:val="fr-FR"/>
        </w:rPr>
        <w:t>Figure 1 : Délai de traitement des demandes</w:t>
      </w:r>
      <w:r w:rsidRPr="00CF285F">
        <w:rPr>
          <w:noProof/>
          <w:color w:val="FF0000"/>
          <w:sz w:val="24"/>
          <w:szCs w:val="24"/>
        </w:rPr>
        <w:drawing>
          <wp:inline distT="0" distB="0" distL="0" distR="0">
            <wp:extent cx="5991367" cy="3787253"/>
            <wp:effectExtent l="0" t="0" r="0" b="381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07A2" w:rsidRPr="001B4B6A" w:rsidRDefault="00CF07A2" w:rsidP="00CF07A2">
      <w:pPr>
        <w:pStyle w:val="Heading4"/>
      </w:pPr>
      <w:r w:rsidRPr="001B4B6A">
        <w:t>Prorogations</w:t>
      </w:r>
    </w:p>
    <w:p w:rsidR="00CF07A2" w:rsidRPr="00062E1E" w:rsidRDefault="00CF07A2" w:rsidP="00CF07A2">
      <w:pPr>
        <w:jc w:val="both"/>
        <w:rPr>
          <w:lang w:val="fr-CA"/>
        </w:rPr>
      </w:pPr>
      <w:r w:rsidRPr="00062E1E">
        <w:rPr>
          <w:lang w:val="fr-CA"/>
        </w:rPr>
        <w:lastRenderedPageBreak/>
        <w:t>La GRC a eu recours à 523 prorogations en 2014-2015 par rapport à 123 en 2013-2014. L’entrave au fonctionnement de l’institution (85,4 %) était la raison la plus fréquemment invoquée pour demander une prorogation, suivie des demandes de consultation (11,4 %) et finalement, les avis à des tiers (3,1 %).</w:t>
      </w:r>
    </w:p>
    <w:p w:rsidR="00CF07A2" w:rsidRPr="00062E1E" w:rsidRDefault="00CF07A2" w:rsidP="00CF07A2">
      <w:pPr>
        <w:jc w:val="both"/>
        <w:rPr>
          <w:lang w:val="fr-CA"/>
        </w:rPr>
      </w:pPr>
      <w:r w:rsidRPr="00062E1E">
        <w:rPr>
          <w:lang w:val="fr-CA"/>
        </w:rPr>
        <w:t>La figure 2 montre que 32,3 % des prorogations étaient de 30 jours ou moins, ce qui représente une augmentation de 8,7 % par rapport à la période de référence précédente.</w:t>
      </w:r>
    </w:p>
    <w:p w:rsidR="00CF07A2" w:rsidRDefault="00CF07A2" w:rsidP="00CF07A2">
      <w:pPr>
        <w:rPr>
          <w:color w:val="17365D" w:themeColor="text2" w:themeShade="BF"/>
          <w:lang w:val="fr-CA"/>
        </w:rPr>
      </w:pPr>
      <w:r w:rsidRPr="00CF07A2">
        <w:rPr>
          <w:rStyle w:val="Heading3Char"/>
          <w:lang w:val="fr-FR"/>
        </w:rPr>
        <w:t>Figure 2 : Durée des prorogations</w:t>
      </w:r>
      <w:r w:rsidRPr="007045A3">
        <w:rPr>
          <w:noProof/>
          <w:sz w:val="24"/>
        </w:rPr>
        <w:drawing>
          <wp:inline distT="0" distB="0" distL="0" distR="0">
            <wp:extent cx="6045958" cy="3957850"/>
            <wp:effectExtent l="0" t="0" r="0" b="508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07A2" w:rsidRPr="001B4B6A" w:rsidRDefault="00CF07A2" w:rsidP="00CF07A2">
      <w:pPr>
        <w:pStyle w:val="Heading4"/>
      </w:pPr>
      <w:r>
        <w:t>Présomptions de refus</w:t>
      </w:r>
    </w:p>
    <w:p w:rsidR="00CF07A2" w:rsidRPr="00062E1E" w:rsidRDefault="00CF07A2" w:rsidP="00CF07A2">
      <w:pPr>
        <w:jc w:val="both"/>
        <w:rPr>
          <w:lang w:val="fr-CA"/>
        </w:rPr>
      </w:pPr>
      <w:r w:rsidRPr="00062E1E">
        <w:rPr>
          <w:lang w:val="fr-CA"/>
        </w:rPr>
        <w:t>En 2014-2015, 950 demandes ont été fermées après l’échéancier réglementaire, ce qui représente 28,3 % des demandes complétées. Ce résultat représente une note de « F »</w:t>
      </w:r>
      <w:r w:rsidRPr="00062E1E">
        <w:rPr>
          <w:rStyle w:val="FootnoteReference"/>
          <w:lang w:val="fr-CA"/>
        </w:rPr>
        <w:footnoteReference w:id="14"/>
      </w:r>
      <w:r w:rsidRPr="00062E1E">
        <w:rPr>
          <w:lang w:val="fr-CA"/>
        </w:rPr>
        <w:t xml:space="preserve"> pour la GRC. La charge de travail (78,2 %) et les consultations internes (13,4 %) sont les deux principales raisons invoquées. La figure 3 montre que 30,5 % des demandes échues étaient en retard de 30 jours ou moins, par rapport à 21 % en 2013-2014.</w:t>
      </w:r>
    </w:p>
    <w:p w:rsidR="00CF07A2" w:rsidRPr="007045A3" w:rsidRDefault="00CF07A2" w:rsidP="00CF07A2">
      <w:pPr>
        <w:rPr>
          <w:sz w:val="24"/>
          <w:szCs w:val="24"/>
          <w:lang w:val="fr-CA"/>
        </w:rPr>
      </w:pPr>
      <w:r w:rsidRPr="00CF07A2">
        <w:rPr>
          <w:rStyle w:val="Heading3Char"/>
          <w:lang w:val="fr-FR"/>
        </w:rPr>
        <w:lastRenderedPageBreak/>
        <w:t>Figure 3 : Retard des demandes échues</w:t>
      </w:r>
      <w:r w:rsidRPr="00CF285F">
        <w:rPr>
          <w:noProof/>
        </w:rPr>
        <w:drawing>
          <wp:inline distT="0" distB="0" distL="0" distR="0">
            <wp:extent cx="5943600" cy="4142096"/>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07A2" w:rsidRPr="001B4B6A" w:rsidRDefault="00CF07A2" w:rsidP="00CF07A2">
      <w:pPr>
        <w:pStyle w:val="Heading2"/>
      </w:pPr>
      <w:r w:rsidRPr="001B4B6A">
        <w:t>Divulgation</w:t>
      </w:r>
    </w:p>
    <w:p w:rsidR="00CF07A2" w:rsidRPr="001B4B6A" w:rsidRDefault="00CF07A2" w:rsidP="00CF07A2">
      <w:pPr>
        <w:pStyle w:val="Heading4"/>
      </w:pPr>
      <w:r w:rsidRPr="001B4B6A">
        <w:t>Pourcentage de demandes pour lesquelle</w:t>
      </w:r>
      <w:r>
        <w:t>s l’information a été divulguée</w:t>
      </w:r>
    </w:p>
    <w:p w:rsidR="00CF07A2" w:rsidRPr="00CF285F" w:rsidRDefault="00CF07A2" w:rsidP="00CF07A2">
      <w:pPr>
        <w:jc w:val="both"/>
        <w:rPr>
          <w:lang w:val="fr-CA"/>
        </w:rPr>
      </w:pPr>
      <w:r w:rsidRPr="00CF285F">
        <w:rPr>
          <w:lang w:val="fr-CA"/>
        </w:rPr>
        <w:t>En 2014</w:t>
      </w:r>
      <w:r>
        <w:rPr>
          <w:lang w:val="fr-CA"/>
        </w:rPr>
        <w:t>-</w:t>
      </w:r>
      <w:r w:rsidRPr="00CF285F">
        <w:rPr>
          <w:lang w:val="fr-CA"/>
        </w:rPr>
        <w:t>2015, 9,0 % des demandes complétées ont fait l’objet d’une divulgation complète, ce qui représente le taux de divulgation le plus faible pour la GRC depuis 2012 (voir figure 4). La figure 4 montre également que le taux des demandes faisant l’objet d’une divulgation partielle était de 48,7 % en 2014</w:t>
      </w:r>
      <w:r>
        <w:rPr>
          <w:lang w:val="fr-CA"/>
        </w:rPr>
        <w:t>-</w:t>
      </w:r>
      <w:r w:rsidRPr="00CF285F">
        <w:rPr>
          <w:lang w:val="fr-CA"/>
        </w:rPr>
        <w:t>2015, ce qui représente une augmentation de 3,9 % par ra</w:t>
      </w:r>
      <w:r>
        <w:rPr>
          <w:lang w:val="fr-CA"/>
        </w:rPr>
        <w:t>pport à la période précédente.</w:t>
      </w:r>
    </w:p>
    <w:p w:rsidR="00CF07A2" w:rsidRPr="007F3924" w:rsidRDefault="00CF07A2" w:rsidP="00CF07A2">
      <w:pPr>
        <w:rPr>
          <w:lang w:val="fr-CA"/>
        </w:rPr>
      </w:pPr>
      <w:r w:rsidRPr="00957E09">
        <w:rPr>
          <w:rStyle w:val="Heading3Char"/>
          <w:lang w:val="fr-FR"/>
        </w:rPr>
        <w:lastRenderedPageBreak/>
        <w:t>Figure 4 : Niveau de divulgation</w:t>
      </w:r>
      <w:r w:rsidRPr="00CF285F">
        <w:rPr>
          <w:noProof/>
        </w:rPr>
        <w:drawing>
          <wp:inline distT="0" distB="0" distL="0" distR="0">
            <wp:extent cx="5889009" cy="3896436"/>
            <wp:effectExtent l="0" t="0" r="0" b="889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07A2" w:rsidRPr="004E1A1D" w:rsidRDefault="00CF07A2" w:rsidP="00CF07A2">
      <w:pPr>
        <w:pStyle w:val="Heading4"/>
      </w:pPr>
      <w:r w:rsidRPr="004E1A1D">
        <w:t>Exceptions</w:t>
      </w:r>
    </w:p>
    <w:p w:rsidR="00CF07A2" w:rsidRPr="00062E1E" w:rsidRDefault="00CF07A2" w:rsidP="00CF07A2">
      <w:pPr>
        <w:jc w:val="both"/>
        <w:rPr>
          <w:lang w:val="fr-FR"/>
        </w:rPr>
      </w:pPr>
      <w:r w:rsidRPr="00062E1E">
        <w:rPr>
          <w:lang w:val="fr-CA"/>
        </w:rPr>
        <w:t>Le nombre total d’exceptions invoquées en 2014-2015 était de 4 956. Il s’agit d’une augmentation importante par rapport aux 2 255 exceptions invoquées lors de la période précédente. En moyenne, le nombre d’exceptions par demande complétée a augmenté de 1,48 en 2014-2015 par rapport à  1,32 en 2013-2014 (voir tableau 2). Les exceptions les plus fréquemment invoquées en 2014-2015 étaient l’article 16 (l’application de la loi et les enquêtes) (45,2 %) et l’article 19 (les renseignements personnels) (29,3 %). Ces résultats sont similaires à ceux observés lors de la dernière période (39,2 % et 32,5 % respectivement).</w:t>
      </w:r>
    </w:p>
    <w:p w:rsidR="00CF07A2" w:rsidRPr="00CF285F" w:rsidRDefault="00CF07A2" w:rsidP="00BA2BE8">
      <w:pPr>
        <w:pStyle w:val="Heading3"/>
      </w:pPr>
      <w:r w:rsidRPr="00CF285F">
        <w:t xml:space="preserve">Tableau </w:t>
      </w:r>
      <w:proofErr w:type="gramStart"/>
      <w:r w:rsidRPr="00CF285F">
        <w:t>2 :</w:t>
      </w:r>
      <w:proofErr w:type="gramEnd"/>
      <w:r w:rsidRPr="00CF285F">
        <w:t xml:space="preserve"> Exceptions</w:t>
      </w:r>
    </w:p>
    <w:tbl>
      <w:tblPr>
        <w:tblW w:w="9366" w:type="dxa"/>
        <w:tblInd w:w="98" w:type="dxa"/>
        <w:tblLook w:val="04A0"/>
      </w:tblPr>
      <w:tblGrid>
        <w:gridCol w:w="5255"/>
        <w:gridCol w:w="1559"/>
        <w:gridCol w:w="1276"/>
        <w:gridCol w:w="1276"/>
      </w:tblGrid>
      <w:tr w:rsidR="00CF07A2" w:rsidRPr="00CF285F" w:rsidTr="00CF07A2">
        <w:trPr>
          <w:trHeight w:val="293"/>
        </w:trPr>
        <w:tc>
          <w:tcPr>
            <w:tcW w:w="5255" w:type="dxa"/>
            <w:tcBorders>
              <w:top w:val="single" w:sz="8" w:space="0" w:color="auto"/>
              <w:left w:val="single" w:sz="8" w:space="0" w:color="auto"/>
              <w:bottom w:val="single" w:sz="8" w:space="0" w:color="auto"/>
              <w:right w:val="nil"/>
            </w:tcBorders>
            <w:shd w:val="clear" w:color="000000" w:fill="DBE5F1"/>
            <w:noWrap/>
            <w:vAlign w:val="bottom"/>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 xml:space="preserve">Exceptions </w:t>
            </w:r>
          </w:p>
        </w:tc>
        <w:tc>
          <w:tcPr>
            <w:tcW w:w="1559" w:type="dxa"/>
            <w:tcBorders>
              <w:top w:val="single" w:sz="8" w:space="0" w:color="auto"/>
              <w:left w:val="nil"/>
              <w:bottom w:val="single" w:sz="8" w:space="0" w:color="auto"/>
              <w:right w:val="nil"/>
            </w:tcBorders>
            <w:shd w:val="clear" w:color="000000" w:fill="DBE5F1"/>
            <w:noWrap/>
            <w:vAlign w:val="bottom"/>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2012-2013</w:t>
            </w:r>
          </w:p>
        </w:tc>
        <w:tc>
          <w:tcPr>
            <w:tcW w:w="1276" w:type="dxa"/>
            <w:tcBorders>
              <w:top w:val="single" w:sz="8" w:space="0" w:color="auto"/>
              <w:left w:val="nil"/>
              <w:bottom w:val="single" w:sz="8" w:space="0" w:color="auto"/>
              <w:right w:val="nil"/>
            </w:tcBorders>
            <w:shd w:val="clear" w:color="000000" w:fill="DBE5F1"/>
            <w:noWrap/>
            <w:vAlign w:val="bottom"/>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2013-2014</w:t>
            </w:r>
          </w:p>
        </w:tc>
        <w:tc>
          <w:tcPr>
            <w:tcW w:w="1276" w:type="dxa"/>
            <w:tcBorders>
              <w:top w:val="single" w:sz="8" w:space="0" w:color="auto"/>
              <w:left w:val="nil"/>
              <w:bottom w:val="single" w:sz="8" w:space="0" w:color="auto"/>
              <w:right w:val="single" w:sz="8" w:space="0" w:color="auto"/>
            </w:tcBorders>
            <w:shd w:val="clear" w:color="000000" w:fill="DBE5F1"/>
            <w:noWrap/>
            <w:vAlign w:val="bottom"/>
            <w:hideMark/>
          </w:tcPr>
          <w:p w:rsidR="00CF07A2" w:rsidRPr="00CF285F" w:rsidRDefault="00CF07A2" w:rsidP="00CF07A2">
            <w:pPr>
              <w:spacing w:after="0" w:line="240" w:lineRule="auto"/>
              <w:jc w:val="center"/>
              <w:rPr>
                <w:rFonts w:ascii="Calibri" w:eastAsia="Times New Roman" w:hAnsi="Calibri" w:cs="Times New Roman"/>
                <w:b/>
                <w:bCs/>
                <w:color w:val="000000"/>
                <w:lang w:val="fr-CA"/>
              </w:rPr>
            </w:pPr>
            <w:r w:rsidRPr="00CF285F">
              <w:rPr>
                <w:rFonts w:ascii="Calibri" w:eastAsia="Times New Roman" w:hAnsi="Calibri" w:cs="Times New Roman"/>
                <w:b/>
                <w:bCs/>
                <w:color w:val="000000"/>
                <w:lang w:val="fr-CA"/>
              </w:rPr>
              <w:t>2014-2015</w:t>
            </w:r>
          </w:p>
        </w:tc>
      </w:tr>
      <w:tr w:rsidR="00CF07A2" w:rsidRPr="00CF285F" w:rsidTr="00CF07A2">
        <w:trPr>
          <w:trHeight w:val="279"/>
        </w:trPr>
        <w:tc>
          <w:tcPr>
            <w:tcW w:w="5255" w:type="dxa"/>
            <w:tcBorders>
              <w:top w:val="nil"/>
              <w:left w:val="single" w:sz="8" w:space="0" w:color="auto"/>
              <w:bottom w:val="nil"/>
              <w:right w:val="nil"/>
            </w:tcBorders>
            <w:shd w:val="clear" w:color="auto" w:fill="auto"/>
            <w:noWrap/>
            <w:vAlign w:val="bottom"/>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Nombre total d’exceptions</w:t>
            </w:r>
          </w:p>
        </w:tc>
        <w:tc>
          <w:tcPr>
            <w:tcW w:w="1559" w:type="dxa"/>
            <w:tcBorders>
              <w:top w:val="nil"/>
              <w:left w:val="nil"/>
              <w:bottom w:val="nil"/>
              <w:right w:val="nil"/>
            </w:tcBorders>
            <w:shd w:val="clear" w:color="auto" w:fill="auto"/>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1 329</w:t>
            </w:r>
          </w:p>
        </w:tc>
        <w:tc>
          <w:tcPr>
            <w:tcW w:w="1276" w:type="dxa"/>
            <w:tcBorders>
              <w:top w:val="nil"/>
              <w:left w:val="nil"/>
              <w:bottom w:val="nil"/>
              <w:right w:val="nil"/>
            </w:tcBorders>
            <w:shd w:val="clear" w:color="auto" w:fill="auto"/>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2 255</w:t>
            </w:r>
          </w:p>
        </w:tc>
        <w:tc>
          <w:tcPr>
            <w:tcW w:w="1276" w:type="dxa"/>
            <w:tcBorders>
              <w:top w:val="nil"/>
              <w:left w:val="nil"/>
              <w:bottom w:val="nil"/>
              <w:right w:val="single" w:sz="8" w:space="0" w:color="auto"/>
            </w:tcBorders>
            <w:shd w:val="clear" w:color="auto" w:fill="auto"/>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4 956</w:t>
            </w:r>
          </w:p>
        </w:tc>
      </w:tr>
      <w:tr w:rsidR="00CF07A2" w:rsidRPr="00CF285F" w:rsidTr="00CF07A2">
        <w:trPr>
          <w:trHeight w:val="279"/>
        </w:trPr>
        <w:tc>
          <w:tcPr>
            <w:tcW w:w="5255" w:type="dxa"/>
            <w:tcBorders>
              <w:top w:val="nil"/>
              <w:left w:val="single" w:sz="8" w:space="0" w:color="auto"/>
              <w:bottom w:val="nil"/>
              <w:right w:val="nil"/>
            </w:tcBorders>
            <w:shd w:val="clear" w:color="auto" w:fill="DBE5F1" w:themeFill="accent1" w:themeFillTint="33"/>
            <w:noWrap/>
            <w:vAlign w:val="bottom"/>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Nombre total de demandes complétées</w:t>
            </w:r>
          </w:p>
        </w:tc>
        <w:tc>
          <w:tcPr>
            <w:tcW w:w="1559" w:type="dxa"/>
            <w:tcBorders>
              <w:top w:val="nil"/>
              <w:left w:val="nil"/>
              <w:bottom w:val="nil"/>
              <w:right w:val="nil"/>
            </w:tcBorders>
            <w:shd w:val="clear" w:color="auto" w:fill="DBE5F1" w:themeFill="accent1" w:themeFillTint="33"/>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981</w:t>
            </w:r>
          </w:p>
        </w:tc>
        <w:tc>
          <w:tcPr>
            <w:tcW w:w="1276" w:type="dxa"/>
            <w:tcBorders>
              <w:top w:val="nil"/>
              <w:left w:val="nil"/>
              <w:bottom w:val="nil"/>
              <w:right w:val="nil"/>
            </w:tcBorders>
            <w:shd w:val="clear" w:color="auto" w:fill="DBE5F1" w:themeFill="accent1" w:themeFillTint="33"/>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1 706</w:t>
            </w:r>
          </w:p>
        </w:tc>
        <w:tc>
          <w:tcPr>
            <w:tcW w:w="1276" w:type="dxa"/>
            <w:tcBorders>
              <w:top w:val="nil"/>
              <w:left w:val="nil"/>
              <w:bottom w:val="nil"/>
              <w:right w:val="single" w:sz="8" w:space="0" w:color="auto"/>
            </w:tcBorders>
            <w:shd w:val="clear" w:color="auto" w:fill="DBE5F1" w:themeFill="accent1" w:themeFillTint="33"/>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3 356</w:t>
            </w:r>
          </w:p>
        </w:tc>
      </w:tr>
      <w:tr w:rsidR="00CF07A2" w:rsidRPr="00CF285F" w:rsidTr="00CF07A2">
        <w:trPr>
          <w:trHeight w:val="293"/>
        </w:trPr>
        <w:tc>
          <w:tcPr>
            <w:tcW w:w="5255" w:type="dxa"/>
            <w:tcBorders>
              <w:top w:val="nil"/>
              <w:left w:val="single" w:sz="8" w:space="0" w:color="auto"/>
              <w:bottom w:val="single" w:sz="8" w:space="0" w:color="auto"/>
              <w:right w:val="nil"/>
            </w:tcBorders>
            <w:shd w:val="clear" w:color="auto" w:fill="FFFFFF" w:themeFill="background1"/>
            <w:noWrap/>
            <w:vAlign w:val="bottom"/>
            <w:hideMark/>
          </w:tcPr>
          <w:p w:rsidR="00CF07A2" w:rsidRPr="00CF285F" w:rsidRDefault="00CF07A2" w:rsidP="00CF07A2">
            <w:pPr>
              <w:spacing w:after="0" w:line="240" w:lineRule="auto"/>
              <w:rPr>
                <w:rFonts w:ascii="Calibri" w:eastAsia="Times New Roman" w:hAnsi="Calibri" w:cs="Times New Roman"/>
                <w:color w:val="000000"/>
                <w:lang w:val="fr-CA"/>
              </w:rPr>
            </w:pPr>
            <w:r w:rsidRPr="00CF285F">
              <w:rPr>
                <w:rFonts w:ascii="Calibri" w:eastAsia="Times New Roman" w:hAnsi="Calibri" w:cs="Times New Roman"/>
                <w:color w:val="000000"/>
                <w:lang w:val="fr-CA"/>
              </w:rPr>
              <w:t>Nombre moyen d’exceptions par demande complétée</w:t>
            </w:r>
          </w:p>
        </w:tc>
        <w:tc>
          <w:tcPr>
            <w:tcW w:w="1559" w:type="dxa"/>
            <w:tcBorders>
              <w:top w:val="nil"/>
              <w:left w:val="nil"/>
              <w:bottom w:val="single" w:sz="8" w:space="0" w:color="auto"/>
              <w:right w:val="nil"/>
            </w:tcBorders>
            <w:shd w:val="clear" w:color="auto" w:fill="FFFFFF" w:themeFill="background1"/>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1,35</w:t>
            </w:r>
          </w:p>
        </w:tc>
        <w:tc>
          <w:tcPr>
            <w:tcW w:w="1276" w:type="dxa"/>
            <w:tcBorders>
              <w:top w:val="nil"/>
              <w:left w:val="nil"/>
              <w:bottom w:val="single" w:sz="8" w:space="0" w:color="auto"/>
              <w:right w:val="nil"/>
            </w:tcBorders>
            <w:shd w:val="clear" w:color="auto" w:fill="FFFFFF" w:themeFill="background1"/>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1,32</w:t>
            </w:r>
          </w:p>
        </w:tc>
        <w:tc>
          <w:tcPr>
            <w:tcW w:w="1276" w:type="dxa"/>
            <w:tcBorders>
              <w:top w:val="nil"/>
              <w:left w:val="nil"/>
              <w:bottom w:val="single" w:sz="8" w:space="0" w:color="auto"/>
              <w:right w:val="single" w:sz="8" w:space="0" w:color="auto"/>
            </w:tcBorders>
            <w:shd w:val="clear" w:color="auto" w:fill="FFFFFF" w:themeFill="background1"/>
            <w:noWrap/>
            <w:vAlign w:val="bottom"/>
            <w:hideMark/>
          </w:tcPr>
          <w:p w:rsidR="00CF07A2" w:rsidRPr="00CF285F" w:rsidRDefault="00CF07A2" w:rsidP="00CF07A2">
            <w:pPr>
              <w:spacing w:after="0" w:line="240" w:lineRule="auto"/>
              <w:jc w:val="center"/>
              <w:rPr>
                <w:rFonts w:ascii="Calibri" w:eastAsia="Times New Roman" w:hAnsi="Calibri" w:cs="Times New Roman"/>
                <w:color w:val="000000"/>
                <w:lang w:val="fr-CA"/>
              </w:rPr>
            </w:pPr>
            <w:r w:rsidRPr="00CF285F">
              <w:rPr>
                <w:rFonts w:ascii="Calibri" w:eastAsia="Times New Roman" w:hAnsi="Calibri" w:cs="Times New Roman"/>
                <w:color w:val="000000"/>
                <w:lang w:val="fr-CA"/>
              </w:rPr>
              <w:t>1,48</w:t>
            </w:r>
          </w:p>
        </w:tc>
      </w:tr>
    </w:tbl>
    <w:p w:rsidR="00CF07A2" w:rsidRDefault="00CF07A2" w:rsidP="00CF07A2">
      <w:pPr>
        <w:pStyle w:val="Heading2"/>
        <w:spacing w:before="240"/>
      </w:pPr>
    </w:p>
    <w:p w:rsidR="00CF07A2" w:rsidRDefault="00CF07A2" w:rsidP="00CF07A2">
      <w:pPr>
        <w:rPr>
          <w:lang w:val="fr-CA"/>
        </w:rPr>
      </w:pPr>
      <w:r>
        <w:br w:type="page"/>
      </w:r>
    </w:p>
    <w:p w:rsidR="00CF07A2" w:rsidRPr="001B4B6A" w:rsidRDefault="00CF07A2" w:rsidP="00CF07A2">
      <w:pPr>
        <w:pStyle w:val="Heading2"/>
        <w:spacing w:before="240"/>
      </w:pPr>
      <w:r w:rsidRPr="001B4B6A">
        <w:lastRenderedPageBreak/>
        <w:t>Plaintes au Commissariat à l’information</w:t>
      </w:r>
    </w:p>
    <w:p w:rsidR="00CF07A2" w:rsidRPr="004E1A1D" w:rsidRDefault="00CF07A2" w:rsidP="00CF07A2">
      <w:pPr>
        <w:jc w:val="both"/>
        <w:rPr>
          <w:lang w:val="fr-CA"/>
        </w:rPr>
      </w:pPr>
      <w:r w:rsidRPr="00CF285F">
        <w:rPr>
          <w:lang w:val="fr-CA"/>
        </w:rPr>
        <w:t>Le nombre de plaintes reçues</w:t>
      </w:r>
      <w:r>
        <w:rPr>
          <w:rStyle w:val="FootnoteReference"/>
          <w:lang w:val="fr-CA"/>
        </w:rPr>
        <w:footnoteReference w:id="15"/>
      </w:r>
      <w:r w:rsidRPr="00CF285F">
        <w:rPr>
          <w:lang w:val="fr-CA"/>
        </w:rPr>
        <w:t xml:space="preserve"> concernant </w:t>
      </w:r>
      <w:r>
        <w:rPr>
          <w:lang w:val="fr-CA"/>
        </w:rPr>
        <w:t>la GRC a diminué de 185 en 2013-2014 à 178 en 2014-</w:t>
      </w:r>
      <w:r w:rsidRPr="00CF285F">
        <w:rPr>
          <w:lang w:val="fr-CA"/>
        </w:rPr>
        <w:t>2015. La proportion de plaintes pour refus par rapport aux plaintes de nature administrative a augmenté de façon marquée, puisque 81,4 % des plaintes étaient attribuables à un refus tandis qu’</w:t>
      </w:r>
      <w:r>
        <w:rPr>
          <w:lang w:val="fr-CA"/>
        </w:rPr>
        <w:t>en 2013-</w:t>
      </w:r>
      <w:r w:rsidRPr="00CF285F">
        <w:rPr>
          <w:lang w:val="fr-CA"/>
        </w:rPr>
        <w:t>2014, les plaintes pour refus ne représentaient que 44,5 %. Le nombre de plaintes fondées a diminué au cours de cette période, passant de 90 à 42. Également, on a observé une diminution du nombre de plaintes non fondées, passant de 35 en 2013-2014 à 20 en 2014-2015. Environ 25 % de toutes les plaintes ont été aba</w:t>
      </w:r>
      <w:r w:rsidR="008303C9">
        <w:rPr>
          <w:lang w:val="fr-CA"/>
        </w:rPr>
        <w:t>ndonnées et 31,4 % étaient toujours</w:t>
      </w:r>
      <w:r w:rsidRPr="00CF285F">
        <w:rPr>
          <w:lang w:val="fr-CA"/>
        </w:rPr>
        <w:t xml:space="preserve"> </w:t>
      </w:r>
      <w:r>
        <w:rPr>
          <w:lang w:val="fr-CA"/>
        </w:rPr>
        <w:t>en suspens.</w:t>
      </w:r>
    </w:p>
    <w:p w:rsidR="00CF07A2" w:rsidRDefault="00CF07A2">
      <w:pPr>
        <w:rPr>
          <w:lang w:val="fr-CA"/>
        </w:rPr>
      </w:pPr>
      <w:r>
        <w:rPr>
          <w:lang w:val="fr-CA"/>
        </w:rPr>
        <w:br w:type="page"/>
      </w:r>
    </w:p>
    <w:p w:rsidR="00CF07A2" w:rsidRPr="00F358E9" w:rsidRDefault="00CF07A2" w:rsidP="00CF07A2">
      <w:pPr>
        <w:pStyle w:val="Heading1"/>
      </w:pPr>
      <w:r w:rsidRPr="00F358E9">
        <w:lastRenderedPageBreak/>
        <w:t>Agence du revenu du Canada</w:t>
      </w:r>
    </w:p>
    <w:p w:rsidR="00CF07A2" w:rsidRPr="00F358E9" w:rsidRDefault="00CF07A2" w:rsidP="00CF07A2">
      <w:pPr>
        <w:jc w:val="both"/>
        <w:rPr>
          <w:b/>
          <w:lang w:val="fr-CA"/>
        </w:rPr>
      </w:pPr>
      <w:r w:rsidRPr="00F358E9">
        <w:rPr>
          <w:rStyle w:val="Heading2Char"/>
        </w:rPr>
        <w:t>Rendement global</w:t>
      </w:r>
      <w:r w:rsidRPr="0037509D">
        <w:rPr>
          <w:rStyle w:val="FootnoteReference"/>
          <w:b/>
          <w:lang w:val="fr-CA"/>
        </w:rPr>
        <w:footnoteReference w:id="16"/>
      </w:r>
    </w:p>
    <w:p w:rsidR="00CF07A2" w:rsidRPr="0037509D" w:rsidRDefault="00CF07A2" w:rsidP="00CF07A2">
      <w:pPr>
        <w:jc w:val="both"/>
        <w:rPr>
          <w:lang w:val="fr-CA"/>
        </w:rPr>
      </w:pPr>
      <w:r w:rsidRPr="0037509D">
        <w:rPr>
          <w:lang w:val="fr-CA"/>
        </w:rPr>
        <w:t>Malgré une augmentation de 9,3 % de demandes reçues, l’Agence du revenu du Canada (ARC) a démontré des améliorations au niveau des deux principaux indicateurs; son pourcentage de demandes complétées en 30 jours ou moins a augmenté de 4,8 % et son pourcentage de demandes pour lesquelles toute l’information a été divulguée a augmenté de 3,7 %. Le présent rapport contient des statistiques comparatives pour les trois dernières périodes (2012 à 2015).</w:t>
      </w:r>
    </w:p>
    <w:p w:rsidR="00CF07A2" w:rsidRPr="00F358E9" w:rsidRDefault="00CF07A2" w:rsidP="00CF07A2">
      <w:pPr>
        <w:pStyle w:val="Heading2"/>
      </w:pPr>
      <w:r w:rsidRPr="00F358E9">
        <w:t>Charge de travail</w:t>
      </w:r>
    </w:p>
    <w:p w:rsidR="00CF07A2" w:rsidRPr="0037509D" w:rsidRDefault="00CF07A2" w:rsidP="00CF07A2">
      <w:pPr>
        <w:jc w:val="both"/>
        <w:rPr>
          <w:lang w:val="fr-CA"/>
        </w:rPr>
      </w:pPr>
      <w:r w:rsidRPr="0037509D">
        <w:rPr>
          <w:lang w:val="fr-CA"/>
        </w:rPr>
        <w:t xml:space="preserve">L’ARC a reçu 3 006 demandes en vertu de la </w:t>
      </w:r>
      <w:r w:rsidRPr="0037509D">
        <w:rPr>
          <w:i/>
          <w:lang w:val="fr-CA"/>
        </w:rPr>
        <w:t>Loi sur l’accès à l‘information</w:t>
      </w:r>
      <w:r w:rsidRPr="0037509D">
        <w:rPr>
          <w:lang w:val="fr-CA"/>
        </w:rPr>
        <w:t xml:space="preserve"> (la </w:t>
      </w:r>
      <w:r w:rsidRPr="0037509D">
        <w:rPr>
          <w:i/>
          <w:lang w:val="fr-CA"/>
        </w:rPr>
        <w:t>Loi</w:t>
      </w:r>
      <w:r w:rsidRPr="0037509D">
        <w:rPr>
          <w:lang w:val="fr-CA"/>
        </w:rPr>
        <w:t>), représentant 4,4 % du nombre total de demandes reçues à l’échelle du gouvernement en 2014</w:t>
      </w:r>
      <w:r w:rsidRPr="0037509D">
        <w:rPr>
          <w:lang w:val="fr-CA"/>
        </w:rPr>
        <w:noBreakHyphen/>
        <w:t>2015. Cela représente une augmentation de 9,3 % du nombre total de demandes reçues par l’ARC au courant de cette période</w:t>
      </w:r>
      <w:r>
        <w:rPr>
          <w:lang w:val="fr-CA"/>
        </w:rPr>
        <w:t xml:space="preserve"> (voir tableau 1)</w:t>
      </w:r>
      <w:r w:rsidRPr="0037509D">
        <w:rPr>
          <w:lang w:val="fr-CA"/>
        </w:rPr>
        <w:t>.</w:t>
      </w:r>
    </w:p>
    <w:p w:rsidR="00CF07A2" w:rsidRPr="0037509D" w:rsidRDefault="00CF07A2" w:rsidP="00CF07A2">
      <w:pPr>
        <w:jc w:val="both"/>
        <w:rPr>
          <w:lang w:val="fr-CA"/>
        </w:rPr>
      </w:pPr>
      <w:r w:rsidRPr="0037509D">
        <w:rPr>
          <w:lang w:val="fr-CA"/>
        </w:rPr>
        <w:t>La plupart des demandes reçues par l’ARC provenaient du public (60,2 %), suivies des demandes du secteur privé (29,5 %). L</w:t>
      </w:r>
      <w:r>
        <w:rPr>
          <w:lang w:val="fr-CA"/>
        </w:rPr>
        <w:t xml:space="preserve">e nombre de </w:t>
      </w:r>
      <w:r w:rsidRPr="0037509D">
        <w:rPr>
          <w:lang w:val="fr-CA"/>
        </w:rPr>
        <w:t xml:space="preserve">demandes </w:t>
      </w:r>
      <w:r>
        <w:rPr>
          <w:lang w:val="fr-CA"/>
        </w:rPr>
        <w:t>du public a</w:t>
      </w:r>
      <w:r w:rsidRPr="0037509D">
        <w:rPr>
          <w:lang w:val="fr-CA"/>
        </w:rPr>
        <w:t xml:space="preserve"> augmenté de 1</w:t>
      </w:r>
      <w:r>
        <w:rPr>
          <w:lang w:val="fr-CA"/>
        </w:rPr>
        <w:t xml:space="preserve">8,9 </w:t>
      </w:r>
      <w:r w:rsidRPr="0037509D">
        <w:rPr>
          <w:lang w:val="fr-CA"/>
        </w:rPr>
        <w:t>% par rapport à l’année 2013</w:t>
      </w:r>
      <w:r w:rsidRPr="0037509D">
        <w:rPr>
          <w:lang w:val="fr-CA"/>
        </w:rPr>
        <w:noBreakHyphen/>
        <w:t>2014. Si l’on compare</w:t>
      </w:r>
      <w:r>
        <w:rPr>
          <w:lang w:val="fr-CA"/>
        </w:rPr>
        <w:t xml:space="preserve"> avec la période précédente, le nombre de</w:t>
      </w:r>
      <w:r w:rsidRPr="0037509D">
        <w:rPr>
          <w:lang w:val="fr-CA"/>
        </w:rPr>
        <w:t xml:space="preserve"> demandes du secteur privé </w:t>
      </w:r>
      <w:r>
        <w:rPr>
          <w:lang w:val="fr-CA"/>
        </w:rPr>
        <w:t>a diminué de 19,9</w:t>
      </w:r>
      <w:r w:rsidRPr="0037509D">
        <w:rPr>
          <w:lang w:val="fr-CA"/>
        </w:rPr>
        <w:t> %.</w:t>
      </w:r>
    </w:p>
    <w:p w:rsidR="00CF07A2" w:rsidRPr="0037509D" w:rsidRDefault="00CF07A2" w:rsidP="00CF07A2">
      <w:pPr>
        <w:jc w:val="both"/>
        <w:rPr>
          <w:lang w:val="fr-CA"/>
        </w:rPr>
      </w:pPr>
      <w:r w:rsidRPr="0037509D">
        <w:rPr>
          <w:lang w:val="fr-CA"/>
        </w:rPr>
        <w:t>L’ARC a complété 2 668 demandes pour cette période de référence. Le taux d’achèvement</w:t>
      </w:r>
      <w:r w:rsidRPr="0037509D">
        <w:rPr>
          <w:rStyle w:val="FootnoteReference"/>
          <w:lang w:val="fr-CA"/>
        </w:rPr>
        <w:footnoteReference w:id="17"/>
      </w:r>
      <w:r w:rsidRPr="0037509D">
        <w:rPr>
          <w:lang w:val="fr-CA"/>
        </w:rPr>
        <w:t xml:space="preserve"> était de 74,2 %, soit inférieur à celui rapporté pour l’ensemble du gouvernement qui lui était de 85,1 %. En 2013</w:t>
      </w:r>
      <w:r w:rsidRPr="0037509D">
        <w:rPr>
          <w:lang w:val="fr-CA"/>
        </w:rPr>
        <w:noBreakHyphen/>
        <w:t>2014, le taux d’achèvement pour l’ARC était de 82,5 %. L’ARC a aussi reçu 329 demandes informelles en 2014</w:t>
      </w:r>
      <w:r w:rsidRPr="0037509D">
        <w:rPr>
          <w:lang w:val="fr-CA"/>
        </w:rPr>
        <w:noBreakHyphen/>
        <w:t>2015, dont 58,7 % qui ont été complétées en 30 jours ou moins. Le nombre de demandes d</w:t>
      </w:r>
      <w:r>
        <w:rPr>
          <w:lang w:val="fr-CA"/>
        </w:rPr>
        <w:t>e consultation reçues par l’ARC</w:t>
      </w:r>
      <w:r w:rsidRPr="0037509D">
        <w:rPr>
          <w:lang w:val="fr-CA"/>
        </w:rPr>
        <w:t xml:space="preserve"> en provenance d’autres institutions fédérales a augmenté de 103 à 122, ce qui représente une hausse de </w:t>
      </w:r>
      <w:r>
        <w:rPr>
          <w:lang w:val="fr-CA"/>
        </w:rPr>
        <w:t>18,4 % par rapport à 2013</w:t>
      </w:r>
      <w:r>
        <w:rPr>
          <w:lang w:val="fr-CA"/>
        </w:rPr>
        <w:noBreakHyphen/>
        <w:t>2014.</w:t>
      </w:r>
    </w:p>
    <w:p w:rsidR="00CF07A2" w:rsidRPr="0037509D" w:rsidRDefault="00CF07A2" w:rsidP="00CF07A2">
      <w:pPr>
        <w:jc w:val="both"/>
        <w:rPr>
          <w:lang w:val="fr-CA"/>
        </w:rPr>
      </w:pPr>
      <w:r w:rsidRPr="0037509D">
        <w:rPr>
          <w:lang w:val="fr-CA"/>
        </w:rPr>
        <w:t>En 2014</w:t>
      </w:r>
      <w:r w:rsidRPr="0037509D">
        <w:rPr>
          <w:lang w:val="fr-CA"/>
        </w:rPr>
        <w:noBreakHyphen/>
        <w:t>2015, l’ARC a traité 1 306 661 pages afin de répondre à des demandes d’accès à l’information. Le nombre moyen</w:t>
      </w:r>
      <w:r>
        <w:rPr>
          <w:lang w:val="fr-CA"/>
        </w:rPr>
        <w:t xml:space="preserve"> de pages traitées par demande </w:t>
      </w:r>
      <w:proofErr w:type="spellStart"/>
      <w:r>
        <w:rPr>
          <w:lang w:val="fr-CA"/>
        </w:rPr>
        <w:t>compl</w:t>
      </w:r>
      <w:r w:rsidRPr="00387FBF">
        <w:rPr>
          <w:lang w:val="fr-FR"/>
        </w:rPr>
        <w:t>é</w:t>
      </w:r>
      <w:r>
        <w:rPr>
          <w:lang w:val="fr-FR"/>
        </w:rPr>
        <w:t>tée</w:t>
      </w:r>
      <w:proofErr w:type="spellEnd"/>
      <w:r w:rsidRPr="0037509D">
        <w:rPr>
          <w:lang w:val="fr-CA"/>
        </w:rPr>
        <w:t xml:space="preserve"> a diminué de 638 en 2013</w:t>
      </w:r>
      <w:r w:rsidRPr="0037509D">
        <w:rPr>
          <w:lang w:val="fr-CA"/>
        </w:rPr>
        <w:noBreakHyphen/>
        <w:t>2014 à 526 en 2014</w:t>
      </w:r>
      <w:r w:rsidRPr="0037509D">
        <w:rPr>
          <w:lang w:val="fr-CA"/>
        </w:rPr>
        <w:noBreakHyphen/>
      </w:r>
      <w:r>
        <w:rPr>
          <w:lang w:val="fr-CA"/>
        </w:rPr>
        <w:t>2015.</w:t>
      </w:r>
    </w:p>
    <w:p w:rsidR="00CF07A2" w:rsidRDefault="00CF07A2" w:rsidP="00CF07A2">
      <w:pPr>
        <w:spacing w:line="240" w:lineRule="auto"/>
        <w:contextualSpacing/>
        <w:jc w:val="both"/>
        <w:rPr>
          <w:lang w:val="fr-CA"/>
        </w:rPr>
      </w:pPr>
      <w:r w:rsidRPr="0037509D">
        <w:rPr>
          <w:lang w:val="fr-CA"/>
        </w:rPr>
        <w:t xml:space="preserve">L’information diffusée par l’ARC était </w:t>
      </w:r>
      <w:r w:rsidRPr="00852FBB">
        <w:rPr>
          <w:lang w:val="fr-CA"/>
        </w:rPr>
        <w:t>majoritairement</w:t>
      </w:r>
      <w:r w:rsidRPr="0037509D">
        <w:rPr>
          <w:lang w:val="fr-CA"/>
        </w:rPr>
        <w:t xml:space="preserve"> en format électronique : 1 628 demandes en format électronique par rapport à 294 demandes en format papier. Ces résultats sont similaires à ceux observés en 2013-2014 (1 550 demandes en format électronique par rapport à 381 demandes en format papier)</w:t>
      </w:r>
      <w:r>
        <w:rPr>
          <w:lang w:val="fr-CA"/>
        </w:rPr>
        <w:t>.</w:t>
      </w:r>
    </w:p>
    <w:p w:rsidR="00CF07A2" w:rsidRPr="00F358E9" w:rsidRDefault="00CF07A2" w:rsidP="00BA2BE8">
      <w:pPr>
        <w:pStyle w:val="Heading3"/>
      </w:pPr>
      <w:r w:rsidRPr="00F358E9">
        <w:t xml:space="preserve">Tableau </w:t>
      </w:r>
      <w:proofErr w:type="gramStart"/>
      <w:r w:rsidRPr="00F358E9">
        <w:t>1 :</w:t>
      </w:r>
      <w:proofErr w:type="gramEnd"/>
      <w:r w:rsidRPr="00F358E9">
        <w:t xml:space="preserve"> Charge de travail</w:t>
      </w:r>
    </w:p>
    <w:tbl>
      <w:tblPr>
        <w:tblW w:w="9465" w:type="dxa"/>
        <w:tblInd w:w="103" w:type="dxa"/>
        <w:tblLook w:val="04A0"/>
      </w:tblPr>
      <w:tblGrid>
        <w:gridCol w:w="4598"/>
        <w:gridCol w:w="1329"/>
        <w:gridCol w:w="1780"/>
        <w:gridCol w:w="1758"/>
      </w:tblGrid>
      <w:tr w:rsidR="00CF07A2" w:rsidRPr="0037509D" w:rsidTr="00CF07A2">
        <w:trPr>
          <w:trHeight w:val="280"/>
        </w:trPr>
        <w:tc>
          <w:tcPr>
            <w:tcW w:w="4598" w:type="dxa"/>
            <w:tcBorders>
              <w:top w:val="single" w:sz="4" w:space="0" w:color="auto"/>
              <w:left w:val="single" w:sz="4" w:space="0" w:color="auto"/>
              <w:bottom w:val="single" w:sz="4" w:space="0" w:color="auto"/>
              <w:right w:val="nil"/>
            </w:tcBorders>
            <w:shd w:val="clear" w:color="auto" w:fill="auto"/>
            <w:noWrap/>
            <w:vAlign w:val="bottom"/>
            <w:hideMark/>
          </w:tcPr>
          <w:p w:rsidR="00CF07A2" w:rsidRPr="0037509D" w:rsidRDefault="00CF07A2" w:rsidP="00CF07A2">
            <w:pPr>
              <w:spacing w:after="0" w:line="240" w:lineRule="auto"/>
              <w:rPr>
                <w:rFonts w:ascii="Calibri" w:eastAsia="Times New Roman" w:hAnsi="Calibri" w:cs="Times New Roman"/>
                <w:color w:val="000000"/>
                <w:lang w:val="fr-CA"/>
              </w:rPr>
            </w:pPr>
            <w:r w:rsidRPr="0037509D">
              <w:rPr>
                <w:rFonts w:ascii="Calibri" w:eastAsia="Times New Roman" w:hAnsi="Calibri" w:cs="Times New Roman"/>
                <w:color w:val="000000"/>
                <w:lang w:val="fr-CA"/>
              </w:rPr>
              <w:t xml:space="preserve">Mesures </w:t>
            </w:r>
          </w:p>
        </w:tc>
        <w:tc>
          <w:tcPr>
            <w:tcW w:w="1329" w:type="dxa"/>
            <w:tcBorders>
              <w:top w:val="single" w:sz="4" w:space="0" w:color="auto"/>
              <w:left w:val="nil"/>
              <w:bottom w:val="single" w:sz="4" w:space="0" w:color="auto"/>
              <w:right w:val="nil"/>
            </w:tcBorders>
            <w:shd w:val="clear" w:color="auto" w:fill="auto"/>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2012-2013</w:t>
            </w:r>
          </w:p>
        </w:tc>
        <w:tc>
          <w:tcPr>
            <w:tcW w:w="1780" w:type="dxa"/>
            <w:tcBorders>
              <w:top w:val="single" w:sz="4" w:space="0" w:color="auto"/>
              <w:left w:val="nil"/>
              <w:bottom w:val="single" w:sz="4" w:space="0" w:color="auto"/>
              <w:right w:val="nil"/>
            </w:tcBorders>
            <w:shd w:val="clear" w:color="auto" w:fill="auto"/>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2013-2014</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2014-2015</w:t>
            </w:r>
          </w:p>
        </w:tc>
      </w:tr>
      <w:tr w:rsidR="00CF07A2" w:rsidRPr="0037509D" w:rsidTr="00CF07A2">
        <w:trPr>
          <w:trHeight w:val="280"/>
        </w:trPr>
        <w:tc>
          <w:tcPr>
            <w:tcW w:w="4598" w:type="dxa"/>
            <w:tcBorders>
              <w:top w:val="nil"/>
              <w:left w:val="single" w:sz="4" w:space="0" w:color="auto"/>
              <w:bottom w:val="nil"/>
              <w:right w:val="nil"/>
            </w:tcBorders>
            <w:shd w:val="clear" w:color="000000" w:fill="DBE5F1"/>
            <w:noWrap/>
            <w:hideMark/>
          </w:tcPr>
          <w:p w:rsidR="00CF07A2" w:rsidRPr="0037509D" w:rsidRDefault="00CF07A2" w:rsidP="00CF07A2">
            <w:pPr>
              <w:spacing w:after="0" w:line="240" w:lineRule="auto"/>
              <w:rPr>
                <w:rFonts w:ascii="Calibri" w:eastAsia="Times New Roman" w:hAnsi="Calibri" w:cs="Times New Roman"/>
                <w:color w:val="000000"/>
                <w:lang w:val="fr-CA"/>
              </w:rPr>
            </w:pPr>
            <w:r w:rsidRPr="0037509D">
              <w:rPr>
                <w:rFonts w:ascii="Calibri" w:eastAsia="Times New Roman" w:hAnsi="Calibri" w:cs="Times New Roman"/>
                <w:color w:val="000000"/>
                <w:lang w:val="fr-CA"/>
              </w:rPr>
              <w:t xml:space="preserve">Nombre de demandes reçues </w:t>
            </w:r>
          </w:p>
        </w:tc>
        <w:tc>
          <w:tcPr>
            <w:tcW w:w="1329" w:type="dxa"/>
            <w:tcBorders>
              <w:top w:val="nil"/>
              <w:left w:val="nil"/>
              <w:bottom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3 137</w:t>
            </w:r>
          </w:p>
        </w:tc>
        <w:tc>
          <w:tcPr>
            <w:tcW w:w="1780" w:type="dxa"/>
            <w:tcBorders>
              <w:top w:val="nil"/>
              <w:left w:val="nil"/>
              <w:bottom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2 751</w:t>
            </w:r>
          </w:p>
        </w:tc>
        <w:tc>
          <w:tcPr>
            <w:tcW w:w="1758" w:type="dxa"/>
            <w:tcBorders>
              <w:top w:val="nil"/>
              <w:left w:val="nil"/>
              <w:bottom w:val="nil"/>
              <w:right w:val="single" w:sz="4" w:space="0" w:color="auto"/>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3 006</w:t>
            </w:r>
          </w:p>
        </w:tc>
      </w:tr>
      <w:tr w:rsidR="00CF07A2" w:rsidRPr="0037509D" w:rsidTr="00CF07A2">
        <w:trPr>
          <w:trHeight w:val="280"/>
        </w:trPr>
        <w:tc>
          <w:tcPr>
            <w:tcW w:w="4598" w:type="dxa"/>
            <w:tcBorders>
              <w:top w:val="nil"/>
              <w:left w:val="single" w:sz="4" w:space="0" w:color="auto"/>
              <w:bottom w:val="nil"/>
              <w:right w:val="nil"/>
            </w:tcBorders>
            <w:shd w:val="clear" w:color="auto" w:fill="auto"/>
            <w:hideMark/>
          </w:tcPr>
          <w:p w:rsidR="00CF07A2" w:rsidRPr="0037509D" w:rsidRDefault="00CF07A2" w:rsidP="00CF07A2">
            <w:pPr>
              <w:spacing w:after="0" w:line="240" w:lineRule="auto"/>
              <w:rPr>
                <w:rFonts w:ascii="Calibri" w:eastAsia="Times New Roman" w:hAnsi="Calibri" w:cs="Times New Roman"/>
                <w:lang w:val="fr-CA"/>
              </w:rPr>
            </w:pPr>
            <w:r w:rsidRPr="0037509D">
              <w:rPr>
                <w:rFonts w:ascii="Calibri" w:eastAsia="Times New Roman" w:hAnsi="Calibri" w:cs="Times New Roman"/>
                <w:lang w:val="fr-CA"/>
              </w:rPr>
              <w:lastRenderedPageBreak/>
              <w:t>Variation annuelle en %</w:t>
            </w:r>
          </w:p>
        </w:tc>
        <w:tc>
          <w:tcPr>
            <w:tcW w:w="1329" w:type="dxa"/>
            <w:tcBorders>
              <w:top w:val="nil"/>
              <w:left w:val="nil"/>
              <w:bottom w:val="nil"/>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w:t>
            </w:r>
          </w:p>
        </w:tc>
        <w:tc>
          <w:tcPr>
            <w:tcW w:w="1780" w:type="dxa"/>
            <w:tcBorders>
              <w:top w:val="nil"/>
              <w:left w:val="nil"/>
              <w:bottom w:val="nil"/>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-12,3 %</w:t>
            </w:r>
          </w:p>
        </w:tc>
        <w:tc>
          <w:tcPr>
            <w:tcW w:w="1758" w:type="dxa"/>
            <w:tcBorders>
              <w:top w:val="nil"/>
              <w:left w:val="nil"/>
              <w:bottom w:val="nil"/>
              <w:right w:val="single" w:sz="4" w:space="0" w:color="auto"/>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9,3 %</w:t>
            </w:r>
          </w:p>
        </w:tc>
      </w:tr>
      <w:tr w:rsidR="00CF07A2" w:rsidRPr="0037509D" w:rsidTr="00CF07A2">
        <w:trPr>
          <w:trHeight w:val="280"/>
        </w:trPr>
        <w:tc>
          <w:tcPr>
            <w:tcW w:w="4598" w:type="dxa"/>
            <w:tcBorders>
              <w:top w:val="nil"/>
              <w:left w:val="single" w:sz="4" w:space="0" w:color="auto"/>
              <w:right w:val="nil"/>
            </w:tcBorders>
            <w:shd w:val="clear" w:color="000000" w:fill="DBE5F1"/>
            <w:hideMark/>
          </w:tcPr>
          <w:p w:rsidR="00CF07A2" w:rsidRPr="0037509D" w:rsidRDefault="00CF07A2" w:rsidP="00CF07A2">
            <w:pPr>
              <w:spacing w:after="0" w:line="240" w:lineRule="auto"/>
              <w:rPr>
                <w:rFonts w:ascii="Calibri" w:eastAsia="Times New Roman" w:hAnsi="Calibri" w:cs="Times New Roman"/>
                <w:lang w:val="fr-CA"/>
              </w:rPr>
            </w:pPr>
            <w:r w:rsidRPr="0037509D">
              <w:rPr>
                <w:rFonts w:ascii="Calibri" w:eastAsia="Times New Roman" w:hAnsi="Calibri" w:cs="Times New Roman"/>
                <w:lang w:val="fr-CA"/>
              </w:rPr>
              <w:t>Demandes complétées</w:t>
            </w:r>
          </w:p>
        </w:tc>
        <w:tc>
          <w:tcPr>
            <w:tcW w:w="1329" w:type="dxa"/>
            <w:tcBorders>
              <w:top w:val="nil"/>
              <w:left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3 083</w:t>
            </w:r>
          </w:p>
        </w:tc>
        <w:tc>
          <w:tcPr>
            <w:tcW w:w="1780" w:type="dxa"/>
            <w:tcBorders>
              <w:top w:val="nil"/>
              <w:left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2 795</w:t>
            </w:r>
          </w:p>
        </w:tc>
        <w:tc>
          <w:tcPr>
            <w:tcW w:w="1758" w:type="dxa"/>
            <w:tcBorders>
              <w:top w:val="nil"/>
              <w:left w:val="nil"/>
              <w:right w:val="single" w:sz="4" w:space="0" w:color="auto"/>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2 668</w:t>
            </w:r>
          </w:p>
        </w:tc>
      </w:tr>
      <w:tr w:rsidR="00CF07A2" w:rsidRPr="0037509D" w:rsidTr="00CF07A2">
        <w:trPr>
          <w:trHeight w:val="280"/>
        </w:trPr>
        <w:tc>
          <w:tcPr>
            <w:tcW w:w="4598" w:type="dxa"/>
            <w:tcBorders>
              <w:top w:val="nil"/>
              <w:left w:val="single" w:sz="4" w:space="0" w:color="auto"/>
              <w:right w:val="nil"/>
            </w:tcBorders>
            <w:shd w:val="clear" w:color="auto" w:fill="auto"/>
            <w:hideMark/>
          </w:tcPr>
          <w:p w:rsidR="00CF07A2" w:rsidRPr="0037509D" w:rsidRDefault="00CF07A2" w:rsidP="00CF07A2">
            <w:pPr>
              <w:spacing w:after="0" w:line="240" w:lineRule="auto"/>
              <w:rPr>
                <w:rFonts w:ascii="Calibri" w:eastAsia="Times New Roman" w:hAnsi="Calibri" w:cs="Times New Roman"/>
                <w:lang w:val="fr-CA"/>
              </w:rPr>
            </w:pPr>
            <w:r w:rsidRPr="0037509D">
              <w:rPr>
                <w:rFonts w:ascii="Calibri" w:eastAsia="Times New Roman" w:hAnsi="Calibri" w:cs="Times New Roman"/>
                <w:lang w:val="fr-CA"/>
              </w:rPr>
              <w:t>Variation annuelle en %</w:t>
            </w:r>
          </w:p>
        </w:tc>
        <w:tc>
          <w:tcPr>
            <w:tcW w:w="1329" w:type="dxa"/>
            <w:tcBorders>
              <w:top w:val="nil"/>
              <w:left w:val="nil"/>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w:t>
            </w:r>
          </w:p>
        </w:tc>
        <w:tc>
          <w:tcPr>
            <w:tcW w:w="1780" w:type="dxa"/>
            <w:tcBorders>
              <w:top w:val="nil"/>
              <w:left w:val="nil"/>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-9,3 %</w:t>
            </w:r>
          </w:p>
        </w:tc>
        <w:tc>
          <w:tcPr>
            <w:tcW w:w="1758" w:type="dxa"/>
            <w:tcBorders>
              <w:top w:val="nil"/>
              <w:left w:val="nil"/>
              <w:right w:val="single" w:sz="4" w:space="0" w:color="auto"/>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-4,5 %</w:t>
            </w:r>
          </w:p>
        </w:tc>
      </w:tr>
      <w:tr w:rsidR="00CF07A2" w:rsidRPr="0037509D" w:rsidTr="00CF07A2">
        <w:trPr>
          <w:trHeight w:val="560"/>
        </w:trPr>
        <w:tc>
          <w:tcPr>
            <w:tcW w:w="4598" w:type="dxa"/>
            <w:tcBorders>
              <w:left w:val="single" w:sz="4" w:space="0" w:color="auto"/>
              <w:right w:val="nil"/>
            </w:tcBorders>
            <w:shd w:val="clear" w:color="000000" w:fill="DBE5F1"/>
            <w:hideMark/>
          </w:tcPr>
          <w:p w:rsidR="00CF07A2" w:rsidRPr="0037509D" w:rsidRDefault="00CF07A2" w:rsidP="00CF07A2">
            <w:pPr>
              <w:spacing w:after="0" w:line="240" w:lineRule="auto"/>
              <w:rPr>
                <w:rFonts w:ascii="Calibri" w:eastAsia="Times New Roman" w:hAnsi="Calibri" w:cs="Times New Roman"/>
                <w:color w:val="000000"/>
                <w:lang w:val="fr-CA"/>
              </w:rPr>
            </w:pPr>
            <w:r w:rsidRPr="0037509D">
              <w:rPr>
                <w:rFonts w:ascii="Calibri" w:eastAsia="Times New Roman" w:hAnsi="Calibri" w:cs="Times New Roman"/>
                <w:color w:val="000000"/>
                <w:lang w:val="fr-CA"/>
              </w:rPr>
              <w:t>Nombre de demandes de consultation reçues (d’autres institutions fédérales)</w:t>
            </w:r>
          </w:p>
        </w:tc>
        <w:tc>
          <w:tcPr>
            <w:tcW w:w="1329" w:type="dxa"/>
            <w:tcBorders>
              <w:left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color w:val="000000"/>
                <w:lang w:val="fr-CA"/>
              </w:rPr>
            </w:pPr>
            <w:r w:rsidRPr="0037509D">
              <w:rPr>
                <w:rFonts w:ascii="Calibri" w:eastAsia="Times New Roman" w:hAnsi="Calibri" w:cs="Times New Roman"/>
                <w:b/>
                <w:bCs/>
                <w:color w:val="000000"/>
                <w:lang w:val="fr-CA"/>
              </w:rPr>
              <w:t>83</w:t>
            </w:r>
          </w:p>
        </w:tc>
        <w:tc>
          <w:tcPr>
            <w:tcW w:w="1780" w:type="dxa"/>
            <w:tcBorders>
              <w:left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color w:val="000000"/>
                <w:lang w:val="fr-CA"/>
              </w:rPr>
            </w:pPr>
            <w:r w:rsidRPr="0037509D">
              <w:rPr>
                <w:rFonts w:ascii="Calibri" w:eastAsia="Times New Roman" w:hAnsi="Calibri" w:cs="Times New Roman"/>
                <w:b/>
                <w:bCs/>
                <w:color w:val="000000"/>
                <w:lang w:val="fr-CA"/>
              </w:rPr>
              <w:t>103</w:t>
            </w:r>
          </w:p>
        </w:tc>
        <w:tc>
          <w:tcPr>
            <w:tcW w:w="1758" w:type="dxa"/>
            <w:tcBorders>
              <w:left w:val="nil"/>
              <w:right w:val="single" w:sz="4" w:space="0" w:color="auto"/>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color w:val="000000"/>
                <w:lang w:val="fr-CA"/>
              </w:rPr>
            </w:pPr>
            <w:r w:rsidRPr="0037509D">
              <w:rPr>
                <w:rFonts w:ascii="Calibri" w:eastAsia="Times New Roman" w:hAnsi="Calibri" w:cs="Times New Roman"/>
                <w:b/>
                <w:bCs/>
                <w:color w:val="000000"/>
                <w:lang w:val="fr-CA"/>
              </w:rPr>
              <w:t>122</w:t>
            </w:r>
          </w:p>
        </w:tc>
      </w:tr>
      <w:tr w:rsidR="00CF07A2" w:rsidRPr="0037509D" w:rsidTr="00CF07A2">
        <w:trPr>
          <w:trHeight w:val="294"/>
        </w:trPr>
        <w:tc>
          <w:tcPr>
            <w:tcW w:w="4598" w:type="dxa"/>
            <w:tcBorders>
              <w:left w:val="single" w:sz="4" w:space="0" w:color="auto"/>
              <w:right w:val="nil"/>
            </w:tcBorders>
            <w:shd w:val="clear" w:color="auto" w:fill="auto"/>
            <w:hideMark/>
          </w:tcPr>
          <w:p w:rsidR="00CF07A2" w:rsidRPr="0037509D" w:rsidRDefault="00CF07A2" w:rsidP="00CF07A2">
            <w:pPr>
              <w:spacing w:after="0" w:line="240" w:lineRule="auto"/>
              <w:rPr>
                <w:rFonts w:ascii="Calibri" w:eastAsia="Times New Roman" w:hAnsi="Calibri" w:cs="Times New Roman"/>
                <w:lang w:val="fr-CA"/>
              </w:rPr>
            </w:pPr>
            <w:r w:rsidRPr="0037509D">
              <w:rPr>
                <w:rFonts w:ascii="Calibri" w:eastAsia="Times New Roman" w:hAnsi="Calibri" w:cs="Times New Roman"/>
                <w:lang w:val="fr-CA"/>
              </w:rPr>
              <w:t>Variation annuelle en %</w:t>
            </w:r>
          </w:p>
        </w:tc>
        <w:tc>
          <w:tcPr>
            <w:tcW w:w="1329" w:type="dxa"/>
            <w:tcBorders>
              <w:left w:val="nil"/>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w:t>
            </w:r>
          </w:p>
        </w:tc>
        <w:tc>
          <w:tcPr>
            <w:tcW w:w="1780" w:type="dxa"/>
            <w:tcBorders>
              <w:left w:val="nil"/>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24,1 %</w:t>
            </w:r>
          </w:p>
        </w:tc>
        <w:tc>
          <w:tcPr>
            <w:tcW w:w="1758" w:type="dxa"/>
            <w:tcBorders>
              <w:left w:val="nil"/>
              <w:right w:val="single" w:sz="4" w:space="0" w:color="auto"/>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18,4 %</w:t>
            </w:r>
          </w:p>
        </w:tc>
      </w:tr>
      <w:tr w:rsidR="00CF07A2" w:rsidRPr="0037509D" w:rsidTr="00CF07A2">
        <w:trPr>
          <w:trHeight w:val="574"/>
        </w:trPr>
        <w:tc>
          <w:tcPr>
            <w:tcW w:w="4598" w:type="dxa"/>
            <w:tcBorders>
              <w:left w:val="single" w:sz="4" w:space="0" w:color="auto"/>
              <w:bottom w:val="nil"/>
              <w:right w:val="nil"/>
            </w:tcBorders>
            <w:shd w:val="clear" w:color="000000" w:fill="DBE5F1"/>
            <w:hideMark/>
          </w:tcPr>
          <w:p w:rsidR="00CF07A2" w:rsidRPr="0037509D" w:rsidRDefault="00CF07A2" w:rsidP="00CF07A2">
            <w:pPr>
              <w:spacing w:after="0" w:line="240" w:lineRule="auto"/>
              <w:rPr>
                <w:rFonts w:ascii="Calibri" w:eastAsia="Times New Roman" w:hAnsi="Calibri" w:cs="Times New Roman"/>
                <w:lang w:val="fr-CA"/>
              </w:rPr>
            </w:pPr>
            <w:r w:rsidRPr="0037509D">
              <w:rPr>
                <w:rFonts w:ascii="Calibri" w:eastAsia="Times New Roman" w:hAnsi="Calibri" w:cs="Times New Roman"/>
                <w:lang w:val="fr-CA"/>
              </w:rPr>
              <w:t>Nombre moyen de pages traitées par demande complétée</w:t>
            </w:r>
          </w:p>
        </w:tc>
        <w:tc>
          <w:tcPr>
            <w:tcW w:w="1329" w:type="dxa"/>
            <w:tcBorders>
              <w:left w:val="nil"/>
              <w:bottom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433</w:t>
            </w:r>
          </w:p>
        </w:tc>
        <w:tc>
          <w:tcPr>
            <w:tcW w:w="1780" w:type="dxa"/>
            <w:tcBorders>
              <w:left w:val="nil"/>
              <w:bottom w:val="nil"/>
              <w:right w:val="nil"/>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638</w:t>
            </w:r>
          </w:p>
        </w:tc>
        <w:tc>
          <w:tcPr>
            <w:tcW w:w="1758" w:type="dxa"/>
            <w:tcBorders>
              <w:left w:val="nil"/>
              <w:bottom w:val="nil"/>
              <w:right w:val="single" w:sz="4" w:space="0" w:color="auto"/>
            </w:tcBorders>
            <w:shd w:val="clear" w:color="000000" w:fill="DBE5F1"/>
            <w:noWrap/>
            <w:vAlign w:val="center"/>
            <w:hideMark/>
          </w:tcPr>
          <w:p w:rsidR="00CF07A2" w:rsidRPr="0037509D" w:rsidRDefault="00CF07A2" w:rsidP="00CF07A2">
            <w:pPr>
              <w:spacing w:after="0" w:line="240" w:lineRule="auto"/>
              <w:jc w:val="center"/>
              <w:rPr>
                <w:rFonts w:ascii="Calibri" w:eastAsia="Times New Roman" w:hAnsi="Calibri" w:cs="Times New Roman"/>
                <w:b/>
                <w:bCs/>
                <w:lang w:val="fr-CA"/>
              </w:rPr>
            </w:pPr>
            <w:r w:rsidRPr="0037509D">
              <w:rPr>
                <w:rFonts w:ascii="Calibri" w:eastAsia="Times New Roman" w:hAnsi="Calibri" w:cs="Times New Roman"/>
                <w:b/>
                <w:bCs/>
                <w:lang w:val="fr-CA"/>
              </w:rPr>
              <w:t>526</w:t>
            </w:r>
          </w:p>
        </w:tc>
      </w:tr>
      <w:tr w:rsidR="00CF07A2" w:rsidRPr="0037509D" w:rsidTr="00CF07A2">
        <w:trPr>
          <w:trHeight w:val="450"/>
        </w:trPr>
        <w:tc>
          <w:tcPr>
            <w:tcW w:w="4598" w:type="dxa"/>
            <w:tcBorders>
              <w:top w:val="nil"/>
              <w:left w:val="single" w:sz="4" w:space="0" w:color="auto"/>
              <w:bottom w:val="single" w:sz="4" w:space="0" w:color="auto"/>
              <w:right w:val="nil"/>
            </w:tcBorders>
            <w:shd w:val="clear" w:color="auto" w:fill="auto"/>
            <w:hideMark/>
          </w:tcPr>
          <w:p w:rsidR="00CF07A2" w:rsidRPr="0037509D" w:rsidRDefault="00CF07A2" w:rsidP="00CF07A2">
            <w:pPr>
              <w:spacing w:after="0" w:line="240" w:lineRule="auto"/>
              <w:rPr>
                <w:rFonts w:ascii="Calibri" w:eastAsia="Times New Roman" w:hAnsi="Calibri" w:cs="Times New Roman"/>
                <w:lang w:val="fr-CA"/>
              </w:rPr>
            </w:pPr>
            <w:r w:rsidRPr="0037509D">
              <w:rPr>
                <w:rFonts w:ascii="Calibri" w:eastAsia="Times New Roman" w:hAnsi="Calibri" w:cs="Times New Roman"/>
                <w:lang w:val="fr-CA"/>
              </w:rPr>
              <w:t>% des demandes pour lesquelles plus de 1 000 pages ont été traitées</w:t>
            </w:r>
          </w:p>
        </w:tc>
        <w:tc>
          <w:tcPr>
            <w:tcW w:w="1329" w:type="dxa"/>
            <w:tcBorders>
              <w:top w:val="nil"/>
              <w:left w:val="nil"/>
              <w:bottom w:val="single" w:sz="4" w:space="0" w:color="auto"/>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6,9 %</w:t>
            </w:r>
          </w:p>
        </w:tc>
        <w:tc>
          <w:tcPr>
            <w:tcW w:w="1780" w:type="dxa"/>
            <w:tcBorders>
              <w:top w:val="nil"/>
              <w:left w:val="nil"/>
              <w:bottom w:val="single" w:sz="4" w:space="0" w:color="auto"/>
              <w:right w:val="nil"/>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10,3 %</w:t>
            </w:r>
          </w:p>
        </w:tc>
        <w:tc>
          <w:tcPr>
            <w:tcW w:w="1758" w:type="dxa"/>
            <w:tcBorders>
              <w:top w:val="nil"/>
              <w:left w:val="nil"/>
              <w:bottom w:val="single" w:sz="4" w:space="0" w:color="auto"/>
              <w:right w:val="single" w:sz="4" w:space="0" w:color="auto"/>
            </w:tcBorders>
            <w:shd w:val="clear" w:color="auto" w:fill="auto"/>
            <w:noWrap/>
            <w:vAlign w:val="center"/>
            <w:hideMark/>
          </w:tcPr>
          <w:p w:rsidR="00CF07A2" w:rsidRPr="0037509D" w:rsidRDefault="00CF07A2" w:rsidP="00CF07A2">
            <w:pPr>
              <w:spacing w:after="0" w:line="240" w:lineRule="auto"/>
              <w:jc w:val="center"/>
              <w:rPr>
                <w:rFonts w:ascii="Calibri" w:eastAsia="Times New Roman" w:hAnsi="Calibri" w:cs="Times New Roman"/>
                <w:lang w:val="fr-CA"/>
              </w:rPr>
            </w:pPr>
            <w:r w:rsidRPr="0037509D">
              <w:rPr>
                <w:rFonts w:ascii="Calibri" w:eastAsia="Times New Roman" w:hAnsi="Calibri" w:cs="Times New Roman"/>
                <w:lang w:val="fr-CA"/>
              </w:rPr>
              <w:t>11,0 %</w:t>
            </w:r>
          </w:p>
        </w:tc>
      </w:tr>
    </w:tbl>
    <w:p w:rsidR="00CF07A2" w:rsidRPr="00F358E9" w:rsidRDefault="00CF07A2" w:rsidP="00CF07A2">
      <w:pPr>
        <w:pStyle w:val="Heading2"/>
        <w:spacing w:before="240"/>
      </w:pPr>
      <w:r w:rsidRPr="00F358E9">
        <w:t>D</w:t>
      </w:r>
      <w:r>
        <w:t>élai de traitement des demandes</w:t>
      </w:r>
    </w:p>
    <w:p w:rsidR="00CF07A2" w:rsidRPr="00F358E9" w:rsidRDefault="00CF07A2" w:rsidP="00CF07A2">
      <w:pPr>
        <w:pStyle w:val="Heading4"/>
      </w:pPr>
      <w:r w:rsidRPr="00F358E9">
        <w:t>Rapidité</w:t>
      </w:r>
    </w:p>
    <w:p w:rsidR="00CF07A2" w:rsidRPr="0037509D" w:rsidRDefault="00CF07A2" w:rsidP="00CF07A2">
      <w:pPr>
        <w:jc w:val="both"/>
        <w:rPr>
          <w:lang w:val="fr-CA"/>
        </w:rPr>
      </w:pPr>
      <w:r w:rsidRPr="0037509D">
        <w:rPr>
          <w:lang w:val="fr-CA"/>
        </w:rPr>
        <w:t>La figure 1 révèle que 52,8 % des demandes ont été complétées en 30 jours ou moins, un résultat supérieur à celui observé en 2013</w:t>
      </w:r>
      <w:r w:rsidRPr="0037509D">
        <w:rPr>
          <w:lang w:val="fr-CA"/>
        </w:rPr>
        <w:noBreakHyphen/>
        <w:t>2014 (48,1 %). Cette augmentation correspond à une diminution du nombre de demandes complétées entre 31 et 60 jours et entre 61 et 120 jours.</w:t>
      </w:r>
    </w:p>
    <w:p w:rsidR="00CF07A2" w:rsidRPr="00F358E9" w:rsidRDefault="00CF07A2" w:rsidP="00CF07A2">
      <w:pPr>
        <w:rPr>
          <w:lang w:val="fr-FR"/>
        </w:rPr>
      </w:pPr>
      <w:r w:rsidRPr="00CF07A2">
        <w:rPr>
          <w:rStyle w:val="Heading3Char"/>
          <w:lang w:val="fr-FR"/>
        </w:rPr>
        <w:t>Figure 1 : Délai de traitement des demandes</w:t>
      </w:r>
      <w:r w:rsidRPr="0037509D">
        <w:rPr>
          <w:noProof/>
          <w:color w:val="FF0000"/>
          <w:sz w:val="24"/>
          <w:szCs w:val="24"/>
        </w:rPr>
        <w:drawing>
          <wp:inline distT="0" distB="0" distL="0" distR="0">
            <wp:extent cx="5947576" cy="3784821"/>
            <wp:effectExtent l="0" t="0" r="15240" b="2540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07A2" w:rsidRPr="00F358E9" w:rsidRDefault="00CF07A2" w:rsidP="00CF07A2">
      <w:pPr>
        <w:pStyle w:val="Heading4"/>
      </w:pPr>
      <w:r w:rsidRPr="00F358E9">
        <w:t>Prorogations</w:t>
      </w:r>
    </w:p>
    <w:p w:rsidR="00CF07A2" w:rsidRPr="003340E4" w:rsidRDefault="00CF07A2" w:rsidP="00CF07A2">
      <w:pPr>
        <w:jc w:val="both"/>
        <w:rPr>
          <w:lang w:val="fr-CA"/>
        </w:rPr>
      </w:pPr>
      <w:r w:rsidRPr="003340E4">
        <w:rPr>
          <w:lang w:val="fr-CA"/>
        </w:rPr>
        <w:t>L’ARC a eu recours à 1 104 prorogations en 2014</w:t>
      </w:r>
      <w:r w:rsidRPr="003340E4">
        <w:rPr>
          <w:lang w:val="fr-CA"/>
        </w:rPr>
        <w:noBreakHyphen/>
        <w:t>2015 par rapport à 1 229 en 2013</w:t>
      </w:r>
      <w:r w:rsidRPr="003340E4">
        <w:rPr>
          <w:lang w:val="fr-CA"/>
        </w:rPr>
        <w:noBreakHyphen/>
        <w:t xml:space="preserve">2014. L’entrave au fonctionnement de l’institution (96,5 %) était la raison la plus fréquemment invoquée pour demander </w:t>
      </w:r>
      <w:r w:rsidRPr="003340E4">
        <w:rPr>
          <w:lang w:val="fr-CA"/>
        </w:rPr>
        <w:lastRenderedPageBreak/>
        <w:t>une prorogation, suivie des demandes de consultation (3,1 %) et le reste étaient attribuables à un avis à des tiers.</w:t>
      </w:r>
    </w:p>
    <w:p w:rsidR="00CF07A2" w:rsidRPr="0037509D" w:rsidRDefault="00CF07A2" w:rsidP="00CF07A2">
      <w:pPr>
        <w:jc w:val="both"/>
        <w:rPr>
          <w:lang w:val="fr-CA"/>
        </w:rPr>
      </w:pPr>
      <w:r w:rsidRPr="0037509D">
        <w:rPr>
          <w:lang w:val="fr-CA"/>
        </w:rPr>
        <w:t>La figure 2 montre que 50,1 % des prorogations étaient de 30 jours ou moins, un résultat supérieur de 10,3 % par rapport à celui de la période précédente. La figure 2 montre également que la part des prorogations de 31 à 60 jours a diminué de 34,7 % en 2013-2014 à 26,9 % en 2014-2015.</w:t>
      </w:r>
    </w:p>
    <w:p w:rsidR="00CF07A2" w:rsidRPr="0037509D" w:rsidRDefault="00CF07A2" w:rsidP="00CF07A2">
      <w:pPr>
        <w:rPr>
          <w:lang w:val="fr-CA"/>
        </w:rPr>
      </w:pPr>
      <w:r w:rsidRPr="00CF07A2">
        <w:rPr>
          <w:rStyle w:val="Heading3Char"/>
          <w:lang w:val="fr-FR"/>
        </w:rPr>
        <w:t>Figure 2 : Durée des prorogations</w:t>
      </w:r>
      <w:r w:rsidRPr="0037509D">
        <w:rPr>
          <w:noProof/>
        </w:rPr>
        <w:drawing>
          <wp:inline distT="0" distB="0" distL="0" distR="0">
            <wp:extent cx="5947576" cy="3601941"/>
            <wp:effectExtent l="0" t="0" r="15240" b="1778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07A2" w:rsidRPr="00F358E9" w:rsidRDefault="00CF07A2" w:rsidP="00CF07A2">
      <w:pPr>
        <w:pStyle w:val="Heading4"/>
      </w:pPr>
      <w:r>
        <w:t>Présomptions de refus</w:t>
      </w:r>
    </w:p>
    <w:p w:rsidR="00CF07A2" w:rsidRPr="003340E4" w:rsidRDefault="00CF07A2" w:rsidP="00CF07A2">
      <w:pPr>
        <w:jc w:val="both"/>
        <w:rPr>
          <w:lang w:val="fr-CA"/>
        </w:rPr>
      </w:pPr>
      <w:r w:rsidRPr="003340E4">
        <w:rPr>
          <w:lang w:val="fr-CA"/>
        </w:rPr>
        <w:t>En 2014</w:t>
      </w:r>
      <w:r w:rsidRPr="003340E4">
        <w:rPr>
          <w:lang w:val="fr-CA"/>
        </w:rPr>
        <w:noBreakHyphen/>
        <w:t>2015, 348 demandes ont été fermées après l’échéancier réglementaire, ce qui représente 13,0 % des demandes complétées, soit une augmentation de 1,0 % par rapport à 2013</w:t>
      </w:r>
      <w:r w:rsidRPr="003340E4">
        <w:rPr>
          <w:lang w:val="fr-CA"/>
        </w:rPr>
        <w:noBreakHyphen/>
        <w:t>2014. Ce résultat procure à l’ARC la note de « C »</w:t>
      </w:r>
      <w:r w:rsidRPr="003340E4">
        <w:rPr>
          <w:rStyle w:val="FootnoteReference"/>
          <w:lang w:val="fr-CA"/>
        </w:rPr>
        <w:footnoteReference w:id="18"/>
      </w:r>
      <w:r w:rsidRPr="003340E4">
        <w:rPr>
          <w:lang w:val="fr-CA"/>
        </w:rPr>
        <w:t>. Dans son rapport annuel sur l’application de la Loi, l’ARC attribue ce nombre élevé de présomptions de refus à un grand nombre de demandes jugées complexes. La charge de travail (62,6 %) était la principale raison invoquée pour ne pas respecter l’échéancier réglementaire. La figure 3 montre que 44,0 % des demandes échues étaient en retard de 30 jours ou moins, ce qui représente une amélioration par rapport aux 40,0 % de demandes échues en 2013</w:t>
      </w:r>
      <w:r w:rsidRPr="003340E4">
        <w:rPr>
          <w:lang w:val="fr-CA"/>
        </w:rPr>
        <w:noBreakHyphen/>
        <w:t>2014.</w:t>
      </w:r>
    </w:p>
    <w:p w:rsidR="00CF07A2" w:rsidRPr="0037509D" w:rsidRDefault="00CF07A2" w:rsidP="00CF07A2">
      <w:pPr>
        <w:rPr>
          <w:lang w:val="fr-CA"/>
        </w:rPr>
      </w:pPr>
      <w:r w:rsidRPr="00CF07A2">
        <w:rPr>
          <w:rStyle w:val="Heading3Char"/>
          <w:lang w:val="fr-FR"/>
        </w:rPr>
        <w:lastRenderedPageBreak/>
        <w:t>Figure 3 : Retard des demandes échues</w:t>
      </w:r>
      <w:r w:rsidRPr="0037509D">
        <w:rPr>
          <w:noProof/>
        </w:rPr>
        <w:drawing>
          <wp:inline distT="0" distB="0" distL="0" distR="0">
            <wp:extent cx="5939624" cy="3848432"/>
            <wp:effectExtent l="0" t="0" r="23495" b="1905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07A2" w:rsidRPr="00F358E9" w:rsidRDefault="00CF07A2" w:rsidP="00CF07A2">
      <w:pPr>
        <w:pStyle w:val="Heading2"/>
      </w:pPr>
      <w:r w:rsidRPr="00F358E9">
        <w:t>Divulgation</w:t>
      </w:r>
    </w:p>
    <w:p w:rsidR="00CF07A2" w:rsidRPr="00F358E9" w:rsidRDefault="00CF07A2" w:rsidP="00CF07A2">
      <w:pPr>
        <w:pStyle w:val="Heading4"/>
      </w:pPr>
      <w:r w:rsidRPr="00F358E9">
        <w:t>Pourcentage de demandes pour lesquelle</w:t>
      </w:r>
      <w:r>
        <w:t>s l’information a été divulguée</w:t>
      </w:r>
    </w:p>
    <w:p w:rsidR="00CF07A2" w:rsidRPr="0037509D" w:rsidRDefault="00CF07A2" w:rsidP="00CF07A2">
      <w:pPr>
        <w:jc w:val="both"/>
        <w:rPr>
          <w:lang w:val="fr-CA"/>
        </w:rPr>
      </w:pPr>
      <w:r>
        <w:rPr>
          <w:lang w:val="fr-CA"/>
        </w:rPr>
        <w:t>En 2014-</w:t>
      </w:r>
      <w:r w:rsidRPr="0037509D">
        <w:rPr>
          <w:lang w:val="fr-CA"/>
        </w:rPr>
        <w:t>2015, 20,8 %</w:t>
      </w:r>
      <w:r>
        <w:rPr>
          <w:lang w:val="fr-CA"/>
        </w:rPr>
        <w:t xml:space="preserve"> (2 668)</w:t>
      </w:r>
      <w:r w:rsidRPr="0037509D">
        <w:rPr>
          <w:lang w:val="fr-CA"/>
        </w:rPr>
        <w:t xml:space="preserve"> des demandes complétées ont fait l’objet d’une divulgation complète, ce qui représente le taux de divulgation le plus élevé depuis 2012 (voir figure 4). La figure 4 montre que le taux de demandes faisant l’objet d’une divulgation pa</w:t>
      </w:r>
      <w:r>
        <w:rPr>
          <w:lang w:val="fr-CA"/>
        </w:rPr>
        <w:t>rtielle était de 51,2 % en 2014-</w:t>
      </w:r>
      <w:r w:rsidRPr="0037509D">
        <w:rPr>
          <w:lang w:val="fr-CA"/>
        </w:rPr>
        <w:t>2015.</w:t>
      </w:r>
    </w:p>
    <w:p w:rsidR="00CF07A2" w:rsidRPr="0037509D" w:rsidRDefault="00CF07A2" w:rsidP="00CF07A2">
      <w:pPr>
        <w:spacing w:line="240" w:lineRule="auto"/>
        <w:rPr>
          <w:lang w:val="fr-CA"/>
        </w:rPr>
      </w:pPr>
      <w:r w:rsidRPr="00957E09">
        <w:rPr>
          <w:rStyle w:val="Heading3Char"/>
          <w:lang w:val="fr-FR"/>
        </w:rPr>
        <w:lastRenderedPageBreak/>
        <w:t>Figure 4 : Niveau de divulgation</w:t>
      </w:r>
      <w:r w:rsidRPr="0037509D">
        <w:rPr>
          <w:noProof/>
        </w:rPr>
        <w:drawing>
          <wp:inline distT="0" distB="0" distL="0" distR="0">
            <wp:extent cx="5947576" cy="3729162"/>
            <wp:effectExtent l="0" t="0" r="15240" b="2413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07A2" w:rsidRPr="00F358E9" w:rsidRDefault="00CF07A2" w:rsidP="00CF07A2">
      <w:pPr>
        <w:pStyle w:val="Heading4"/>
      </w:pPr>
      <w:r>
        <w:t>Exceptions</w:t>
      </w:r>
    </w:p>
    <w:p w:rsidR="00CF07A2" w:rsidRPr="003340E4" w:rsidRDefault="00CF07A2" w:rsidP="00CF07A2">
      <w:pPr>
        <w:jc w:val="both"/>
        <w:rPr>
          <w:lang w:val="fr-CA"/>
        </w:rPr>
      </w:pPr>
      <w:r w:rsidRPr="003340E4">
        <w:rPr>
          <w:lang w:val="fr-CA"/>
        </w:rPr>
        <w:t>Le nombre moyen d’exceptions par demande complétée a était similaire à celui de l’année précédente (voir tableau 2). Les exceptions les plus fréquemment invoquées en 2014</w:t>
      </w:r>
      <w:r w:rsidRPr="003340E4">
        <w:rPr>
          <w:lang w:val="fr-CA"/>
        </w:rPr>
        <w:noBreakHyphen/>
        <w:t>2015 étaient l’article 24 (les interdictions fondées sur d’autres lois) (32,0 %), l’article 19 (les renseignements personnels) (24,2 %) et l’article 16 (l’application de la loi et les enquêtes) (24,9 %).</w:t>
      </w:r>
    </w:p>
    <w:p w:rsidR="00CF07A2" w:rsidRPr="0037509D" w:rsidRDefault="00CF07A2" w:rsidP="00BA2BE8">
      <w:pPr>
        <w:pStyle w:val="Heading3"/>
      </w:pPr>
      <w:r w:rsidRPr="0037509D">
        <w:t xml:space="preserve">Tableau </w:t>
      </w:r>
      <w:proofErr w:type="gramStart"/>
      <w:r w:rsidRPr="0037509D">
        <w:t>2 :</w:t>
      </w:r>
      <w:proofErr w:type="gramEnd"/>
      <w:r w:rsidRPr="0037509D">
        <w:t xml:space="preserve"> Exceptions</w:t>
      </w:r>
    </w:p>
    <w:tbl>
      <w:tblPr>
        <w:tblW w:w="9485" w:type="dxa"/>
        <w:tblInd w:w="103" w:type="dxa"/>
        <w:tblLook w:val="04A0"/>
      </w:tblPr>
      <w:tblGrid>
        <w:gridCol w:w="4450"/>
        <w:gridCol w:w="1555"/>
        <w:gridCol w:w="1751"/>
        <w:gridCol w:w="1729"/>
      </w:tblGrid>
      <w:tr w:rsidR="00CF07A2" w:rsidRPr="0037509D" w:rsidTr="00CF07A2">
        <w:trPr>
          <w:trHeight w:val="271"/>
        </w:trPr>
        <w:tc>
          <w:tcPr>
            <w:tcW w:w="4450" w:type="dxa"/>
            <w:tcBorders>
              <w:top w:val="single" w:sz="4" w:space="0" w:color="auto"/>
              <w:left w:val="single" w:sz="4" w:space="0" w:color="auto"/>
              <w:bottom w:val="single" w:sz="4" w:space="0" w:color="auto"/>
              <w:right w:val="nil"/>
            </w:tcBorders>
            <w:shd w:val="clear" w:color="000000" w:fill="DBE5F1"/>
            <w:noWrap/>
            <w:vAlign w:val="bottom"/>
            <w:hideMark/>
          </w:tcPr>
          <w:p w:rsidR="00CF07A2" w:rsidRPr="0037509D" w:rsidRDefault="00CF07A2" w:rsidP="00CF07A2">
            <w:pPr>
              <w:spacing w:after="0" w:line="240" w:lineRule="auto"/>
              <w:rPr>
                <w:rFonts w:ascii="Calibri" w:eastAsia="Times New Roman" w:hAnsi="Calibri" w:cs="Times New Roman"/>
                <w:color w:val="000000"/>
                <w:lang w:val="fr-CA"/>
              </w:rPr>
            </w:pPr>
            <w:r w:rsidRPr="0037509D">
              <w:rPr>
                <w:rFonts w:ascii="Calibri" w:eastAsia="Times New Roman" w:hAnsi="Calibri" w:cs="Times New Roman"/>
                <w:color w:val="000000"/>
                <w:lang w:val="fr-CA"/>
              </w:rPr>
              <w:t xml:space="preserve">Exceptions </w:t>
            </w:r>
          </w:p>
        </w:tc>
        <w:tc>
          <w:tcPr>
            <w:tcW w:w="1555" w:type="dxa"/>
            <w:tcBorders>
              <w:top w:val="single" w:sz="4" w:space="0" w:color="auto"/>
              <w:left w:val="nil"/>
              <w:bottom w:val="single" w:sz="4" w:space="0" w:color="auto"/>
              <w:right w:val="nil"/>
            </w:tcBorders>
            <w:shd w:val="clear" w:color="000000" w:fill="DBE5F1"/>
            <w:noWrap/>
            <w:vAlign w:val="bottom"/>
            <w:hideMark/>
          </w:tcPr>
          <w:p w:rsidR="00CF07A2" w:rsidRPr="0037509D" w:rsidRDefault="00CF07A2" w:rsidP="00CF07A2">
            <w:pPr>
              <w:spacing w:after="0" w:line="240" w:lineRule="auto"/>
              <w:jc w:val="center"/>
              <w:rPr>
                <w:rFonts w:ascii="Calibri" w:eastAsia="Times New Roman" w:hAnsi="Calibri" w:cs="Times New Roman"/>
                <w:b/>
                <w:bCs/>
                <w:color w:val="000000"/>
                <w:lang w:val="fr-CA"/>
              </w:rPr>
            </w:pPr>
            <w:r w:rsidRPr="0037509D">
              <w:rPr>
                <w:rFonts w:ascii="Calibri" w:eastAsia="Times New Roman" w:hAnsi="Calibri" w:cs="Times New Roman"/>
                <w:b/>
                <w:bCs/>
                <w:color w:val="000000"/>
                <w:lang w:val="fr-CA"/>
              </w:rPr>
              <w:t>2012-2013</w:t>
            </w:r>
          </w:p>
        </w:tc>
        <w:tc>
          <w:tcPr>
            <w:tcW w:w="1751" w:type="dxa"/>
            <w:tcBorders>
              <w:top w:val="single" w:sz="4" w:space="0" w:color="auto"/>
              <w:left w:val="nil"/>
              <w:bottom w:val="single" w:sz="4" w:space="0" w:color="auto"/>
              <w:right w:val="nil"/>
            </w:tcBorders>
            <w:shd w:val="clear" w:color="000000" w:fill="DBE5F1"/>
            <w:noWrap/>
            <w:vAlign w:val="bottom"/>
            <w:hideMark/>
          </w:tcPr>
          <w:p w:rsidR="00CF07A2" w:rsidRPr="0037509D" w:rsidRDefault="00CF07A2" w:rsidP="00CF07A2">
            <w:pPr>
              <w:spacing w:after="0" w:line="240" w:lineRule="auto"/>
              <w:jc w:val="center"/>
              <w:rPr>
                <w:rFonts w:ascii="Calibri" w:eastAsia="Times New Roman" w:hAnsi="Calibri" w:cs="Times New Roman"/>
                <w:b/>
                <w:bCs/>
                <w:color w:val="000000"/>
                <w:lang w:val="fr-CA"/>
              </w:rPr>
            </w:pPr>
            <w:r w:rsidRPr="0037509D">
              <w:rPr>
                <w:rFonts w:ascii="Calibri" w:eastAsia="Times New Roman" w:hAnsi="Calibri" w:cs="Times New Roman"/>
                <w:b/>
                <w:bCs/>
                <w:color w:val="000000"/>
                <w:lang w:val="fr-CA"/>
              </w:rPr>
              <w:t>2013-2014</w:t>
            </w:r>
          </w:p>
        </w:tc>
        <w:tc>
          <w:tcPr>
            <w:tcW w:w="1729" w:type="dxa"/>
            <w:tcBorders>
              <w:top w:val="single" w:sz="4" w:space="0" w:color="auto"/>
              <w:left w:val="nil"/>
              <w:bottom w:val="single" w:sz="4" w:space="0" w:color="auto"/>
              <w:right w:val="single" w:sz="4" w:space="0" w:color="auto"/>
            </w:tcBorders>
            <w:shd w:val="clear" w:color="000000" w:fill="DBE5F1"/>
            <w:noWrap/>
            <w:vAlign w:val="bottom"/>
            <w:hideMark/>
          </w:tcPr>
          <w:p w:rsidR="00CF07A2" w:rsidRPr="0037509D" w:rsidRDefault="00CF07A2" w:rsidP="00CF07A2">
            <w:pPr>
              <w:spacing w:after="0" w:line="240" w:lineRule="auto"/>
              <w:jc w:val="center"/>
              <w:rPr>
                <w:rFonts w:ascii="Calibri" w:eastAsia="Times New Roman" w:hAnsi="Calibri" w:cs="Times New Roman"/>
                <w:b/>
                <w:bCs/>
                <w:color w:val="000000"/>
                <w:lang w:val="fr-CA"/>
              </w:rPr>
            </w:pPr>
            <w:r w:rsidRPr="0037509D">
              <w:rPr>
                <w:rFonts w:ascii="Calibri" w:eastAsia="Times New Roman" w:hAnsi="Calibri" w:cs="Times New Roman"/>
                <w:b/>
                <w:bCs/>
                <w:color w:val="000000"/>
                <w:lang w:val="fr-CA"/>
              </w:rPr>
              <w:t>2014-2015</w:t>
            </w:r>
          </w:p>
        </w:tc>
      </w:tr>
      <w:tr w:rsidR="00CF07A2" w:rsidRPr="0037509D" w:rsidTr="00CF07A2">
        <w:trPr>
          <w:trHeight w:val="271"/>
        </w:trPr>
        <w:tc>
          <w:tcPr>
            <w:tcW w:w="4450" w:type="dxa"/>
            <w:tcBorders>
              <w:top w:val="nil"/>
              <w:left w:val="single" w:sz="4" w:space="0" w:color="auto"/>
              <w:bottom w:val="nil"/>
              <w:right w:val="nil"/>
            </w:tcBorders>
            <w:shd w:val="clear" w:color="auto" w:fill="auto"/>
            <w:noWrap/>
            <w:vAlign w:val="bottom"/>
            <w:hideMark/>
          </w:tcPr>
          <w:p w:rsidR="00CF07A2" w:rsidRPr="0037509D" w:rsidRDefault="00CF07A2" w:rsidP="00CF07A2">
            <w:pPr>
              <w:spacing w:after="0" w:line="240" w:lineRule="auto"/>
              <w:rPr>
                <w:rFonts w:ascii="Calibri" w:eastAsia="Times New Roman" w:hAnsi="Calibri" w:cs="Times New Roman"/>
                <w:color w:val="000000"/>
                <w:lang w:val="fr-CA"/>
              </w:rPr>
            </w:pPr>
            <w:r w:rsidRPr="0037509D">
              <w:rPr>
                <w:rFonts w:ascii="Calibri" w:eastAsia="Times New Roman" w:hAnsi="Calibri" w:cs="Times New Roman"/>
                <w:color w:val="000000"/>
                <w:lang w:val="fr-CA"/>
              </w:rPr>
              <w:t>Nombre total d’exceptions</w:t>
            </w:r>
          </w:p>
        </w:tc>
        <w:tc>
          <w:tcPr>
            <w:tcW w:w="1555" w:type="dxa"/>
            <w:tcBorders>
              <w:top w:val="nil"/>
              <w:left w:val="nil"/>
              <w:bottom w:val="nil"/>
              <w:right w:val="nil"/>
            </w:tcBorders>
            <w:shd w:val="clear" w:color="auto" w:fill="auto"/>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4 595</w:t>
            </w:r>
          </w:p>
        </w:tc>
        <w:tc>
          <w:tcPr>
            <w:tcW w:w="1751" w:type="dxa"/>
            <w:tcBorders>
              <w:top w:val="nil"/>
              <w:left w:val="nil"/>
              <w:bottom w:val="nil"/>
              <w:right w:val="nil"/>
            </w:tcBorders>
            <w:shd w:val="clear" w:color="auto" w:fill="auto"/>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3 921</w:t>
            </w:r>
          </w:p>
        </w:tc>
        <w:tc>
          <w:tcPr>
            <w:tcW w:w="1729" w:type="dxa"/>
            <w:tcBorders>
              <w:top w:val="nil"/>
              <w:left w:val="nil"/>
              <w:bottom w:val="nil"/>
              <w:right w:val="single" w:sz="4" w:space="0" w:color="auto"/>
            </w:tcBorders>
            <w:shd w:val="clear" w:color="auto" w:fill="auto"/>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3 599</w:t>
            </w:r>
          </w:p>
        </w:tc>
      </w:tr>
      <w:tr w:rsidR="00CF07A2" w:rsidRPr="0037509D" w:rsidTr="00CF07A2">
        <w:trPr>
          <w:trHeight w:val="271"/>
        </w:trPr>
        <w:tc>
          <w:tcPr>
            <w:tcW w:w="4450" w:type="dxa"/>
            <w:tcBorders>
              <w:top w:val="nil"/>
              <w:left w:val="single" w:sz="4" w:space="0" w:color="auto"/>
              <w:bottom w:val="nil"/>
              <w:right w:val="nil"/>
            </w:tcBorders>
            <w:shd w:val="clear" w:color="auto" w:fill="DBE5F1" w:themeFill="accent1" w:themeFillTint="33"/>
            <w:noWrap/>
            <w:vAlign w:val="bottom"/>
            <w:hideMark/>
          </w:tcPr>
          <w:p w:rsidR="00CF07A2" w:rsidRPr="0037509D" w:rsidRDefault="00CF07A2" w:rsidP="00CF07A2">
            <w:pPr>
              <w:spacing w:after="0" w:line="240" w:lineRule="auto"/>
              <w:rPr>
                <w:rFonts w:ascii="Calibri" w:eastAsia="Times New Roman" w:hAnsi="Calibri" w:cs="Times New Roman"/>
                <w:color w:val="000000"/>
                <w:lang w:val="fr-CA"/>
              </w:rPr>
            </w:pPr>
            <w:r w:rsidRPr="0037509D">
              <w:rPr>
                <w:rFonts w:ascii="Calibri" w:eastAsia="Times New Roman" w:hAnsi="Calibri" w:cs="Times New Roman"/>
                <w:color w:val="000000"/>
                <w:lang w:val="fr-CA"/>
              </w:rPr>
              <w:t>Nombre total de demandes complétées</w:t>
            </w:r>
          </w:p>
        </w:tc>
        <w:tc>
          <w:tcPr>
            <w:tcW w:w="1555" w:type="dxa"/>
            <w:tcBorders>
              <w:top w:val="nil"/>
              <w:left w:val="nil"/>
              <w:bottom w:val="nil"/>
              <w:right w:val="nil"/>
            </w:tcBorders>
            <w:shd w:val="clear" w:color="auto" w:fill="DBE5F1" w:themeFill="accent1" w:themeFillTint="33"/>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3 083</w:t>
            </w:r>
          </w:p>
        </w:tc>
        <w:tc>
          <w:tcPr>
            <w:tcW w:w="1751" w:type="dxa"/>
            <w:tcBorders>
              <w:top w:val="nil"/>
              <w:left w:val="nil"/>
              <w:bottom w:val="nil"/>
              <w:right w:val="nil"/>
            </w:tcBorders>
            <w:shd w:val="clear" w:color="auto" w:fill="DBE5F1" w:themeFill="accent1" w:themeFillTint="33"/>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2 795</w:t>
            </w:r>
          </w:p>
        </w:tc>
        <w:tc>
          <w:tcPr>
            <w:tcW w:w="1729" w:type="dxa"/>
            <w:tcBorders>
              <w:top w:val="nil"/>
              <w:left w:val="nil"/>
              <w:bottom w:val="nil"/>
              <w:right w:val="single" w:sz="4" w:space="0" w:color="auto"/>
            </w:tcBorders>
            <w:shd w:val="clear" w:color="auto" w:fill="DBE5F1" w:themeFill="accent1" w:themeFillTint="33"/>
            <w:noWrap/>
            <w:vAlign w:val="bottom"/>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2 668</w:t>
            </w:r>
          </w:p>
        </w:tc>
      </w:tr>
      <w:tr w:rsidR="00CF07A2" w:rsidRPr="0037509D" w:rsidTr="00CF07A2">
        <w:trPr>
          <w:trHeight w:val="271"/>
        </w:trPr>
        <w:tc>
          <w:tcPr>
            <w:tcW w:w="4450" w:type="dxa"/>
            <w:tcBorders>
              <w:top w:val="nil"/>
              <w:left w:val="single" w:sz="4" w:space="0" w:color="auto"/>
              <w:bottom w:val="single" w:sz="4" w:space="0" w:color="auto"/>
              <w:right w:val="nil"/>
            </w:tcBorders>
            <w:shd w:val="clear" w:color="auto" w:fill="FFFFFF" w:themeFill="background1"/>
            <w:noWrap/>
            <w:vAlign w:val="bottom"/>
            <w:hideMark/>
          </w:tcPr>
          <w:p w:rsidR="00CF07A2" w:rsidRPr="0037509D" w:rsidRDefault="00CF07A2" w:rsidP="00CF07A2">
            <w:pPr>
              <w:spacing w:after="0" w:line="240" w:lineRule="auto"/>
              <w:rPr>
                <w:rFonts w:ascii="Calibri" w:eastAsia="Times New Roman" w:hAnsi="Calibri" w:cs="Times New Roman"/>
                <w:color w:val="000000"/>
                <w:lang w:val="fr-CA"/>
              </w:rPr>
            </w:pPr>
            <w:r w:rsidRPr="0037509D">
              <w:rPr>
                <w:rFonts w:ascii="Calibri" w:eastAsia="Times New Roman" w:hAnsi="Calibri" w:cs="Times New Roman"/>
                <w:color w:val="000000"/>
                <w:lang w:val="fr-CA"/>
              </w:rPr>
              <w:t>Nombre moyen d’exceptions par demande complétée</w:t>
            </w:r>
          </w:p>
        </w:tc>
        <w:tc>
          <w:tcPr>
            <w:tcW w:w="1555" w:type="dxa"/>
            <w:tcBorders>
              <w:top w:val="nil"/>
              <w:left w:val="nil"/>
              <w:bottom w:val="single" w:sz="4" w:space="0" w:color="auto"/>
              <w:right w:val="nil"/>
            </w:tcBorders>
            <w:shd w:val="clear" w:color="auto" w:fill="FFFFFF" w:themeFill="background1"/>
            <w:noWrap/>
            <w:vAlign w:val="center"/>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1,49</w:t>
            </w:r>
          </w:p>
        </w:tc>
        <w:tc>
          <w:tcPr>
            <w:tcW w:w="1751" w:type="dxa"/>
            <w:tcBorders>
              <w:top w:val="nil"/>
              <w:left w:val="nil"/>
              <w:bottom w:val="single" w:sz="4" w:space="0" w:color="auto"/>
              <w:right w:val="nil"/>
            </w:tcBorders>
            <w:shd w:val="clear" w:color="auto" w:fill="FFFFFF" w:themeFill="background1"/>
            <w:noWrap/>
            <w:vAlign w:val="center"/>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1,40</w:t>
            </w:r>
          </w:p>
        </w:tc>
        <w:tc>
          <w:tcPr>
            <w:tcW w:w="1729" w:type="dxa"/>
            <w:tcBorders>
              <w:top w:val="nil"/>
              <w:left w:val="nil"/>
              <w:bottom w:val="single" w:sz="4" w:space="0" w:color="auto"/>
              <w:right w:val="single" w:sz="4" w:space="0" w:color="auto"/>
            </w:tcBorders>
            <w:shd w:val="clear" w:color="auto" w:fill="FFFFFF" w:themeFill="background1"/>
            <w:noWrap/>
            <w:vAlign w:val="center"/>
            <w:hideMark/>
          </w:tcPr>
          <w:p w:rsidR="00CF07A2" w:rsidRPr="0037509D" w:rsidRDefault="00CF07A2" w:rsidP="00CF07A2">
            <w:pPr>
              <w:spacing w:after="0" w:line="240" w:lineRule="auto"/>
              <w:jc w:val="center"/>
              <w:rPr>
                <w:rFonts w:ascii="Calibri" w:eastAsia="Times New Roman" w:hAnsi="Calibri" w:cs="Times New Roman"/>
                <w:color w:val="000000"/>
                <w:lang w:val="fr-CA"/>
              </w:rPr>
            </w:pPr>
            <w:r w:rsidRPr="0037509D">
              <w:rPr>
                <w:rFonts w:ascii="Calibri" w:eastAsia="Times New Roman" w:hAnsi="Calibri" w:cs="Times New Roman"/>
                <w:color w:val="000000"/>
                <w:lang w:val="fr-CA"/>
              </w:rPr>
              <w:t>1,35</w:t>
            </w:r>
          </w:p>
        </w:tc>
      </w:tr>
    </w:tbl>
    <w:p w:rsidR="00CF07A2" w:rsidRPr="00F358E9" w:rsidRDefault="00CF07A2" w:rsidP="00CF07A2">
      <w:pPr>
        <w:pStyle w:val="Heading2"/>
        <w:spacing w:before="240"/>
      </w:pPr>
      <w:r w:rsidRPr="00F358E9">
        <w:t>Plaintes au Commissariat à l’information</w:t>
      </w:r>
    </w:p>
    <w:p w:rsidR="00CF07A2" w:rsidRPr="000206C2" w:rsidRDefault="00CF07A2" w:rsidP="00CF07A2">
      <w:pPr>
        <w:jc w:val="both"/>
        <w:rPr>
          <w:lang w:val="fr-CA"/>
        </w:rPr>
      </w:pPr>
      <w:r w:rsidRPr="0037509D">
        <w:rPr>
          <w:lang w:val="fr-CA"/>
        </w:rPr>
        <w:t>Le nombre de plaintes reçues</w:t>
      </w:r>
      <w:r>
        <w:rPr>
          <w:rStyle w:val="FootnoteReference"/>
          <w:lang w:val="fr-CA"/>
        </w:rPr>
        <w:footnoteReference w:id="19"/>
      </w:r>
      <w:r w:rsidRPr="0037509D">
        <w:rPr>
          <w:lang w:val="fr-CA"/>
        </w:rPr>
        <w:t xml:space="preserve"> contre l’ARC était de 221 par rapport à 283 lors de la période précédente. La majeure partie des plaintes reçues étaient attribuables à des refus soit, 152 plaintes pour refus et 69 plaintes de nature administrative, comparé à 187 plaintes pour refus et 96 plaintes de nature </w:t>
      </w:r>
      <w:r w:rsidRPr="0037509D">
        <w:rPr>
          <w:lang w:val="fr-CA"/>
        </w:rPr>
        <w:lastRenderedPageBreak/>
        <w:t>administrative en 2013</w:t>
      </w:r>
      <w:r w:rsidRPr="0037509D">
        <w:rPr>
          <w:lang w:val="fr-CA"/>
        </w:rPr>
        <w:noBreakHyphen/>
        <w:t>2014. 31,2 % des plaintes étaient fondées et ont été réglées, 8,1 % des plaintes n’étaient pas fondées, 9,5 % des plaintes ont été aba</w:t>
      </w:r>
      <w:r w:rsidR="008303C9">
        <w:rPr>
          <w:lang w:val="fr-CA"/>
        </w:rPr>
        <w:t>ndonnées et 50,2 % étaient encore</w:t>
      </w:r>
      <w:r>
        <w:rPr>
          <w:lang w:val="fr-CA"/>
        </w:rPr>
        <w:t xml:space="preserve"> en suspens.</w:t>
      </w:r>
    </w:p>
    <w:p w:rsidR="00CF07A2" w:rsidRDefault="00CF07A2">
      <w:pPr>
        <w:rPr>
          <w:lang w:val="fr-CA"/>
        </w:rPr>
      </w:pPr>
      <w:r>
        <w:rPr>
          <w:lang w:val="fr-CA"/>
        </w:rPr>
        <w:br w:type="page"/>
      </w:r>
    </w:p>
    <w:p w:rsidR="00CF07A2" w:rsidRPr="00E44EC4" w:rsidRDefault="00CF07A2" w:rsidP="00CF07A2">
      <w:pPr>
        <w:pStyle w:val="Heading1"/>
      </w:pPr>
      <w:r w:rsidRPr="00E44EC4">
        <w:lastRenderedPageBreak/>
        <w:t>Défense nationale</w:t>
      </w:r>
    </w:p>
    <w:p w:rsidR="00CF07A2" w:rsidRPr="00E44EC4" w:rsidRDefault="00CF07A2" w:rsidP="00CF07A2">
      <w:pPr>
        <w:jc w:val="both"/>
        <w:rPr>
          <w:b/>
          <w:lang w:val="fr-CA"/>
        </w:rPr>
      </w:pPr>
      <w:r w:rsidRPr="00E44EC4">
        <w:rPr>
          <w:rStyle w:val="Heading2Char"/>
        </w:rPr>
        <w:t>Rendement global</w:t>
      </w:r>
      <w:r w:rsidRPr="00D5581F">
        <w:rPr>
          <w:rStyle w:val="FootnoteReference"/>
          <w:b/>
          <w:lang w:val="fr-CA"/>
        </w:rPr>
        <w:footnoteReference w:id="20"/>
      </w:r>
    </w:p>
    <w:p w:rsidR="00CF07A2" w:rsidRPr="00D5581F" w:rsidRDefault="00CF07A2" w:rsidP="00CF07A2">
      <w:pPr>
        <w:jc w:val="both"/>
        <w:rPr>
          <w:lang w:val="fr-CA"/>
        </w:rPr>
      </w:pPr>
      <w:r w:rsidRPr="00D5581F">
        <w:rPr>
          <w:lang w:val="fr-CA"/>
        </w:rPr>
        <w:t xml:space="preserve">Le ministère de la Défense nationale (MDN) a amélioré son pourcentage de demandes complétées en 30 jours ou moins de 7,7 %. Il a aussi eu une diminution </w:t>
      </w:r>
      <w:r>
        <w:rPr>
          <w:lang w:val="fr-CA"/>
        </w:rPr>
        <w:t>de 5,8</w:t>
      </w:r>
      <w:r w:rsidRPr="00D5581F">
        <w:rPr>
          <w:lang w:val="fr-CA"/>
        </w:rPr>
        <w:t xml:space="preserve"> % du pourcentage de demandes qui ont fait l’objet d’une divulgation complète. Le présent rapport contient des statistiques comparatives pour les trois dernières périodes (2012 à 2015).</w:t>
      </w:r>
    </w:p>
    <w:p w:rsidR="00CF07A2" w:rsidRPr="00E44EC4" w:rsidRDefault="00CF07A2" w:rsidP="00CF07A2">
      <w:pPr>
        <w:pStyle w:val="Heading2"/>
      </w:pPr>
      <w:r w:rsidRPr="00E44EC4">
        <w:t>Charge de travail</w:t>
      </w:r>
    </w:p>
    <w:p w:rsidR="00CF07A2" w:rsidRPr="00D5581F" w:rsidRDefault="00CF07A2" w:rsidP="00CF07A2">
      <w:pPr>
        <w:jc w:val="both"/>
        <w:rPr>
          <w:lang w:val="fr-CA"/>
        </w:rPr>
      </w:pPr>
      <w:r w:rsidRPr="00D5581F">
        <w:rPr>
          <w:lang w:val="fr-CA"/>
        </w:rPr>
        <w:t xml:space="preserve">Le MDN a reçu 2 073 demandes en vertu de la </w:t>
      </w:r>
      <w:r w:rsidRPr="00D5581F">
        <w:rPr>
          <w:i/>
          <w:lang w:val="fr-CA"/>
        </w:rPr>
        <w:t>Loi sur l’accès à l‘information</w:t>
      </w:r>
      <w:r w:rsidRPr="00D5581F">
        <w:rPr>
          <w:lang w:val="fr-CA"/>
        </w:rPr>
        <w:t xml:space="preserve"> (la </w:t>
      </w:r>
      <w:r w:rsidRPr="00D5581F">
        <w:rPr>
          <w:i/>
          <w:lang w:val="fr-CA"/>
        </w:rPr>
        <w:t>Loi</w:t>
      </w:r>
      <w:r w:rsidRPr="00D5581F">
        <w:rPr>
          <w:lang w:val="fr-CA"/>
        </w:rPr>
        <w:t>), représentant 3 % du nombre total de demandes reçues à l’échelle du gouvernement. Le nombre de demandes reçues par le MDN a diminué de 7,1 % par r</w:t>
      </w:r>
      <w:r>
        <w:rPr>
          <w:lang w:val="fr-CA"/>
        </w:rPr>
        <w:t>apport à la période précédente.</w:t>
      </w:r>
    </w:p>
    <w:p w:rsidR="00CF07A2" w:rsidRPr="00D5581F" w:rsidRDefault="00CF07A2" w:rsidP="00CF07A2">
      <w:pPr>
        <w:jc w:val="both"/>
        <w:rPr>
          <w:lang w:val="fr-CA"/>
        </w:rPr>
      </w:pPr>
      <w:r w:rsidRPr="00D5581F">
        <w:rPr>
          <w:lang w:val="fr-CA"/>
        </w:rPr>
        <w:t>La majorité des demandes provenaient du public (42,6 %), suivies de celles des médias (37,9 %). Les demandes du public ont augmenté de 48,8 %, alors que les demandes des médias ont diminué de 29,0 % par rapport à 2013</w:t>
      </w:r>
      <w:r w:rsidRPr="00D5581F">
        <w:rPr>
          <w:lang w:val="fr-CA"/>
        </w:rPr>
        <w:noBreakHyphen/>
        <w:t>2014.</w:t>
      </w:r>
    </w:p>
    <w:p w:rsidR="00CF07A2" w:rsidRPr="00D5581F" w:rsidRDefault="00CF07A2" w:rsidP="00CF07A2">
      <w:pPr>
        <w:jc w:val="both"/>
        <w:rPr>
          <w:lang w:val="fr-CA"/>
        </w:rPr>
      </w:pPr>
      <w:r w:rsidRPr="00D5581F">
        <w:rPr>
          <w:lang w:val="fr-CA"/>
        </w:rPr>
        <w:t>Le MDN a complété 2 015 demandes pour cette période de référence. Cela correspond à un taux d’achèvement</w:t>
      </w:r>
      <w:r w:rsidRPr="00D5581F">
        <w:rPr>
          <w:rStyle w:val="FootnoteReference"/>
          <w:lang w:val="fr-CA"/>
        </w:rPr>
        <w:footnoteReference w:id="21"/>
      </w:r>
      <w:r w:rsidRPr="00D5581F">
        <w:rPr>
          <w:lang w:val="fr-CA"/>
        </w:rPr>
        <w:t xml:space="preserve"> de 76,5 %, soit u</w:t>
      </w:r>
      <w:r w:rsidRPr="00D5581F">
        <w:rPr>
          <w:lang w:val="fr-CA"/>
        </w:rPr>
        <w:tab/>
        <w:t>n taux inférieur à celui pour l’ensemble du gouvernement qui lui était de 85,1 %. Le MDN a aussi reçu 153 demandes informelles en 2014</w:t>
      </w:r>
      <w:r w:rsidRPr="00D5581F">
        <w:rPr>
          <w:lang w:val="fr-CA"/>
        </w:rPr>
        <w:noBreakHyphen/>
        <w:t xml:space="preserve">2015, qui ont toutes été complétées en </w:t>
      </w:r>
      <w:r>
        <w:rPr>
          <w:lang w:val="fr-CA"/>
        </w:rPr>
        <w:t xml:space="preserve">15 </w:t>
      </w:r>
      <w:r w:rsidRPr="00D5581F">
        <w:rPr>
          <w:lang w:val="fr-CA"/>
        </w:rPr>
        <w:t xml:space="preserve">jours ou moins. Le nombre de demandes de consultation reçues par le MDN en provenance d’autres institutions fédérales a diminué de </w:t>
      </w:r>
      <w:r>
        <w:rPr>
          <w:lang w:val="fr-CA"/>
        </w:rPr>
        <w:t>394 à 37</w:t>
      </w:r>
      <w:r w:rsidRPr="00D5581F">
        <w:rPr>
          <w:lang w:val="fr-CA"/>
        </w:rPr>
        <w:t>0, ce qui représente une baisse de 6,1 % par rapport à 2013</w:t>
      </w:r>
      <w:r w:rsidRPr="00D5581F">
        <w:rPr>
          <w:lang w:val="fr-CA"/>
        </w:rPr>
        <w:noBreakHyphen/>
        <w:t>2014.</w:t>
      </w:r>
    </w:p>
    <w:p w:rsidR="00CF07A2" w:rsidRPr="00D5581F" w:rsidRDefault="00CF07A2" w:rsidP="00CF07A2">
      <w:pPr>
        <w:jc w:val="both"/>
        <w:rPr>
          <w:lang w:val="fr-CA"/>
        </w:rPr>
      </w:pPr>
      <w:r w:rsidRPr="00D5581F">
        <w:rPr>
          <w:lang w:val="fr-CA"/>
        </w:rPr>
        <w:t>Le nombre total de pages traitées par le MDN pour cette période était de 224 634 pages, une diminution par rapport aux 234 134 pages traitées en 2013</w:t>
      </w:r>
      <w:r w:rsidRPr="00D5581F">
        <w:rPr>
          <w:lang w:val="fr-CA"/>
        </w:rPr>
        <w:noBreakHyphen/>
        <w:t>2014. En comparaison, le nombre moyen de pages traitées par demande complétée a augmenté de 123 en 2013</w:t>
      </w:r>
      <w:r w:rsidRPr="00D5581F">
        <w:rPr>
          <w:lang w:val="fr-CA"/>
        </w:rPr>
        <w:noBreakHyphen/>
        <w:t>2014 à 130 en 2014</w:t>
      </w:r>
      <w:r w:rsidRPr="00D5581F">
        <w:rPr>
          <w:lang w:val="fr-CA"/>
        </w:rPr>
        <w:noBreakHyphen/>
        <w:t>2015 (voir tableau 1).</w:t>
      </w:r>
    </w:p>
    <w:p w:rsidR="00CF07A2" w:rsidRPr="00D5581F" w:rsidRDefault="00CF07A2" w:rsidP="00CF07A2">
      <w:pPr>
        <w:jc w:val="both"/>
        <w:rPr>
          <w:lang w:val="fr-CA"/>
        </w:rPr>
      </w:pPr>
      <w:r w:rsidRPr="00D5581F">
        <w:rPr>
          <w:lang w:val="fr-CA"/>
        </w:rPr>
        <w:t xml:space="preserve">L’information diffusée par le MDN en 2014-2015 était </w:t>
      </w:r>
      <w:r>
        <w:rPr>
          <w:lang w:val="fr-CA"/>
        </w:rPr>
        <w:t>majoritairement</w:t>
      </w:r>
      <w:r w:rsidRPr="00D5581F">
        <w:rPr>
          <w:lang w:val="fr-CA"/>
        </w:rPr>
        <w:t xml:space="preserve"> en format électronique : 1 174 demandes en format électronique par rapport à 11 demandes en format papier. On observe un transfert important du format papier vers le format électronique, puisque lors de la période précédente, 662 demandes avaient été traitées en format papier et 933 avaient été </w:t>
      </w:r>
      <w:proofErr w:type="gramStart"/>
      <w:r w:rsidRPr="00D5581F">
        <w:rPr>
          <w:lang w:val="fr-CA"/>
        </w:rPr>
        <w:t>traitées</w:t>
      </w:r>
      <w:proofErr w:type="gramEnd"/>
      <w:r w:rsidRPr="00D5581F">
        <w:rPr>
          <w:lang w:val="fr-CA"/>
        </w:rPr>
        <w:t xml:space="preserve"> en format électronique.</w:t>
      </w:r>
    </w:p>
    <w:p w:rsidR="00CF07A2" w:rsidRPr="00E44EC4" w:rsidRDefault="00CF07A2" w:rsidP="00BA2BE8">
      <w:pPr>
        <w:pStyle w:val="Heading3"/>
      </w:pPr>
      <w:r w:rsidRPr="00E44EC4">
        <w:t xml:space="preserve">Tableau </w:t>
      </w:r>
      <w:proofErr w:type="gramStart"/>
      <w:r w:rsidRPr="00E44EC4">
        <w:t>1 :</w:t>
      </w:r>
      <w:proofErr w:type="gramEnd"/>
      <w:r w:rsidRPr="00E44EC4">
        <w:t xml:space="preserve"> Charge de travail</w:t>
      </w:r>
    </w:p>
    <w:tbl>
      <w:tblPr>
        <w:tblW w:w="9248" w:type="dxa"/>
        <w:tblInd w:w="98" w:type="dxa"/>
        <w:tblLook w:val="04A0"/>
      </w:tblPr>
      <w:tblGrid>
        <w:gridCol w:w="5397"/>
        <w:gridCol w:w="1276"/>
        <w:gridCol w:w="1317"/>
        <w:gridCol w:w="1258"/>
      </w:tblGrid>
      <w:tr w:rsidR="00CF07A2" w:rsidRPr="00D5581F" w:rsidTr="00CF07A2">
        <w:trPr>
          <w:trHeight w:val="299"/>
        </w:trPr>
        <w:tc>
          <w:tcPr>
            <w:tcW w:w="5397" w:type="dxa"/>
            <w:tcBorders>
              <w:top w:val="single" w:sz="4" w:space="0" w:color="auto"/>
              <w:left w:val="single" w:sz="4" w:space="0" w:color="auto"/>
              <w:bottom w:val="single" w:sz="8" w:space="0" w:color="auto"/>
              <w:right w:val="nil"/>
            </w:tcBorders>
            <w:shd w:val="clear" w:color="auto" w:fill="auto"/>
            <w:noWrap/>
            <w:vAlign w:val="bottom"/>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 xml:space="preserve">Mesures </w:t>
            </w:r>
          </w:p>
        </w:tc>
        <w:tc>
          <w:tcPr>
            <w:tcW w:w="1276" w:type="dxa"/>
            <w:tcBorders>
              <w:top w:val="single" w:sz="4" w:space="0" w:color="auto"/>
              <w:left w:val="nil"/>
              <w:bottom w:val="single" w:sz="8" w:space="0" w:color="auto"/>
              <w:right w:val="nil"/>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2012-2013</w:t>
            </w:r>
          </w:p>
        </w:tc>
        <w:tc>
          <w:tcPr>
            <w:tcW w:w="1317" w:type="dxa"/>
            <w:tcBorders>
              <w:top w:val="single" w:sz="4" w:space="0" w:color="auto"/>
              <w:left w:val="nil"/>
              <w:bottom w:val="single" w:sz="8" w:space="0" w:color="auto"/>
              <w:right w:val="nil"/>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2013-2014</w:t>
            </w:r>
          </w:p>
        </w:tc>
        <w:tc>
          <w:tcPr>
            <w:tcW w:w="1258" w:type="dxa"/>
            <w:tcBorders>
              <w:top w:val="single" w:sz="4" w:space="0" w:color="auto"/>
              <w:left w:val="nil"/>
              <w:bottom w:val="single" w:sz="8" w:space="0" w:color="auto"/>
              <w:right w:val="single" w:sz="4" w:space="0" w:color="auto"/>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2014-2015</w:t>
            </w:r>
          </w:p>
        </w:tc>
      </w:tr>
      <w:tr w:rsidR="00CF07A2" w:rsidRPr="00D5581F" w:rsidTr="00CF07A2">
        <w:trPr>
          <w:trHeight w:val="285"/>
        </w:trPr>
        <w:tc>
          <w:tcPr>
            <w:tcW w:w="5397" w:type="dxa"/>
            <w:tcBorders>
              <w:top w:val="nil"/>
              <w:left w:val="single" w:sz="4" w:space="0" w:color="auto"/>
              <w:bottom w:val="nil"/>
              <w:right w:val="nil"/>
            </w:tcBorders>
            <w:shd w:val="clear" w:color="000000" w:fill="DBE5F1"/>
            <w:noWrap/>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 xml:space="preserve">Nombre de demandes reçues </w:t>
            </w:r>
          </w:p>
        </w:tc>
        <w:tc>
          <w:tcPr>
            <w:tcW w:w="1276" w:type="dxa"/>
            <w:tcBorders>
              <w:top w:val="nil"/>
              <w:left w:val="nil"/>
              <w:bottom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2 044</w:t>
            </w:r>
          </w:p>
        </w:tc>
        <w:tc>
          <w:tcPr>
            <w:tcW w:w="1317" w:type="dxa"/>
            <w:tcBorders>
              <w:top w:val="nil"/>
              <w:left w:val="nil"/>
              <w:bottom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2 231</w:t>
            </w:r>
          </w:p>
        </w:tc>
        <w:tc>
          <w:tcPr>
            <w:tcW w:w="1258" w:type="dxa"/>
            <w:tcBorders>
              <w:top w:val="nil"/>
              <w:left w:val="nil"/>
              <w:bottom w:val="nil"/>
              <w:right w:val="single" w:sz="4" w:space="0" w:color="auto"/>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2 073</w:t>
            </w:r>
          </w:p>
        </w:tc>
      </w:tr>
      <w:tr w:rsidR="00CF07A2" w:rsidRPr="00D5581F" w:rsidTr="00CF07A2">
        <w:trPr>
          <w:trHeight w:val="285"/>
        </w:trPr>
        <w:tc>
          <w:tcPr>
            <w:tcW w:w="5397" w:type="dxa"/>
            <w:tcBorders>
              <w:top w:val="nil"/>
              <w:left w:val="single" w:sz="4" w:space="0" w:color="auto"/>
              <w:right w:val="nil"/>
            </w:tcBorders>
            <w:shd w:val="clear" w:color="auto" w:fill="auto"/>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Variation annuelle en %</w:t>
            </w:r>
          </w:p>
        </w:tc>
        <w:tc>
          <w:tcPr>
            <w:tcW w:w="1276" w:type="dxa"/>
            <w:tcBorders>
              <w:top w:val="nil"/>
              <w:left w:val="nil"/>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w:t>
            </w:r>
          </w:p>
        </w:tc>
        <w:tc>
          <w:tcPr>
            <w:tcW w:w="1317" w:type="dxa"/>
            <w:tcBorders>
              <w:top w:val="nil"/>
              <w:left w:val="nil"/>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9,1 %</w:t>
            </w:r>
          </w:p>
        </w:tc>
        <w:tc>
          <w:tcPr>
            <w:tcW w:w="1258" w:type="dxa"/>
            <w:tcBorders>
              <w:top w:val="nil"/>
              <w:left w:val="nil"/>
              <w:right w:val="single" w:sz="4" w:space="0" w:color="auto"/>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-7,1 %</w:t>
            </w:r>
          </w:p>
        </w:tc>
      </w:tr>
      <w:tr w:rsidR="00CF07A2" w:rsidRPr="00D5581F" w:rsidTr="00CF07A2">
        <w:trPr>
          <w:trHeight w:val="285"/>
        </w:trPr>
        <w:tc>
          <w:tcPr>
            <w:tcW w:w="5397" w:type="dxa"/>
            <w:tcBorders>
              <w:top w:val="nil"/>
              <w:left w:val="single" w:sz="4" w:space="0" w:color="auto"/>
              <w:bottom w:val="nil"/>
              <w:right w:val="nil"/>
            </w:tcBorders>
            <w:shd w:val="clear" w:color="000000" w:fill="DBE5F1"/>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Demandes complétées</w:t>
            </w:r>
          </w:p>
        </w:tc>
        <w:tc>
          <w:tcPr>
            <w:tcW w:w="1276" w:type="dxa"/>
            <w:tcBorders>
              <w:top w:val="nil"/>
              <w:left w:val="nil"/>
              <w:bottom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1 839</w:t>
            </w:r>
          </w:p>
        </w:tc>
        <w:tc>
          <w:tcPr>
            <w:tcW w:w="1317" w:type="dxa"/>
            <w:tcBorders>
              <w:top w:val="nil"/>
              <w:left w:val="nil"/>
              <w:bottom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2 219</w:t>
            </w:r>
          </w:p>
        </w:tc>
        <w:tc>
          <w:tcPr>
            <w:tcW w:w="1258" w:type="dxa"/>
            <w:tcBorders>
              <w:top w:val="nil"/>
              <w:left w:val="nil"/>
              <w:bottom w:val="nil"/>
              <w:right w:val="single" w:sz="4" w:space="0" w:color="auto"/>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2 015</w:t>
            </w:r>
          </w:p>
        </w:tc>
      </w:tr>
      <w:tr w:rsidR="00CF07A2" w:rsidRPr="00D5581F" w:rsidTr="00CF07A2">
        <w:trPr>
          <w:trHeight w:val="299"/>
        </w:trPr>
        <w:tc>
          <w:tcPr>
            <w:tcW w:w="5397" w:type="dxa"/>
            <w:tcBorders>
              <w:top w:val="nil"/>
              <w:left w:val="single" w:sz="4" w:space="0" w:color="auto"/>
              <w:right w:val="nil"/>
            </w:tcBorders>
            <w:shd w:val="clear" w:color="auto" w:fill="auto"/>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lastRenderedPageBreak/>
              <w:t>Variation annuelle en %</w:t>
            </w:r>
          </w:p>
        </w:tc>
        <w:tc>
          <w:tcPr>
            <w:tcW w:w="1276" w:type="dxa"/>
            <w:tcBorders>
              <w:top w:val="nil"/>
              <w:left w:val="nil"/>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w:t>
            </w:r>
          </w:p>
        </w:tc>
        <w:tc>
          <w:tcPr>
            <w:tcW w:w="1317" w:type="dxa"/>
            <w:tcBorders>
              <w:top w:val="nil"/>
              <w:left w:val="nil"/>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20,7 %</w:t>
            </w:r>
          </w:p>
        </w:tc>
        <w:tc>
          <w:tcPr>
            <w:tcW w:w="1258" w:type="dxa"/>
            <w:tcBorders>
              <w:top w:val="nil"/>
              <w:left w:val="nil"/>
              <w:right w:val="single" w:sz="4" w:space="0" w:color="auto"/>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-9,2 %</w:t>
            </w:r>
          </w:p>
        </w:tc>
      </w:tr>
      <w:tr w:rsidR="00CF07A2" w:rsidRPr="00D5581F" w:rsidTr="00CF07A2">
        <w:trPr>
          <w:trHeight w:val="627"/>
        </w:trPr>
        <w:tc>
          <w:tcPr>
            <w:tcW w:w="5397" w:type="dxa"/>
            <w:tcBorders>
              <w:top w:val="nil"/>
              <w:left w:val="single" w:sz="4" w:space="0" w:color="auto"/>
              <w:right w:val="nil"/>
            </w:tcBorders>
            <w:shd w:val="clear" w:color="000000" w:fill="DBE5F1"/>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Nombre de demandes de consultation reçues (d’autres institutions fédérales)</w:t>
            </w:r>
          </w:p>
        </w:tc>
        <w:tc>
          <w:tcPr>
            <w:tcW w:w="1276" w:type="dxa"/>
            <w:tcBorders>
              <w:top w:val="nil"/>
              <w:left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489</w:t>
            </w:r>
          </w:p>
        </w:tc>
        <w:tc>
          <w:tcPr>
            <w:tcW w:w="1317" w:type="dxa"/>
            <w:tcBorders>
              <w:top w:val="nil"/>
              <w:left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394</w:t>
            </w:r>
          </w:p>
        </w:tc>
        <w:tc>
          <w:tcPr>
            <w:tcW w:w="1258" w:type="dxa"/>
            <w:tcBorders>
              <w:top w:val="nil"/>
              <w:left w:val="nil"/>
              <w:right w:val="single" w:sz="4" w:space="0" w:color="auto"/>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370</w:t>
            </w:r>
          </w:p>
        </w:tc>
      </w:tr>
      <w:tr w:rsidR="00CF07A2" w:rsidRPr="00D5581F" w:rsidTr="00CF07A2">
        <w:trPr>
          <w:trHeight w:val="299"/>
        </w:trPr>
        <w:tc>
          <w:tcPr>
            <w:tcW w:w="5397" w:type="dxa"/>
            <w:tcBorders>
              <w:left w:val="single" w:sz="4" w:space="0" w:color="auto"/>
              <w:right w:val="nil"/>
            </w:tcBorders>
            <w:shd w:val="clear" w:color="auto" w:fill="auto"/>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Variation annuelle en %</w:t>
            </w:r>
          </w:p>
        </w:tc>
        <w:tc>
          <w:tcPr>
            <w:tcW w:w="1276" w:type="dxa"/>
            <w:tcBorders>
              <w:left w:val="nil"/>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w:t>
            </w:r>
          </w:p>
        </w:tc>
        <w:tc>
          <w:tcPr>
            <w:tcW w:w="1317" w:type="dxa"/>
            <w:tcBorders>
              <w:left w:val="nil"/>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-31,7 %</w:t>
            </w:r>
          </w:p>
        </w:tc>
        <w:tc>
          <w:tcPr>
            <w:tcW w:w="1258" w:type="dxa"/>
            <w:tcBorders>
              <w:left w:val="nil"/>
              <w:right w:val="single" w:sz="4" w:space="0" w:color="auto"/>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17,9 %</w:t>
            </w:r>
          </w:p>
        </w:tc>
      </w:tr>
      <w:tr w:rsidR="00CF07A2" w:rsidRPr="00D5581F" w:rsidTr="00CF07A2">
        <w:trPr>
          <w:trHeight w:val="570"/>
        </w:trPr>
        <w:tc>
          <w:tcPr>
            <w:tcW w:w="5397" w:type="dxa"/>
            <w:tcBorders>
              <w:left w:val="single" w:sz="4" w:space="0" w:color="auto"/>
              <w:bottom w:val="nil"/>
              <w:right w:val="nil"/>
            </w:tcBorders>
            <w:shd w:val="clear" w:color="000000" w:fill="DBE5F1"/>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Nombre moyen de pages traitées par demande complétée</w:t>
            </w:r>
          </w:p>
        </w:tc>
        <w:tc>
          <w:tcPr>
            <w:tcW w:w="1276" w:type="dxa"/>
            <w:tcBorders>
              <w:left w:val="nil"/>
              <w:bottom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104</w:t>
            </w:r>
          </w:p>
        </w:tc>
        <w:tc>
          <w:tcPr>
            <w:tcW w:w="1317" w:type="dxa"/>
            <w:tcBorders>
              <w:left w:val="nil"/>
              <w:bottom w:val="nil"/>
              <w:right w:val="nil"/>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123</w:t>
            </w:r>
          </w:p>
        </w:tc>
        <w:tc>
          <w:tcPr>
            <w:tcW w:w="1258" w:type="dxa"/>
            <w:tcBorders>
              <w:left w:val="nil"/>
              <w:bottom w:val="nil"/>
              <w:right w:val="single" w:sz="4" w:space="0" w:color="auto"/>
            </w:tcBorders>
            <w:shd w:val="clear" w:color="000000" w:fill="DBE5F1"/>
            <w:noWrap/>
            <w:vAlign w:val="center"/>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130</w:t>
            </w:r>
          </w:p>
        </w:tc>
      </w:tr>
      <w:tr w:rsidR="00CF07A2" w:rsidRPr="00D5581F" w:rsidTr="00CF07A2">
        <w:trPr>
          <w:trHeight w:val="399"/>
        </w:trPr>
        <w:tc>
          <w:tcPr>
            <w:tcW w:w="5397" w:type="dxa"/>
            <w:tcBorders>
              <w:top w:val="nil"/>
              <w:left w:val="single" w:sz="4" w:space="0" w:color="auto"/>
              <w:bottom w:val="single" w:sz="4" w:space="0" w:color="auto"/>
              <w:right w:val="nil"/>
            </w:tcBorders>
            <w:shd w:val="clear" w:color="auto" w:fill="auto"/>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 des demandes pour lesquelles plus de 1 000 pages ont été traitées</w:t>
            </w:r>
          </w:p>
        </w:tc>
        <w:tc>
          <w:tcPr>
            <w:tcW w:w="1276" w:type="dxa"/>
            <w:tcBorders>
              <w:top w:val="nil"/>
              <w:left w:val="nil"/>
              <w:bottom w:val="single" w:sz="4" w:space="0" w:color="auto"/>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1,6 %</w:t>
            </w:r>
          </w:p>
        </w:tc>
        <w:tc>
          <w:tcPr>
            <w:tcW w:w="1317" w:type="dxa"/>
            <w:tcBorders>
              <w:top w:val="nil"/>
              <w:left w:val="nil"/>
              <w:bottom w:val="single" w:sz="4" w:space="0" w:color="auto"/>
              <w:right w:val="nil"/>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2,5 %</w:t>
            </w:r>
          </w:p>
        </w:tc>
        <w:tc>
          <w:tcPr>
            <w:tcW w:w="1258" w:type="dxa"/>
            <w:tcBorders>
              <w:top w:val="nil"/>
              <w:left w:val="nil"/>
              <w:bottom w:val="single" w:sz="4" w:space="0" w:color="auto"/>
              <w:right w:val="single" w:sz="4" w:space="0" w:color="auto"/>
            </w:tcBorders>
            <w:shd w:val="clear" w:color="auto" w:fill="auto"/>
            <w:noWrap/>
            <w:vAlign w:val="center"/>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2,7 %</w:t>
            </w:r>
          </w:p>
        </w:tc>
      </w:tr>
    </w:tbl>
    <w:p w:rsidR="00CF07A2" w:rsidRPr="00E44EC4" w:rsidRDefault="00CF07A2" w:rsidP="00CF07A2">
      <w:pPr>
        <w:pStyle w:val="Heading2"/>
        <w:spacing w:before="240"/>
      </w:pPr>
      <w:r w:rsidRPr="00E44EC4">
        <w:t>Délai de traitement des demandes</w:t>
      </w:r>
    </w:p>
    <w:p w:rsidR="00CF07A2" w:rsidRPr="00E44EC4" w:rsidRDefault="00CF07A2" w:rsidP="00CF07A2">
      <w:pPr>
        <w:pStyle w:val="Heading4"/>
      </w:pPr>
      <w:r w:rsidRPr="00E44EC4">
        <w:t>Rapidité</w:t>
      </w:r>
    </w:p>
    <w:p w:rsidR="00CF07A2" w:rsidRPr="00D5581F" w:rsidRDefault="00CF07A2" w:rsidP="00CF07A2">
      <w:pPr>
        <w:jc w:val="both"/>
        <w:rPr>
          <w:lang w:val="fr-CA"/>
        </w:rPr>
      </w:pPr>
      <w:r w:rsidRPr="00D5581F">
        <w:rPr>
          <w:lang w:val="fr-CA"/>
        </w:rPr>
        <w:t>La figure 1 révèle que 49,3 % des demandes ont été complétées en 30 jours ou moins, une amélioration par rapport aux 41,6 % de demandes complétées dans l’échéancier prescrit de 30 jours ou moins en 2013</w:t>
      </w:r>
      <w:r w:rsidRPr="00D5581F">
        <w:rPr>
          <w:lang w:val="fr-CA"/>
        </w:rPr>
        <w:noBreakHyphen/>
        <w:t>2014</w:t>
      </w:r>
      <w:r>
        <w:rPr>
          <w:lang w:val="fr-CA"/>
        </w:rPr>
        <w:t>.</w:t>
      </w:r>
    </w:p>
    <w:p w:rsidR="00CF07A2" w:rsidRPr="00D5581F" w:rsidRDefault="00CF07A2" w:rsidP="00CF07A2">
      <w:pPr>
        <w:spacing w:line="240" w:lineRule="auto"/>
        <w:rPr>
          <w:color w:val="FF0000"/>
          <w:sz w:val="24"/>
          <w:szCs w:val="24"/>
          <w:lang w:val="fr-CA"/>
        </w:rPr>
      </w:pPr>
      <w:r w:rsidRPr="00CF07A2">
        <w:rPr>
          <w:rStyle w:val="Heading3Char"/>
          <w:lang w:val="fr-FR"/>
        </w:rPr>
        <w:t>Figure 1 : Délai de traitement des demandes</w:t>
      </w:r>
      <w:r w:rsidRPr="00D5581F">
        <w:rPr>
          <w:noProof/>
          <w:color w:val="FF0000"/>
          <w:sz w:val="24"/>
          <w:szCs w:val="24"/>
        </w:rPr>
        <w:drawing>
          <wp:inline distT="0" distB="0" distL="0" distR="0">
            <wp:extent cx="5947576" cy="3458818"/>
            <wp:effectExtent l="0" t="0" r="15240" b="2794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07A2" w:rsidRPr="00E44EC4" w:rsidRDefault="00CF07A2" w:rsidP="00CF07A2">
      <w:pPr>
        <w:pStyle w:val="Heading4"/>
      </w:pPr>
      <w:r w:rsidRPr="00E44EC4">
        <w:t>Prorogations</w:t>
      </w:r>
    </w:p>
    <w:p w:rsidR="00CF07A2" w:rsidRPr="00DD17B1" w:rsidRDefault="00CF07A2" w:rsidP="00CF07A2">
      <w:pPr>
        <w:jc w:val="both"/>
        <w:rPr>
          <w:lang w:val="fr-CA"/>
        </w:rPr>
      </w:pPr>
      <w:r w:rsidRPr="00DD17B1">
        <w:rPr>
          <w:lang w:val="fr-CA"/>
        </w:rPr>
        <w:t>Le MDN a eu recours à 873 prorogations en 2014</w:t>
      </w:r>
      <w:r w:rsidRPr="00DD17B1">
        <w:rPr>
          <w:lang w:val="fr-CA"/>
        </w:rPr>
        <w:noBreakHyphen/>
        <w:t>2015 comparé à 1 462 en 2013</w:t>
      </w:r>
      <w:r w:rsidRPr="00DD17B1">
        <w:rPr>
          <w:lang w:val="fr-CA"/>
        </w:rPr>
        <w:noBreakHyphen/>
        <w:t>2014. L’entrave au fonctionnement de l’institution (55,6 %) était la raison la plus fréquemment invoquée pour demander une prorogation, suivie des demandes de consultation (39,2 %). L’entrave au fonctionnement de l’institution était également le motif le plus fréquemment invoqué en 2013</w:t>
      </w:r>
      <w:r w:rsidRPr="00DD17B1">
        <w:rPr>
          <w:lang w:val="fr-CA"/>
        </w:rPr>
        <w:noBreakHyphen/>
        <w:t>2014 pour demander une prorogation.</w:t>
      </w:r>
    </w:p>
    <w:p w:rsidR="00CF07A2" w:rsidRPr="00D5581F" w:rsidRDefault="00CF07A2" w:rsidP="00CF07A2">
      <w:pPr>
        <w:jc w:val="both"/>
        <w:rPr>
          <w:lang w:val="fr-CA"/>
        </w:rPr>
      </w:pPr>
      <w:r w:rsidRPr="00D5581F">
        <w:rPr>
          <w:lang w:val="fr-CA"/>
        </w:rPr>
        <w:lastRenderedPageBreak/>
        <w:t>La figure 2 démontre que 37,9 % des prorogations étaient de 30 jours ou moins, soit 2,0 % de moins qu’en 2013</w:t>
      </w:r>
      <w:r w:rsidRPr="00D5581F">
        <w:rPr>
          <w:lang w:val="fr-CA"/>
        </w:rPr>
        <w:noBreakHyphen/>
        <w:t>2014. On constate également que le nombre de prorogations de 31 à 60 jours en 2014</w:t>
      </w:r>
      <w:r w:rsidRPr="00D5581F">
        <w:rPr>
          <w:lang w:val="fr-CA"/>
        </w:rPr>
        <w:noBreakHyphen/>
        <w:t>2015 a augmenté de 1,8 % par rapport à la période précédente</w:t>
      </w:r>
      <w:r>
        <w:rPr>
          <w:lang w:val="fr-CA"/>
        </w:rPr>
        <w:t>.</w:t>
      </w:r>
    </w:p>
    <w:p w:rsidR="00CF07A2" w:rsidRPr="00D5581F" w:rsidRDefault="00CF07A2" w:rsidP="00CF07A2">
      <w:pPr>
        <w:rPr>
          <w:lang w:val="fr-CA"/>
        </w:rPr>
      </w:pPr>
      <w:r w:rsidRPr="00CF07A2">
        <w:rPr>
          <w:rStyle w:val="Heading3Char"/>
          <w:lang w:val="fr-FR"/>
        </w:rPr>
        <w:t>Figure 2 : Durée des prorogations</w:t>
      </w:r>
      <w:r w:rsidRPr="00D5581F">
        <w:rPr>
          <w:noProof/>
        </w:rPr>
        <w:drawing>
          <wp:inline distT="0" distB="0" distL="0" distR="0">
            <wp:extent cx="5947575" cy="3713259"/>
            <wp:effectExtent l="0" t="0" r="15240" b="20955"/>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07A2" w:rsidRPr="00E44EC4" w:rsidRDefault="00CF07A2" w:rsidP="00CF07A2">
      <w:pPr>
        <w:pStyle w:val="Heading4"/>
      </w:pPr>
      <w:r w:rsidRPr="00E44EC4">
        <w:t>Présomptions de refus</w:t>
      </w:r>
    </w:p>
    <w:p w:rsidR="00CF07A2" w:rsidRPr="00DD17B1" w:rsidRDefault="00CF07A2" w:rsidP="00CF07A2">
      <w:pPr>
        <w:jc w:val="both"/>
        <w:rPr>
          <w:lang w:val="fr-CA"/>
        </w:rPr>
      </w:pPr>
      <w:r w:rsidRPr="00DD17B1">
        <w:rPr>
          <w:lang w:val="fr-CA"/>
        </w:rPr>
        <w:t>En 2014</w:t>
      </w:r>
      <w:r w:rsidRPr="00DD17B1">
        <w:rPr>
          <w:lang w:val="fr-CA"/>
        </w:rPr>
        <w:noBreakHyphen/>
        <w:t>2015, 567 demandes ont été fermées après l’échéancier réglementaire, ce qui représente 28,1 % des demandes complétées. Ce taux représente une note de « F » pour le MDN, un glissement par rapport à la note « B » (9,4 %) obtenue l’an dernier</w:t>
      </w:r>
      <w:r w:rsidRPr="00DD17B1">
        <w:rPr>
          <w:rStyle w:val="FootnoteReference"/>
          <w:lang w:val="fr-CA"/>
        </w:rPr>
        <w:footnoteReference w:id="22"/>
      </w:r>
      <w:r w:rsidRPr="00DD17B1">
        <w:rPr>
          <w:lang w:val="fr-CA"/>
        </w:rPr>
        <w:t>. La charge de travail (57,3 %) était la raison la plus fréquemment invoquée pour justifier ces retards. La figure 3 montre que 43,7 % des demandes échues étaient en retard de 30 jours ou moins.</w:t>
      </w:r>
    </w:p>
    <w:p w:rsidR="00CF07A2" w:rsidRPr="00153933" w:rsidRDefault="00CF07A2" w:rsidP="00CF07A2">
      <w:pPr>
        <w:rPr>
          <w:szCs w:val="24"/>
          <w:lang w:val="fr-CA"/>
        </w:rPr>
      </w:pPr>
      <w:r w:rsidRPr="00CF07A2">
        <w:rPr>
          <w:rStyle w:val="Heading3Char"/>
          <w:lang w:val="fr-FR"/>
        </w:rPr>
        <w:lastRenderedPageBreak/>
        <w:t>Figure 3 : Retard des demandes échues</w:t>
      </w:r>
      <w:r w:rsidRPr="00D5581F">
        <w:rPr>
          <w:noProof/>
        </w:rPr>
        <w:drawing>
          <wp:inline distT="0" distB="0" distL="0" distR="0">
            <wp:extent cx="5860111" cy="4015409"/>
            <wp:effectExtent l="0" t="0" r="26670" b="23495"/>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07A2" w:rsidRPr="00E44EC4" w:rsidRDefault="00CF07A2" w:rsidP="00CF07A2">
      <w:pPr>
        <w:pStyle w:val="Heading2"/>
      </w:pPr>
      <w:r w:rsidRPr="00E44EC4">
        <w:t>Divulgation</w:t>
      </w:r>
    </w:p>
    <w:p w:rsidR="00CF07A2" w:rsidRPr="00E44EC4" w:rsidRDefault="00CF07A2" w:rsidP="00CF07A2">
      <w:pPr>
        <w:pStyle w:val="Heading4"/>
      </w:pPr>
      <w:r w:rsidRPr="00E44EC4">
        <w:t>Pourcentage de demandes pour lesquelle</w:t>
      </w:r>
      <w:r>
        <w:t>s l’information a été divulguée</w:t>
      </w:r>
    </w:p>
    <w:p w:rsidR="00CF07A2" w:rsidRPr="00D5581F" w:rsidRDefault="00CF07A2" w:rsidP="00CF07A2">
      <w:pPr>
        <w:jc w:val="both"/>
        <w:rPr>
          <w:lang w:val="fr-CA"/>
        </w:rPr>
      </w:pPr>
      <w:r>
        <w:rPr>
          <w:lang w:val="fr-CA"/>
        </w:rPr>
        <w:t>En 2014-</w:t>
      </w:r>
      <w:r w:rsidRPr="00D5581F">
        <w:rPr>
          <w:lang w:val="fr-CA"/>
        </w:rPr>
        <w:t>2015, 18,5 % des demandes complétées ont fait l’objet d’une divulgation complète, ce qui représente le taux de divulgation le plus faible depuis 2012 (voir figure 4). La figure 4 montre également que le taux des demandes faisant l’objet d’une divulgation partielle était de 40,4 %</w:t>
      </w:r>
      <w:r>
        <w:rPr>
          <w:lang w:val="fr-CA"/>
        </w:rPr>
        <w:t xml:space="preserve"> en 2014-</w:t>
      </w:r>
      <w:r w:rsidRPr="00D5581F">
        <w:rPr>
          <w:lang w:val="fr-CA"/>
        </w:rPr>
        <w:t>2015, ce qui représente une diminution par rapport aux 47,6 % rapportés en 2013</w:t>
      </w:r>
      <w:r>
        <w:rPr>
          <w:lang w:val="fr-CA"/>
        </w:rPr>
        <w:t>-</w:t>
      </w:r>
      <w:r w:rsidRPr="00D5581F">
        <w:rPr>
          <w:lang w:val="fr-CA"/>
        </w:rPr>
        <w:t>2014.</w:t>
      </w:r>
    </w:p>
    <w:p w:rsidR="00CF07A2" w:rsidRPr="00D5581F" w:rsidRDefault="00CF07A2" w:rsidP="00CF07A2">
      <w:pPr>
        <w:spacing w:line="240" w:lineRule="auto"/>
        <w:rPr>
          <w:sz w:val="24"/>
          <w:szCs w:val="24"/>
          <w:lang w:val="fr-CA"/>
        </w:rPr>
      </w:pPr>
      <w:r w:rsidRPr="00957E09">
        <w:rPr>
          <w:rStyle w:val="Heading3Char"/>
          <w:lang w:val="fr-FR"/>
        </w:rPr>
        <w:lastRenderedPageBreak/>
        <w:t>Figure 4 : Niveau de divulgation</w:t>
      </w:r>
      <w:r w:rsidRPr="00D5581F">
        <w:rPr>
          <w:noProof/>
        </w:rPr>
        <w:drawing>
          <wp:inline distT="0" distB="0" distL="0" distR="0">
            <wp:extent cx="5883965" cy="3832529"/>
            <wp:effectExtent l="0" t="0" r="21590" b="15875"/>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07A2" w:rsidRPr="00E44EC4" w:rsidRDefault="00CF07A2" w:rsidP="00CF07A2">
      <w:pPr>
        <w:pStyle w:val="Heading4"/>
      </w:pPr>
      <w:r>
        <w:t>Exceptions</w:t>
      </w:r>
    </w:p>
    <w:p w:rsidR="00CF07A2" w:rsidRPr="00DD17B1" w:rsidRDefault="00CF07A2" w:rsidP="00CF07A2">
      <w:pPr>
        <w:jc w:val="both"/>
        <w:rPr>
          <w:lang w:val="fr-CA"/>
        </w:rPr>
      </w:pPr>
      <w:r w:rsidRPr="00DD17B1">
        <w:rPr>
          <w:lang w:val="fr-CA"/>
        </w:rPr>
        <w:t>Le nombre moyen d’exceptions par demande complétée a diminué de 1,29 en 2013-2014 à 1,0 en 2014-2015 (voir tableau 2).</w:t>
      </w:r>
      <w:r w:rsidRPr="00DD17B1">
        <w:rPr>
          <w:color w:val="FF0000"/>
          <w:lang w:val="fr-CA"/>
        </w:rPr>
        <w:t xml:space="preserve"> </w:t>
      </w:r>
      <w:r w:rsidRPr="00DD17B1">
        <w:rPr>
          <w:lang w:val="fr-CA"/>
        </w:rPr>
        <w:t>Les exceptions les plus fréquemment invoquées par le MDN en 2014</w:t>
      </w:r>
      <w:r w:rsidRPr="00DD17B1">
        <w:rPr>
          <w:lang w:val="fr-CA"/>
        </w:rPr>
        <w:noBreakHyphen/>
        <w:t>2015 étaient l’article 19 (les renseignements personnels) (24,4 %), l’article 21 (les opérations du gouvernement) (22,4 %) et l’article 15 (les affaires internationales et la défense) (21,4 %).</w:t>
      </w:r>
    </w:p>
    <w:p w:rsidR="00CF07A2" w:rsidRPr="00D5581F" w:rsidRDefault="00CF07A2" w:rsidP="00BA2BE8">
      <w:pPr>
        <w:pStyle w:val="Heading3"/>
      </w:pPr>
      <w:r w:rsidRPr="00D5581F">
        <w:t xml:space="preserve">Tableau </w:t>
      </w:r>
      <w:proofErr w:type="gramStart"/>
      <w:r w:rsidRPr="00D5581F">
        <w:t>2 :</w:t>
      </w:r>
      <w:proofErr w:type="gramEnd"/>
      <w:r w:rsidRPr="00D5581F">
        <w:t xml:space="preserve"> Exceptions</w:t>
      </w:r>
    </w:p>
    <w:tbl>
      <w:tblPr>
        <w:tblW w:w="9830" w:type="dxa"/>
        <w:tblInd w:w="98" w:type="dxa"/>
        <w:tblLook w:val="04A0"/>
      </w:tblPr>
      <w:tblGrid>
        <w:gridCol w:w="6069"/>
        <w:gridCol w:w="1212"/>
        <w:gridCol w:w="1212"/>
        <w:gridCol w:w="1337"/>
      </w:tblGrid>
      <w:tr w:rsidR="00CF07A2" w:rsidRPr="00D5581F" w:rsidTr="00CF07A2">
        <w:trPr>
          <w:trHeight w:val="235"/>
        </w:trPr>
        <w:tc>
          <w:tcPr>
            <w:tcW w:w="6069" w:type="dxa"/>
            <w:tcBorders>
              <w:top w:val="single" w:sz="8" w:space="0" w:color="auto"/>
              <w:left w:val="single" w:sz="8" w:space="0" w:color="auto"/>
              <w:bottom w:val="single" w:sz="8" w:space="0" w:color="auto"/>
              <w:right w:val="nil"/>
            </w:tcBorders>
            <w:shd w:val="clear" w:color="000000" w:fill="DBE5F1"/>
            <w:noWrap/>
            <w:vAlign w:val="bottom"/>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 xml:space="preserve">Exceptions </w:t>
            </w:r>
          </w:p>
        </w:tc>
        <w:tc>
          <w:tcPr>
            <w:tcW w:w="1212" w:type="dxa"/>
            <w:tcBorders>
              <w:top w:val="single" w:sz="8" w:space="0" w:color="auto"/>
              <w:left w:val="nil"/>
              <w:bottom w:val="single" w:sz="8" w:space="0" w:color="auto"/>
              <w:right w:val="nil"/>
            </w:tcBorders>
            <w:shd w:val="clear" w:color="000000" w:fill="DBE5F1"/>
            <w:noWrap/>
            <w:vAlign w:val="bottom"/>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2012-2013</w:t>
            </w:r>
          </w:p>
        </w:tc>
        <w:tc>
          <w:tcPr>
            <w:tcW w:w="1212" w:type="dxa"/>
            <w:tcBorders>
              <w:top w:val="single" w:sz="8" w:space="0" w:color="auto"/>
              <w:left w:val="nil"/>
              <w:bottom w:val="single" w:sz="8" w:space="0" w:color="auto"/>
              <w:right w:val="nil"/>
            </w:tcBorders>
            <w:shd w:val="clear" w:color="000000" w:fill="DBE5F1"/>
            <w:noWrap/>
            <w:vAlign w:val="bottom"/>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2013-2014</w:t>
            </w:r>
          </w:p>
        </w:tc>
        <w:tc>
          <w:tcPr>
            <w:tcW w:w="1337" w:type="dxa"/>
            <w:tcBorders>
              <w:top w:val="single" w:sz="8" w:space="0" w:color="auto"/>
              <w:left w:val="nil"/>
              <w:bottom w:val="single" w:sz="8" w:space="0" w:color="auto"/>
              <w:right w:val="single" w:sz="8" w:space="0" w:color="auto"/>
            </w:tcBorders>
            <w:shd w:val="clear" w:color="000000" w:fill="DBE5F1"/>
            <w:noWrap/>
            <w:vAlign w:val="bottom"/>
            <w:hideMark/>
          </w:tcPr>
          <w:p w:rsidR="00CF07A2" w:rsidRPr="00D5581F" w:rsidRDefault="00CF07A2" w:rsidP="00CF07A2">
            <w:pPr>
              <w:spacing w:after="0" w:line="240" w:lineRule="auto"/>
              <w:jc w:val="center"/>
              <w:rPr>
                <w:rFonts w:ascii="Calibri" w:eastAsia="Times New Roman" w:hAnsi="Calibri" w:cs="Times New Roman"/>
                <w:b/>
                <w:bCs/>
                <w:color w:val="000000"/>
                <w:lang w:val="fr-CA"/>
              </w:rPr>
            </w:pPr>
            <w:r w:rsidRPr="00D5581F">
              <w:rPr>
                <w:rFonts w:ascii="Calibri" w:eastAsia="Times New Roman" w:hAnsi="Calibri" w:cs="Times New Roman"/>
                <w:b/>
                <w:bCs/>
                <w:color w:val="000000"/>
                <w:lang w:val="fr-CA"/>
              </w:rPr>
              <w:t>2014-2015</w:t>
            </w:r>
          </w:p>
        </w:tc>
      </w:tr>
      <w:tr w:rsidR="00CF07A2" w:rsidRPr="00D5581F" w:rsidTr="00CF07A2">
        <w:trPr>
          <w:trHeight w:val="224"/>
        </w:trPr>
        <w:tc>
          <w:tcPr>
            <w:tcW w:w="6069" w:type="dxa"/>
            <w:tcBorders>
              <w:top w:val="nil"/>
              <w:left w:val="single" w:sz="8" w:space="0" w:color="auto"/>
              <w:bottom w:val="nil"/>
              <w:right w:val="nil"/>
            </w:tcBorders>
            <w:shd w:val="clear" w:color="auto" w:fill="auto"/>
            <w:noWrap/>
            <w:vAlign w:val="bottom"/>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Nombre total d’exceptions</w:t>
            </w:r>
          </w:p>
        </w:tc>
        <w:tc>
          <w:tcPr>
            <w:tcW w:w="1212" w:type="dxa"/>
            <w:tcBorders>
              <w:top w:val="nil"/>
              <w:left w:val="nil"/>
              <w:bottom w:val="nil"/>
              <w:right w:val="nil"/>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2 015</w:t>
            </w:r>
          </w:p>
        </w:tc>
        <w:tc>
          <w:tcPr>
            <w:tcW w:w="1212" w:type="dxa"/>
            <w:tcBorders>
              <w:top w:val="nil"/>
              <w:left w:val="nil"/>
              <w:bottom w:val="nil"/>
              <w:right w:val="nil"/>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2 870</w:t>
            </w:r>
          </w:p>
        </w:tc>
        <w:tc>
          <w:tcPr>
            <w:tcW w:w="1337" w:type="dxa"/>
            <w:tcBorders>
              <w:top w:val="nil"/>
              <w:left w:val="nil"/>
              <w:bottom w:val="nil"/>
              <w:right w:val="single" w:sz="8" w:space="0" w:color="auto"/>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2 045</w:t>
            </w:r>
          </w:p>
        </w:tc>
      </w:tr>
      <w:tr w:rsidR="00CF07A2" w:rsidRPr="00D5581F" w:rsidTr="00CF07A2">
        <w:trPr>
          <w:trHeight w:val="224"/>
        </w:trPr>
        <w:tc>
          <w:tcPr>
            <w:tcW w:w="6069" w:type="dxa"/>
            <w:tcBorders>
              <w:top w:val="nil"/>
              <w:left w:val="single" w:sz="8" w:space="0" w:color="auto"/>
              <w:bottom w:val="nil"/>
              <w:right w:val="nil"/>
            </w:tcBorders>
            <w:shd w:val="clear" w:color="auto" w:fill="auto"/>
            <w:noWrap/>
            <w:vAlign w:val="bottom"/>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Nombre total de demandes complétées</w:t>
            </w:r>
          </w:p>
        </w:tc>
        <w:tc>
          <w:tcPr>
            <w:tcW w:w="1212" w:type="dxa"/>
            <w:tcBorders>
              <w:top w:val="nil"/>
              <w:left w:val="nil"/>
              <w:bottom w:val="nil"/>
              <w:right w:val="nil"/>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1 839</w:t>
            </w:r>
          </w:p>
        </w:tc>
        <w:tc>
          <w:tcPr>
            <w:tcW w:w="1212" w:type="dxa"/>
            <w:tcBorders>
              <w:top w:val="nil"/>
              <w:left w:val="nil"/>
              <w:bottom w:val="nil"/>
              <w:right w:val="nil"/>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2 219</w:t>
            </w:r>
          </w:p>
        </w:tc>
        <w:tc>
          <w:tcPr>
            <w:tcW w:w="1337" w:type="dxa"/>
            <w:tcBorders>
              <w:top w:val="nil"/>
              <w:left w:val="nil"/>
              <w:bottom w:val="nil"/>
              <w:right w:val="single" w:sz="8" w:space="0" w:color="auto"/>
            </w:tcBorders>
            <w:shd w:val="clear" w:color="auto" w:fill="auto"/>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2 015</w:t>
            </w:r>
          </w:p>
        </w:tc>
      </w:tr>
      <w:tr w:rsidR="00CF07A2" w:rsidRPr="00D5581F" w:rsidTr="00CF07A2">
        <w:trPr>
          <w:trHeight w:val="235"/>
        </w:trPr>
        <w:tc>
          <w:tcPr>
            <w:tcW w:w="6069" w:type="dxa"/>
            <w:tcBorders>
              <w:top w:val="nil"/>
              <w:left w:val="single" w:sz="8" w:space="0" w:color="auto"/>
              <w:bottom w:val="single" w:sz="8" w:space="0" w:color="auto"/>
              <w:right w:val="nil"/>
            </w:tcBorders>
            <w:shd w:val="clear" w:color="000000" w:fill="DBE5F1"/>
            <w:noWrap/>
            <w:vAlign w:val="bottom"/>
            <w:hideMark/>
          </w:tcPr>
          <w:p w:rsidR="00CF07A2" w:rsidRPr="00D5581F" w:rsidRDefault="00CF07A2" w:rsidP="00CF07A2">
            <w:pPr>
              <w:spacing w:after="0" w:line="240" w:lineRule="auto"/>
              <w:rPr>
                <w:rFonts w:ascii="Calibri" w:eastAsia="Times New Roman" w:hAnsi="Calibri" w:cs="Times New Roman"/>
                <w:color w:val="000000"/>
                <w:lang w:val="fr-CA"/>
              </w:rPr>
            </w:pPr>
            <w:r w:rsidRPr="00D5581F">
              <w:rPr>
                <w:rFonts w:ascii="Calibri" w:eastAsia="Times New Roman" w:hAnsi="Calibri" w:cs="Times New Roman"/>
                <w:color w:val="000000"/>
                <w:lang w:val="fr-CA"/>
              </w:rPr>
              <w:t>Nombre moyen d’exceptions par demande complétée</w:t>
            </w:r>
          </w:p>
        </w:tc>
        <w:tc>
          <w:tcPr>
            <w:tcW w:w="1212" w:type="dxa"/>
            <w:tcBorders>
              <w:top w:val="nil"/>
              <w:left w:val="nil"/>
              <w:bottom w:val="single" w:sz="8" w:space="0" w:color="auto"/>
              <w:right w:val="nil"/>
            </w:tcBorders>
            <w:shd w:val="clear" w:color="000000" w:fill="DBE5F1"/>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1,10</w:t>
            </w:r>
          </w:p>
        </w:tc>
        <w:tc>
          <w:tcPr>
            <w:tcW w:w="1212" w:type="dxa"/>
            <w:tcBorders>
              <w:top w:val="nil"/>
              <w:left w:val="nil"/>
              <w:bottom w:val="single" w:sz="8" w:space="0" w:color="auto"/>
              <w:right w:val="nil"/>
            </w:tcBorders>
            <w:shd w:val="clear" w:color="000000" w:fill="DBE5F1"/>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1,29</w:t>
            </w:r>
          </w:p>
        </w:tc>
        <w:tc>
          <w:tcPr>
            <w:tcW w:w="1337" w:type="dxa"/>
            <w:tcBorders>
              <w:top w:val="nil"/>
              <w:left w:val="nil"/>
              <w:bottom w:val="single" w:sz="8" w:space="0" w:color="auto"/>
              <w:right w:val="single" w:sz="8" w:space="0" w:color="auto"/>
            </w:tcBorders>
            <w:shd w:val="clear" w:color="000000" w:fill="DBE5F1"/>
            <w:noWrap/>
            <w:vAlign w:val="bottom"/>
            <w:hideMark/>
          </w:tcPr>
          <w:p w:rsidR="00CF07A2" w:rsidRPr="00D5581F" w:rsidRDefault="00CF07A2" w:rsidP="00CF07A2">
            <w:pPr>
              <w:spacing w:after="0" w:line="240" w:lineRule="auto"/>
              <w:jc w:val="center"/>
              <w:rPr>
                <w:rFonts w:ascii="Calibri" w:eastAsia="Times New Roman" w:hAnsi="Calibri" w:cs="Times New Roman"/>
                <w:color w:val="000000"/>
                <w:lang w:val="fr-CA"/>
              </w:rPr>
            </w:pPr>
            <w:r w:rsidRPr="00D5581F">
              <w:rPr>
                <w:rFonts w:ascii="Calibri" w:eastAsia="Times New Roman" w:hAnsi="Calibri" w:cs="Times New Roman"/>
                <w:color w:val="000000"/>
                <w:lang w:val="fr-CA"/>
              </w:rPr>
              <w:t>1,01</w:t>
            </w:r>
          </w:p>
        </w:tc>
      </w:tr>
    </w:tbl>
    <w:p w:rsidR="00CF07A2" w:rsidRPr="00E44EC4" w:rsidRDefault="00CF07A2" w:rsidP="00CF07A2">
      <w:pPr>
        <w:pStyle w:val="Heading2"/>
        <w:spacing w:before="240"/>
      </w:pPr>
      <w:r w:rsidRPr="00E44EC4">
        <w:t>Plaintes au Commissariat à l’information</w:t>
      </w:r>
    </w:p>
    <w:p w:rsidR="00CF07A2" w:rsidRDefault="00CF07A2" w:rsidP="00CF07A2">
      <w:pPr>
        <w:jc w:val="both"/>
        <w:rPr>
          <w:lang w:val="fr-CA"/>
        </w:rPr>
      </w:pPr>
      <w:r w:rsidRPr="00D5581F">
        <w:rPr>
          <w:lang w:val="fr-CA"/>
        </w:rPr>
        <w:t>Le nombre de plaintes reçues</w:t>
      </w:r>
      <w:r>
        <w:rPr>
          <w:rStyle w:val="FootnoteReference"/>
          <w:lang w:val="fr-CA"/>
        </w:rPr>
        <w:footnoteReference w:id="23"/>
      </w:r>
      <w:r w:rsidRPr="00D5581F">
        <w:rPr>
          <w:lang w:val="fr-CA"/>
        </w:rPr>
        <w:t xml:space="preserve"> concernant le MDN a diminué de 119  en 2</w:t>
      </w:r>
      <w:r>
        <w:rPr>
          <w:lang w:val="fr-CA"/>
        </w:rPr>
        <w:t>013</w:t>
      </w:r>
      <w:r>
        <w:rPr>
          <w:lang w:val="fr-CA"/>
        </w:rPr>
        <w:softHyphen/>
      </w:r>
      <w:r>
        <w:rPr>
          <w:lang w:val="fr-CA"/>
        </w:rPr>
        <w:noBreakHyphen/>
        <w:t>2014 à 117 en 2014</w:t>
      </w:r>
      <w:r>
        <w:rPr>
          <w:lang w:val="fr-CA"/>
        </w:rPr>
        <w:noBreakHyphen/>
        <w:t xml:space="preserve">2015. </w:t>
      </w:r>
      <w:r w:rsidRPr="00D5581F">
        <w:rPr>
          <w:lang w:val="fr-CA"/>
        </w:rPr>
        <w:t>La majeure partie des plaintes reçues étaient attribuables à des refus avec 74,3 %. Le nombre de plaintes de nature administrative a diminué de 34,4 % en 2013-2014 à 25,6 % en 2014-2015</w:t>
      </w:r>
      <w:r>
        <w:rPr>
          <w:lang w:val="fr-CA"/>
        </w:rPr>
        <w:t>.</w:t>
      </w:r>
    </w:p>
    <w:p w:rsidR="00CF07A2" w:rsidRPr="00933057" w:rsidRDefault="00CF07A2" w:rsidP="00CF07A2">
      <w:pPr>
        <w:jc w:val="both"/>
        <w:rPr>
          <w:lang w:val="fr-CA"/>
        </w:rPr>
      </w:pPr>
      <w:r w:rsidRPr="00D5581F">
        <w:rPr>
          <w:lang w:val="fr-CA"/>
        </w:rPr>
        <w:lastRenderedPageBreak/>
        <w:t xml:space="preserve">Il y a eu une augmentation de 26 plaintes fondées par rapport à l’année précédente. Il y avait 18 plaintes qui n’étaient pas fondées, 25 qui ont été abandonnées et 41 plaintes </w:t>
      </w:r>
      <w:r>
        <w:rPr>
          <w:lang w:val="fr-CA"/>
        </w:rPr>
        <w:t>étaient encore en suspens.</w:t>
      </w:r>
    </w:p>
    <w:p w:rsidR="00CF07A2" w:rsidRDefault="00CF07A2">
      <w:pPr>
        <w:rPr>
          <w:lang w:val="fr-CA"/>
        </w:rPr>
      </w:pPr>
      <w:r>
        <w:rPr>
          <w:lang w:val="fr-CA"/>
        </w:rPr>
        <w:br w:type="page"/>
      </w:r>
    </w:p>
    <w:p w:rsidR="00CF07A2" w:rsidRPr="007C44F5" w:rsidRDefault="00CF07A2" w:rsidP="00CF07A2">
      <w:pPr>
        <w:pStyle w:val="Heading1"/>
      </w:pPr>
      <w:r w:rsidRPr="007C44F5">
        <w:lastRenderedPageBreak/>
        <w:t>Santé Canada</w:t>
      </w:r>
    </w:p>
    <w:p w:rsidR="00CF07A2" w:rsidRPr="007C44F5" w:rsidRDefault="00CF07A2" w:rsidP="00CF07A2">
      <w:pPr>
        <w:jc w:val="both"/>
        <w:rPr>
          <w:b/>
          <w:lang w:val="fr-CA"/>
        </w:rPr>
      </w:pPr>
      <w:r w:rsidRPr="007C44F5">
        <w:rPr>
          <w:rStyle w:val="Heading2Char"/>
        </w:rPr>
        <w:t>Rendement global</w:t>
      </w:r>
      <w:r w:rsidRPr="00666937">
        <w:rPr>
          <w:rStyle w:val="FootnoteReference"/>
          <w:b/>
          <w:lang w:val="fr-CA"/>
        </w:rPr>
        <w:footnoteReference w:id="24"/>
      </w:r>
    </w:p>
    <w:p w:rsidR="00CF07A2" w:rsidRPr="00666937" w:rsidRDefault="00CF07A2" w:rsidP="00CF07A2">
      <w:pPr>
        <w:jc w:val="both"/>
        <w:rPr>
          <w:lang w:val="fr-CA"/>
        </w:rPr>
      </w:pPr>
      <w:r w:rsidRPr="00666937">
        <w:rPr>
          <w:lang w:val="fr-CA"/>
        </w:rPr>
        <w:t>Santé Canada (SC) a amélioré son pourcentage de demandes complétées en 30 jours ou moins de 3,5 %. Le présent rapport contient des statistiques comparatives pour les trois dernières périodes (2012 à 2015).</w:t>
      </w:r>
    </w:p>
    <w:p w:rsidR="00CF07A2" w:rsidRPr="007C44F5" w:rsidRDefault="00CF07A2" w:rsidP="00CF07A2">
      <w:pPr>
        <w:pStyle w:val="Heading2"/>
      </w:pPr>
      <w:r w:rsidRPr="007C44F5">
        <w:t>Charge de travail</w:t>
      </w:r>
    </w:p>
    <w:p w:rsidR="00CF07A2" w:rsidRPr="00666937" w:rsidRDefault="00CF07A2" w:rsidP="00CF07A2">
      <w:pPr>
        <w:jc w:val="both"/>
        <w:rPr>
          <w:lang w:val="fr-CA"/>
        </w:rPr>
      </w:pPr>
      <w:r w:rsidRPr="00666937">
        <w:rPr>
          <w:lang w:val="fr-CA"/>
        </w:rPr>
        <w:t xml:space="preserve">SC a reçu 1 569 demandes en vertu de la </w:t>
      </w:r>
      <w:r w:rsidRPr="00666937">
        <w:rPr>
          <w:i/>
          <w:lang w:val="fr-CA"/>
        </w:rPr>
        <w:t>Loi sur l’accès à l‘information</w:t>
      </w:r>
      <w:r w:rsidRPr="00666937">
        <w:rPr>
          <w:lang w:val="fr-CA"/>
        </w:rPr>
        <w:t xml:space="preserve"> (la </w:t>
      </w:r>
      <w:r w:rsidRPr="00666937">
        <w:rPr>
          <w:i/>
          <w:lang w:val="fr-CA"/>
        </w:rPr>
        <w:t>Loi</w:t>
      </w:r>
      <w:r w:rsidRPr="00666937">
        <w:rPr>
          <w:lang w:val="fr-CA"/>
        </w:rPr>
        <w:t>), représentant 2,3 % du nombre total de demandes reçues à l’échelle du gouvernement en 2014</w:t>
      </w:r>
      <w:r w:rsidRPr="00666937">
        <w:rPr>
          <w:lang w:val="fr-CA"/>
        </w:rPr>
        <w:noBreakHyphen/>
        <w:t>2015. En 2013</w:t>
      </w:r>
      <w:r w:rsidRPr="00666937">
        <w:rPr>
          <w:lang w:val="fr-CA"/>
        </w:rPr>
        <w:noBreakHyphen/>
        <w:t>2014, SC a reçu un nombre</w:t>
      </w:r>
      <w:r>
        <w:rPr>
          <w:lang w:val="fr-CA"/>
        </w:rPr>
        <w:t xml:space="preserve"> similaire de demandes (1 563).</w:t>
      </w:r>
    </w:p>
    <w:p w:rsidR="00CF07A2" w:rsidRPr="00666937" w:rsidRDefault="00CF07A2" w:rsidP="00CF07A2">
      <w:pPr>
        <w:jc w:val="both"/>
        <w:rPr>
          <w:lang w:val="fr-CA"/>
        </w:rPr>
      </w:pPr>
      <w:r w:rsidRPr="00666937">
        <w:rPr>
          <w:lang w:val="fr-CA"/>
        </w:rPr>
        <w:t>La plupart des demandes reçues par SC provenaient du secteur privé (53,3 %), suivies des demandes du public (25</w:t>
      </w:r>
      <w:r>
        <w:rPr>
          <w:lang w:val="fr-CA"/>
        </w:rPr>
        <w:t xml:space="preserve">,0 </w:t>
      </w:r>
      <w:r w:rsidRPr="00666937">
        <w:rPr>
          <w:lang w:val="fr-CA"/>
        </w:rPr>
        <w:t>%). On a observé une diminution de 18</w:t>
      </w:r>
      <w:r>
        <w:rPr>
          <w:lang w:val="fr-CA"/>
        </w:rPr>
        <w:t xml:space="preserve">,0 </w:t>
      </w:r>
      <w:r w:rsidRPr="00666937">
        <w:rPr>
          <w:lang w:val="fr-CA"/>
        </w:rPr>
        <w:t>% du nombre de demandes provenant des organisations par rapport à la dernière période</w:t>
      </w:r>
      <w:r>
        <w:rPr>
          <w:lang w:val="fr-CA"/>
        </w:rPr>
        <w:t>.</w:t>
      </w:r>
    </w:p>
    <w:p w:rsidR="00CF07A2" w:rsidRPr="00666937" w:rsidRDefault="00CF07A2" w:rsidP="00CF07A2">
      <w:pPr>
        <w:jc w:val="both"/>
        <w:rPr>
          <w:lang w:val="fr-CA"/>
        </w:rPr>
      </w:pPr>
      <w:r w:rsidRPr="00666937">
        <w:rPr>
          <w:lang w:val="fr-CA"/>
        </w:rPr>
        <w:t>SC a complété 1 420 demandes pour cette période de référence. Le taux d’achèvement</w:t>
      </w:r>
      <w:r w:rsidRPr="00666937">
        <w:rPr>
          <w:rStyle w:val="FootnoteReference"/>
          <w:lang w:val="fr-CA"/>
        </w:rPr>
        <w:footnoteReference w:id="25"/>
      </w:r>
      <w:r w:rsidRPr="00666937">
        <w:rPr>
          <w:lang w:val="fr-CA"/>
        </w:rPr>
        <w:t xml:space="preserve"> était de 62,5 %, soit inférieur à celui rapporté pour l’ensemble du gouvernemen</w:t>
      </w:r>
      <w:r>
        <w:rPr>
          <w:lang w:val="fr-CA"/>
        </w:rPr>
        <w:t>t (</w:t>
      </w:r>
      <w:r w:rsidRPr="00666937">
        <w:rPr>
          <w:lang w:val="fr-CA"/>
        </w:rPr>
        <w:t>85,1 %</w:t>
      </w:r>
      <w:r>
        <w:rPr>
          <w:lang w:val="fr-CA"/>
        </w:rPr>
        <w:t>)</w:t>
      </w:r>
      <w:r w:rsidRPr="00666937">
        <w:rPr>
          <w:lang w:val="fr-CA"/>
        </w:rPr>
        <w:t>. En 2013</w:t>
      </w:r>
      <w:r w:rsidRPr="00666937">
        <w:rPr>
          <w:lang w:val="fr-CA"/>
        </w:rPr>
        <w:noBreakHyphen/>
        <w:t>2014, le taux d’achèvement pour SC était de 67,3 %. SC a aussi reçu 314 demandes informelles, dont 27,3 % qui ont été complétées en 30 jours ou moins. Le nombre de demandes de consultation reçues par SC en provenance d’autres institutions fédérales a augmenté de 154 à 160, ce qui représente une hausse de</w:t>
      </w:r>
      <w:r>
        <w:rPr>
          <w:lang w:val="fr-CA"/>
        </w:rPr>
        <w:t xml:space="preserve"> 3,9 % par rapport à 2013</w:t>
      </w:r>
      <w:r>
        <w:rPr>
          <w:lang w:val="fr-CA"/>
        </w:rPr>
        <w:noBreakHyphen/>
        <w:t>2014.</w:t>
      </w:r>
    </w:p>
    <w:p w:rsidR="00CF07A2" w:rsidRPr="00666937" w:rsidRDefault="00CF07A2" w:rsidP="00CF07A2">
      <w:pPr>
        <w:jc w:val="both"/>
        <w:rPr>
          <w:lang w:val="fr-CA"/>
        </w:rPr>
      </w:pPr>
      <w:r w:rsidRPr="00666937">
        <w:rPr>
          <w:lang w:val="fr-CA"/>
        </w:rPr>
        <w:t>En 2014</w:t>
      </w:r>
      <w:r w:rsidRPr="00666937">
        <w:rPr>
          <w:lang w:val="fr-CA"/>
        </w:rPr>
        <w:noBreakHyphen/>
        <w:t>2015, SC a traité 205 132 pages. Le nombre moyen de pages traitées par demande complétée a diminué de 167 en 2013-2014 à 165 en 2014-2015</w:t>
      </w:r>
      <w:r>
        <w:rPr>
          <w:lang w:val="fr-CA"/>
        </w:rPr>
        <w:t>.</w:t>
      </w:r>
    </w:p>
    <w:p w:rsidR="00CF07A2" w:rsidRDefault="00CF07A2" w:rsidP="00CF07A2">
      <w:pPr>
        <w:contextualSpacing/>
        <w:jc w:val="both"/>
        <w:rPr>
          <w:lang w:val="fr-CA"/>
        </w:rPr>
      </w:pPr>
      <w:r w:rsidRPr="00666937">
        <w:rPr>
          <w:lang w:val="fr-CA"/>
        </w:rPr>
        <w:t>L’information diffusée par SC était majoritairement en format papier : 629 demandes en format papier et 246 demandes en format électronique. Ces résultats sont similaires à ceux observés lors de l’année précédente (7</w:t>
      </w:r>
      <w:r>
        <w:rPr>
          <w:lang w:val="fr-CA"/>
        </w:rPr>
        <w:t xml:space="preserve">32 demandes en format papier par rapport à </w:t>
      </w:r>
      <w:r w:rsidRPr="00666937">
        <w:rPr>
          <w:lang w:val="fr-CA"/>
        </w:rPr>
        <w:t>246 demandes en format électronique)</w:t>
      </w:r>
      <w:r>
        <w:rPr>
          <w:lang w:val="fr-CA"/>
        </w:rPr>
        <w:t>.</w:t>
      </w:r>
    </w:p>
    <w:p w:rsidR="00CF07A2" w:rsidRPr="007C44F5" w:rsidRDefault="00CF07A2" w:rsidP="00BA2BE8">
      <w:pPr>
        <w:pStyle w:val="Heading3"/>
      </w:pPr>
      <w:r w:rsidRPr="007C44F5">
        <w:t xml:space="preserve">Tableau </w:t>
      </w:r>
      <w:proofErr w:type="gramStart"/>
      <w:r w:rsidRPr="007C44F5">
        <w:t>1 :</w:t>
      </w:r>
      <w:proofErr w:type="gramEnd"/>
      <w:r w:rsidRPr="007C44F5">
        <w:t xml:space="preserve"> Charge de travail</w:t>
      </w:r>
    </w:p>
    <w:tbl>
      <w:tblPr>
        <w:tblW w:w="9451" w:type="dxa"/>
        <w:tblInd w:w="98" w:type="dxa"/>
        <w:tblLook w:val="04A0"/>
      </w:tblPr>
      <w:tblGrid>
        <w:gridCol w:w="5434"/>
        <w:gridCol w:w="1339"/>
        <w:gridCol w:w="1339"/>
        <w:gridCol w:w="1339"/>
      </w:tblGrid>
      <w:tr w:rsidR="00CF07A2" w:rsidRPr="007C44F5" w:rsidTr="00CF07A2">
        <w:trPr>
          <w:trHeight w:val="258"/>
        </w:trPr>
        <w:tc>
          <w:tcPr>
            <w:tcW w:w="5434" w:type="dxa"/>
            <w:tcBorders>
              <w:top w:val="single" w:sz="4" w:space="0" w:color="auto"/>
              <w:left w:val="single" w:sz="4" w:space="0" w:color="auto"/>
              <w:bottom w:val="single" w:sz="8" w:space="0" w:color="auto"/>
              <w:right w:val="nil"/>
            </w:tcBorders>
            <w:shd w:val="clear" w:color="auto" w:fill="auto"/>
            <w:noWrap/>
            <w:vAlign w:val="bottom"/>
            <w:hideMark/>
          </w:tcPr>
          <w:p w:rsidR="00CF07A2" w:rsidRPr="00666937" w:rsidRDefault="00CF07A2" w:rsidP="00CF07A2">
            <w:pPr>
              <w:spacing w:after="0" w:line="240" w:lineRule="auto"/>
              <w:contextualSpacing/>
              <w:rPr>
                <w:rFonts w:ascii="Calibri" w:eastAsia="Times New Roman" w:hAnsi="Calibri" w:cs="Times New Roman"/>
                <w:color w:val="000000"/>
                <w:lang w:val="fr-CA"/>
              </w:rPr>
            </w:pPr>
            <w:r w:rsidRPr="00666937">
              <w:rPr>
                <w:rFonts w:ascii="Calibri" w:eastAsia="Times New Roman" w:hAnsi="Calibri" w:cs="Times New Roman"/>
                <w:color w:val="000000"/>
                <w:lang w:val="fr-CA"/>
              </w:rPr>
              <w:t xml:space="preserve">Mesures </w:t>
            </w:r>
          </w:p>
        </w:tc>
        <w:tc>
          <w:tcPr>
            <w:tcW w:w="1339" w:type="dxa"/>
            <w:tcBorders>
              <w:top w:val="single" w:sz="4" w:space="0" w:color="auto"/>
              <w:left w:val="nil"/>
              <w:bottom w:val="single" w:sz="8" w:space="0" w:color="auto"/>
              <w:right w:val="nil"/>
            </w:tcBorders>
            <w:shd w:val="clear" w:color="auto" w:fill="auto"/>
            <w:noWrap/>
            <w:vAlign w:val="bottom"/>
            <w:hideMark/>
          </w:tcPr>
          <w:p w:rsidR="00CF07A2" w:rsidRPr="00666937" w:rsidRDefault="00CF07A2" w:rsidP="00CF07A2">
            <w:pPr>
              <w:spacing w:after="0" w:line="240" w:lineRule="auto"/>
              <w:contextualSpacing/>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2012-2013</w:t>
            </w:r>
          </w:p>
        </w:tc>
        <w:tc>
          <w:tcPr>
            <w:tcW w:w="1339" w:type="dxa"/>
            <w:tcBorders>
              <w:top w:val="single" w:sz="4" w:space="0" w:color="auto"/>
              <w:left w:val="nil"/>
              <w:bottom w:val="single" w:sz="8" w:space="0" w:color="auto"/>
              <w:right w:val="nil"/>
            </w:tcBorders>
            <w:shd w:val="clear" w:color="auto" w:fill="auto"/>
            <w:noWrap/>
            <w:vAlign w:val="bottom"/>
            <w:hideMark/>
          </w:tcPr>
          <w:p w:rsidR="00CF07A2" w:rsidRPr="00666937" w:rsidRDefault="00CF07A2" w:rsidP="00CF07A2">
            <w:pPr>
              <w:spacing w:after="0" w:line="240" w:lineRule="auto"/>
              <w:contextualSpacing/>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2013-2014</w:t>
            </w:r>
          </w:p>
        </w:tc>
        <w:tc>
          <w:tcPr>
            <w:tcW w:w="1339" w:type="dxa"/>
            <w:tcBorders>
              <w:top w:val="single" w:sz="4" w:space="0" w:color="auto"/>
              <w:left w:val="nil"/>
              <w:bottom w:val="single" w:sz="8" w:space="0" w:color="auto"/>
              <w:right w:val="single" w:sz="4" w:space="0" w:color="auto"/>
            </w:tcBorders>
            <w:shd w:val="clear" w:color="auto" w:fill="auto"/>
            <w:noWrap/>
            <w:vAlign w:val="bottom"/>
            <w:hideMark/>
          </w:tcPr>
          <w:p w:rsidR="00CF07A2" w:rsidRPr="00666937" w:rsidRDefault="00CF07A2" w:rsidP="00CF07A2">
            <w:pPr>
              <w:spacing w:after="0" w:line="240" w:lineRule="auto"/>
              <w:contextualSpacing/>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2014-2015</w:t>
            </w:r>
          </w:p>
        </w:tc>
      </w:tr>
      <w:tr w:rsidR="00CF07A2" w:rsidRPr="007C44F5" w:rsidTr="00CF07A2">
        <w:trPr>
          <w:trHeight w:val="246"/>
        </w:trPr>
        <w:tc>
          <w:tcPr>
            <w:tcW w:w="5434" w:type="dxa"/>
            <w:tcBorders>
              <w:top w:val="nil"/>
              <w:left w:val="single" w:sz="4" w:space="0" w:color="auto"/>
              <w:bottom w:val="nil"/>
              <w:right w:val="nil"/>
            </w:tcBorders>
            <w:shd w:val="clear" w:color="000000" w:fill="DBE5F1"/>
            <w:noWrap/>
            <w:hideMark/>
          </w:tcPr>
          <w:p w:rsidR="00CF07A2" w:rsidRPr="00666937" w:rsidRDefault="00CF07A2" w:rsidP="00CF07A2">
            <w:pPr>
              <w:spacing w:after="0" w:line="240" w:lineRule="auto"/>
              <w:contextualSpacing/>
              <w:rPr>
                <w:rFonts w:ascii="Calibri" w:eastAsia="Times New Roman" w:hAnsi="Calibri" w:cs="Times New Roman"/>
                <w:color w:val="000000"/>
                <w:lang w:val="fr-CA"/>
              </w:rPr>
            </w:pPr>
            <w:r w:rsidRPr="00666937">
              <w:rPr>
                <w:rFonts w:ascii="Calibri" w:eastAsia="Times New Roman" w:hAnsi="Calibri" w:cs="Times New Roman"/>
                <w:color w:val="000000"/>
                <w:lang w:val="fr-CA"/>
              </w:rPr>
              <w:t xml:space="preserve">Nombre de demandes reçues </w:t>
            </w:r>
          </w:p>
        </w:tc>
        <w:tc>
          <w:tcPr>
            <w:tcW w:w="1339" w:type="dxa"/>
            <w:tcBorders>
              <w:top w:val="nil"/>
              <w:left w:val="nil"/>
              <w:bottom w:val="nil"/>
              <w:right w:val="nil"/>
            </w:tcBorders>
            <w:shd w:val="clear" w:color="000000" w:fill="DBE5F1"/>
            <w:noWrap/>
            <w:vAlign w:val="center"/>
            <w:hideMark/>
          </w:tcPr>
          <w:p w:rsidR="00CF07A2" w:rsidRPr="00666937" w:rsidRDefault="00CF07A2" w:rsidP="00CF07A2">
            <w:pPr>
              <w:spacing w:after="0" w:line="240" w:lineRule="auto"/>
              <w:contextualSpacing/>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1 765</w:t>
            </w:r>
          </w:p>
        </w:tc>
        <w:tc>
          <w:tcPr>
            <w:tcW w:w="1339" w:type="dxa"/>
            <w:tcBorders>
              <w:top w:val="nil"/>
              <w:left w:val="nil"/>
              <w:bottom w:val="nil"/>
              <w:right w:val="nil"/>
            </w:tcBorders>
            <w:shd w:val="clear" w:color="000000" w:fill="DBE5F1"/>
            <w:noWrap/>
            <w:vAlign w:val="center"/>
            <w:hideMark/>
          </w:tcPr>
          <w:p w:rsidR="00CF07A2" w:rsidRPr="00666937" w:rsidRDefault="00CF07A2" w:rsidP="00CF07A2">
            <w:pPr>
              <w:spacing w:after="0" w:line="240" w:lineRule="auto"/>
              <w:contextualSpacing/>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1 563</w:t>
            </w:r>
          </w:p>
        </w:tc>
        <w:tc>
          <w:tcPr>
            <w:tcW w:w="1339" w:type="dxa"/>
            <w:tcBorders>
              <w:top w:val="nil"/>
              <w:left w:val="nil"/>
              <w:bottom w:val="nil"/>
              <w:right w:val="single" w:sz="4" w:space="0" w:color="auto"/>
            </w:tcBorders>
            <w:shd w:val="clear" w:color="000000" w:fill="DBE5F1"/>
            <w:noWrap/>
            <w:vAlign w:val="center"/>
            <w:hideMark/>
          </w:tcPr>
          <w:p w:rsidR="00CF07A2" w:rsidRPr="00666937" w:rsidRDefault="00CF07A2" w:rsidP="00CF07A2">
            <w:pPr>
              <w:spacing w:after="0" w:line="240" w:lineRule="auto"/>
              <w:contextualSpacing/>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1 569</w:t>
            </w:r>
          </w:p>
        </w:tc>
      </w:tr>
      <w:tr w:rsidR="00CF07A2" w:rsidRPr="007C44F5" w:rsidTr="00CF07A2">
        <w:trPr>
          <w:trHeight w:val="246"/>
        </w:trPr>
        <w:tc>
          <w:tcPr>
            <w:tcW w:w="5434" w:type="dxa"/>
            <w:tcBorders>
              <w:top w:val="nil"/>
              <w:left w:val="single" w:sz="4" w:space="0" w:color="auto"/>
              <w:bottom w:val="nil"/>
              <w:right w:val="nil"/>
            </w:tcBorders>
            <w:shd w:val="clear" w:color="auto" w:fill="auto"/>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Variation annuelle en %</w:t>
            </w:r>
          </w:p>
        </w:tc>
        <w:tc>
          <w:tcPr>
            <w:tcW w:w="1339" w:type="dxa"/>
            <w:tcBorders>
              <w:top w:val="nil"/>
              <w:left w:val="nil"/>
              <w:bottom w:val="nil"/>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w:t>
            </w:r>
          </w:p>
        </w:tc>
        <w:tc>
          <w:tcPr>
            <w:tcW w:w="1339" w:type="dxa"/>
            <w:tcBorders>
              <w:top w:val="nil"/>
              <w:left w:val="nil"/>
              <w:bottom w:val="nil"/>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-11,4 %</w:t>
            </w:r>
          </w:p>
        </w:tc>
        <w:tc>
          <w:tcPr>
            <w:tcW w:w="1339" w:type="dxa"/>
            <w:tcBorders>
              <w:top w:val="nil"/>
              <w:left w:val="nil"/>
              <w:bottom w:val="nil"/>
              <w:right w:val="single" w:sz="4" w:space="0" w:color="auto"/>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0,4 %</w:t>
            </w:r>
          </w:p>
        </w:tc>
      </w:tr>
      <w:tr w:rsidR="00CF07A2" w:rsidRPr="00666937" w:rsidTr="00CF07A2">
        <w:trPr>
          <w:trHeight w:val="246"/>
        </w:trPr>
        <w:tc>
          <w:tcPr>
            <w:tcW w:w="5434" w:type="dxa"/>
            <w:tcBorders>
              <w:top w:val="nil"/>
              <w:left w:val="single" w:sz="4" w:space="0" w:color="auto"/>
              <w:right w:val="nil"/>
            </w:tcBorders>
            <w:shd w:val="clear" w:color="000000" w:fill="DBE5F1"/>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Demandes</w:t>
            </w:r>
            <w:r>
              <w:rPr>
                <w:rFonts w:ascii="Calibri" w:eastAsia="Times New Roman" w:hAnsi="Calibri" w:cs="Times New Roman"/>
                <w:color w:val="000000"/>
                <w:lang w:val="fr-CA"/>
              </w:rPr>
              <w:t xml:space="preserve"> </w:t>
            </w:r>
            <w:r w:rsidRPr="00666937">
              <w:rPr>
                <w:rFonts w:ascii="Calibri" w:eastAsia="Times New Roman" w:hAnsi="Calibri" w:cs="Times New Roman"/>
                <w:color w:val="000000"/>
                <w:lang w:val="fr-CA"/>
              </w:rPr>
              <w:t>complétées</w:t>
            </w:r>
          </w:p>
        </w:tc>
        <w:tc>
          <w:tcPr>
            <w:tcW w:w="1339" w:type="dxa"/>
            <w:tcBorders>
              <w:top w:val="nil"/>
              <w:left w:val="nil"/>
              <w:right w:val="nil"/>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1 689</w:t>
            </w:r>
          </w:p>
        </w:tc>
        <w:tc>
          <w:tcPr>
            <w:tcW w:w="1339" w:type="dxa"/>
            <w:tcBorders>
              <w:top w:val="nil"/>
              <w:left w:val="nil"/>
              <w:right w:val="nil"/>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1 446</w:t>
            </w:r>
          </w:p>
        </w:tc>
        <w:tc>
          <w:tcPr>
            <w:tcW w:w="1339" w:type="dxa"/>
            <w:tcBorders>
              <w:top w:val="nil"/>
              <w:left w:val="nil"/>
              <w:right w:val="single" w:sz="4" w:space="0" w:color="auto"/>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1 420</w:t>
            </w:r>
          </w:p>
        </w:tc>
      </w:tr>
      <w:tr w:rsidR="00CF07A2" w:rsidRPr="00666937" w:rsidTr="00CF07A2">
        <w:trPr>
          <w:trHeight w:val="258"/>
        </w:trPr>
        <w:tc>
          <w:tcPr>
            <w:tcW w:w="5434" w:type="dxa"/>
            <w:tcBorders>
              <w:top w:val="nil"/>
              <w:left w:val="single" w:sz="4" w:space="0" w:color="auto"/>
              <w:right w:val="nil"/>
            </w:tcBorders>
            <w:shd w:val="clear" w:color="auto" w:fill="auto"/>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Variation annuelle en %</w:t>
            </w:r>
          </w:p>
        </w:tc>
        <w:tc>
          <w:tcPr>
            <w:tcW w:w="1339" w:type="dxa"/>
            <w:tcBorders>
              <w:top w:val="nil"/>
              <w:left w:val="nil"/>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w:t>
            </w:r>
          </w:p>
        </w:tc>
        <w:tc>
          <w:tcPr>
            <w:tcW w:w="1339" w:type="dxa"/>
            <w:tcBorders>
              <w:top w:val="nil"/>
              <w:left w:val="nil"/>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-14,4 %</w:t>
            </w:r>
          </w:p>
        </w:tc>
        <w:tc>
          <w:tcPr>
            <w:tcW w:w="1339" w:type="dxa"/>
            <w:tcBorders>
              <w:top w:val="nil"/>
              <w:left w:val="nil"/>
              <w:right w:val="single" w:sz="4" w:space="0" w:color="auto"/>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-1,8 %</w:t>
            </w:r>
          </w:p>
        </w:tc>
      </w:tr>
      <w:tr w:rsidR="00CF07A2" w:rsidRPr="00666937" w:rsidTr="00CF07A2">
        <w:trPr>
          <w:trHeight w:val="504"/>
        </w:trPr>
        <w:tc>
          <w:tcPr>
            <w:tcW w:w="5434" w:type="dxa"/>
            <w:tcBorders>
              <w:top w:val="nil"/>
              <w:left w:val="single" w:sz="4" w:space="0" w:color="auto"/>
              <w:right w:val="nil"/>
            </w:tcBorders>
            <w:shd w:val="clear" w:color="000000" w:fill="DBE5F1"/>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Nombre de demandes de consultation reçues (d’autres institutions fédérales)</w:t>
            </w:r>
          </w:p>
        </w:tc>
        <w:tc>
          <w:tcPr>
            <w:tcW w:w="1339" w:type="dxa"/>
            <w:tcBorders>
              <w:top w:val="nil"/>
              <w:left w:val="nil"/>
              <w:right w:val="nil"/>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186</w:t>
            </w:r>
          </w:p>
        </w:tc>
        <w:tc>
          <w:tcPr>
            <w:tcW w:w="1339" w:type="dxa"/>
            <w:tcBorders>
              <w:top w:val="nil"/>
              <w:left w:val="nil"/>
              <w:right w:val="nil"/>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154</w:t>
            </w:r>
          </w:p>
        </w:tc>
        <w:tc>
          <w:tcPr>
            <w:tcW w:w="1339" w:type="dxa"/>
            <w:tcBorders>
              <w:top w:val="nil"/>
              <w:left w:val="nil"/>
              <w:right w:val="single" w:sz="4" w:space="0" w:color="auto"/>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160</w:t>
            </w:r>
          </w:p>
        </w:tc>
      </w:tr>
      <w:tr w:rsidR="00CF07A2" w:rsidRPr="00666937" w:rsidTr="00CF07A2">
        <w:trPr>
          <w:trHeight w:val="258"/>
        </w:trPr>
        <w:tc>
          <w:tcPr>
            <w:tcW w:w="5434" w:type="dxa"/>
            <w:tcBorders>
              <w:top w:val="nil"/>
              <w:left w:val="single" w:sz="4" w:space="0" w:color="auto"/>
              <w:right w:val="nil"/>
            </w:tcBorders>
            <w:shd w:val="clear" w:color="auto" w:fill="auto"/>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Variation annuelle en %</w:t>
            </w:r>
          </w:p>
        </w:tc>
        <w:tc>
          <w:tcPr>
            <w:tcW w:w="1339" w:type="dxa"/>
            <w:tcBorders>
              <w:top w:val="nil"/>
              <w:left w:val="nil"/>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w:t>
            </w:r>
          </w:p>
        </w:tc>
        <w:tc>
          <w:tcPr>
            <w:tcW w:w="1339" w:type="dxa"/>
            <w:tcBorders>
              <w:top w:val="nil"/>
              <w:left w:val="nil"/>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-17,2 %</w:t>
            </w:r>
          </w:p>
        </w:tc>
        <w:tc>
          <w:tcPr>
            <w:tcW w:w="1339" w:type="dxa"/>
            <w:tcBorders>
              <w:top w:val="nil"/>
              <w:left w:val="nil"/>
              <w:right w:val="single" w:sz="4" w:space="0" w:color="auto"/>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3,9 %</w:t>
            </w:r>
          </w:p>
        </w:tc>
      </w:tr>
      <w:tr w:rsidR="00CF07A2" w:rsidRPr="00666937" w:rsidTr="00CF07A2">
        <w:trPr>
          <w:trHeight w:val="504"/>
        </w:trPr>
        <w:tc>
          <w:tcPr>
            <w:tcW w:w="5434" w:type="dxa"/>
            <w:tcBorders>
              <w:left w:val="single" w:sz="4" w:space="0" w:color="auto"/>
              <w:bottom w:val="nil"/>
              <w:right w:val="nil"/>
            </w:tcBorders>
            <w:shd w:val="clear" w:color="000000" w:fill="DBE5F1"/>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lastRenderedPageBreak/>
              <w:t>Nombre moyen de pages traitées par demande complétée</w:t>
            </w:r>
          </w:p>
        </w:tc>
        <w:tc>
          <w:tcPr>
            <w:tcW w:w="1339" w:type="dxa"/>
            <w:tcBorders>
              <w:left w:val="nil"/>
              <w:bottom w:val="nil"/>
              <w:right w:val="nil"/>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274</w:t>
            </w:r>
          </w:p>
        </w:tc>
        <w:tc>
          <w:tcPr>
            <w:tcW w:w="1339" w:type="dxa"/>
            <w:tcBorders>
              <w:left w:val="nil"/>
              <w:bottom w:val="nil"/>
              <w:right w:val="nil"/>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167</w:t>
            </w:r>
          </w:p>
        </w:tc>
        <w:tc>
          <w:tcPr>
            <w:tcW w:w="1339" w:type="dxa"/>
            <w:tcBorders>
              <w:left w:val="nil"/>
              <w:bottom w:val="nil"/>
              <w:right w:val="single" w:sz="4" w:space="0" w:color="auto"/>
            </w:tcBorders>
            <w:shd w:val="clear" w:color="000000" w:fill="DBE5F1"/>
            <w:noWrap/>
            <w:vAlign w:val="center"/>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165</w:t>
            </w:r>
          </w:p>
        </w:tc>
      </w:tr>
      <w:tr w:rsidR="00CF07A2" w:rsidRPr="00666937" w:rsidTr="00CF07A2">
        <w:trPr>
          <w:trHeight w:val="504"/>
        </w:trPr>
        <w:tc>
          <w:tcPr>
            <w:tcW w:w="5434" w:type="dxa"/>
            <w:tcBorders>
              <w:top w:val="nil"/>
              <w:left w:val="single" w:sz="4" w:space="0" w:color="auto"/>
              <w:bottom w:val="single" w:sz="4" w:space="0" w:color="auto"/>
              <w:right w:val="nil"/>
            </w:tcBorders>
            <w:shd w:val="clear" w:color="auto" w:fill="auto"/>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 des demandes pour lesquelles plus de 1 000 pages ont été traitées</w:t>
            </w:r>
          </w:p>
        </w:tc>
        <w:tc>
          <w:tcPr>
            <w:tcW w:w="1339" w:type="dxa"/>
            <w:tcBorders>
              <w:top w:val="nil"/>
              <w:left w:val="nil"/>
              <w:bottom w:val="single" w:sz="4" w:space="0" w:color="auto"/>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5,6 %</w:t>
            </w:r>
          </w:p>
        </w:tc>
        <w:tc>
          <w:tcPr>
            <w:tcW w:w="1339" w:type="dxa"/>
            <w:tcBorders>
              <w:top w:val="nil"/>
              <w:left w:val="nil"/>
              <w:bottom w:val="single" w:sz="4" w:space="0" w:color="auto"/>
              <w:right w:val="nil"/>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3,6 %</w:t>
            </w:r>
          </w:p>
        </w:tc>
        <w:tc>
          <w:tcPr>
            <w:tcW w:w="1339" w:type="dxa"/>
            <w:tcBorders>
              <w:top w:val="nil"/>
              <w:left w:val="nil"/>
              <w:bottom w:val="single" w:sz="4" w:space="0" w:color="auto"/>
              <w:right w:val="single" w:sz="4" w:space="0" w:color="auto"/>
            </w:tcBorders>
            <w:shd w:val="clear" w:color="auto" w:fill="auto"/>
            <w:noWrap/>
            <w:vAlign w:val="center"/>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3,7 %</w:t>
            </w:r>
          </w:p>
        </w:tc>
      </w:tr>
    </w:tbl>
    <w:p w:rsidR="00CF07A2" w:rsidRPr="007C44F5" w:rsidRDefault="00CF07A2" w:rsidP="00CF07A2">
      <w:pPr>
        <w:pStyle w:val="Heading2"/>
        <w:spacing w:before="240"/>
      </w:pPr>
      <w:r w:rsidRPr="007C44F5">
        <w:t>Délai de traitement des demandes</w:t>
      </w:r>
    </w:p>
    <w:p w:rsidR="00CF07A2" w:rsidRPr="007C44F5" w:rsidRDefault="00CF07A2" w:rsidP="00CF07A2">
      <w:pPr>
        <w:pStyle w:val="Heading4"/>
      </w:pPr>
      <w:r w:rsidRPr="007C44F5">
        <w:t>Rapidité</w:t>
      </w:r>
    </w:p>
    <w:p w:rsidR="00CF07A2" w:rsidRPr="00666937" w:rsidRDefault="00CF07A2" w:rsidP="00CF07A2">
      <w:pPr>
        <w:jc w:val="both"/>
        <w:rPr>
          <w:lang w:val="fr-CA"/>
        </w:rPr>
      </w:pPr>
      <w:r w:rsidRPr="00666937">
        <w:rPr>
          <w:lang w:val="fr-CA"/>
        </w:rPr>
        <w:t>La figure 1 révèle que 52</w:t>
      </w:r>
      <w:r>
        <w:rPr>
          <w:lang w:val="fr-CA"/>
        </w:rPr>
        <w:t>,0</w:t>
      </w:r>
      <w:r w:rsidRPr="00666937">
        <w:rPr>
          <w:lang w:val="fr-CA"/>
        </w:rPr>
        <w:t> % des demandes ont été complétées en 30 jours ou moins, soit une augmentation de 3,5 % par rapport à 2013</w:t>
      </w:r>
      <w:r w:rsidRPr="00666937">
        <w:rPr>
          <w:lang w:val="fr-CA"/>
        </w:rPr>
        <w:noBreakHyphen/>
        <w:t>2014. On constate que le nombre de demandes complétées entre 61 et 120 jours a augmenté de 3,1 %, alors que le nombre de demandes dont le traitement a pris plus de 365 jours a diminué de 5,9 %.</w:t>
      </w:r>
      <w:r w:rsidRPr="00666937">
        <w:rPr>
          <w:lang w:val="fr-CA"/>
        </w:rPr>
        <w:tab/>
      </w:r>
    </w:p>
    <w:p w:rsidR="00CF07A2" w:rsidRPr="00CF07A2" w:rsidRDefault="00CF07A2" w:rsidP="00BA2BE8">
      <w:pPr>
        <w:pStyle w:val="Heading3"/>
        <w:rPr>
          <w:sz w:val="24"/>
          <w:szCs w:val="24"/>
          <w:lang w:val="fr-FR"/>
        </w:rPr>
      </w:pPr>
      <w:r w:rsidRPr="00CF07A2">
        <w:rPr>
          <w:lang w:val="fr-FR"/>
        </w:rPr>
        <w:t>Figure 1 : Délai de traitement des demandes</w:t>
      </w:r>
    </w:p>
    <w:p w:rsidR="00CF07A2" w:rsidRPr="007C44F5" w:rsidRDefault="00CF07A2" w:rsidP="00CF07A2">
      <w:pPr>
        <w:spacing w:line="240" w:lineRule="auto"/>
        <w:rPr>
          <w:sz w:val="24"/>
          <w:szCs w:val="24"/>
          <w:lang w:val="fr-CA"/>
        </w:rPr>
      </w:pPr>
      <w:r w:rsidRPr="00666937">
        <w:rPr>
          <w:noProof/>
          <w:color w:val="FF0000"/>
          <w:sz w:val="24"/>
          <w:szCs w:val="24"/>
        </w:rPr>
        <w:drawing>
          <wp:inline distT="0" distB="0" distL="0" distR="0">
            <wp:extent cx="5947575" cy="3458817"/>
            <wp:effectExtent l="0" t="0" r="15240" b="2794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F07A2" w:rsidRPr="007C44F5" w:rsidRDefault="00CF07A2" w:rsidP="00CF07A2">
      <w:pPr>
        <w:pStyle w:val="Heading4"/>
      </w:pPr>
      <w:r w:rsidRPr="007C44F5">
        <w:t>Prorogations</w:t>
      </w:r>
    </w:p>
    <w:p w:rsidR="00CF07A2" w:rsidRPr="003B570A" w:rsidRDefault="00CF07A2" w:rsidP="00CF07A2">
      <w:pPr>
        <w:jc w:val="both"/>
        <w:rPr>
          <w:lang w:val="fr-CA"/>
        </w:rPr>
      </w:pPr>
      <w:r w:rsidRPr="003B570A">
        <w:rPr>
          <w:lang w:val="fr-CA"/>
        </w:rPr>
        <w:t>SC a eu recours à 694 prorogations en 2014</w:t>
      </w:r>
      <w:r w:rsidRPr="003B570A">
        <w:rPr>
          <w:lang w:val="fr-CA"/>
        </w:rPr>
        <w:noBreakHyphen/>
        <w:t>2015 par rapport à 719 en 2013</w:t>
      </w:r>
      <w:r w:rsidRPr="003B570A">
        <w:rPr>
          <w:lang w:val="fr-CA"/>
        </w:rPr>
        <w:noBreakHyphen/>
        <w:t xml:space="preserve">2014. Les avis à des tiers (49,6 %) étaient la raison la plus fréquemment invoquée pour demander une prorogation, suivis de </w:t>
      </w:r>
      <w:r w:rsidRPr="003B570A">
        <w:rPr>
          <w:color w:val="000000" w:themeColor="text1"/>
          <w:lang w:val="fr-CA"/>
        </w:rPr>
        <w:t>l’</w:t>
      </w:r>
      <w:r w:rsidRPr="003B570A">
        <w:rPr>
          <w:lang w:val="fr-CA"/>
        </w:rPr>
        <w:t>entrave au fonctionnement de l’institution (26,8 %) et des consultations (23,6 %).</w:t>
      </w:r>
    </w:p>
    <w:p w:rsidR="00CF07A2" w:rsidRPr="00666937" w:rsidRDefault="00CF07A2" w:rsidP="00CF07A2">
      <w:pPr>
        <w:jc w:val="both"/>
        <w:rPr>
          <w:lang w:val="fr-CA"/>
        </w:rPr>
      </w:pPr>
      <w:r w:rsidRPr="00666937">
        <w:rPr>
          <w:lang w:val="fr-CA"/>
        </w:rPr>
        <w:t>La figure 2 montre que 13,3 % des prorogations en 2014</w:t>
      </w:r>
      <w:r w:rsidRPr="00666937">
        <w:rPr>
          <w:lang w:val="fr-CA"/>
        </w:rPr>
        <w:noBreakHyphen/>
        <w:t xml:space="preserve">2015 étaient de 30 jours ou moins, un résultat légèrement supérieur </w:t>
      </w:r>
      <w:r>
        <w:rPr>
          <w:lang w:val="fr-CA"/>
        </w:rPr>
        <w:t>(0,7</w:t>
      </w:r>
      <w:r w:rsidRPr="00666937">
        <w:rPr>
          <w:lang w:val="fr-CA"/>
        </w:rPr>
        <w:t> %) par rapport à 2013</w:t>
      </w:r>
      <w:r w:rsidRPr="00666937">
        <w:rPr>
          <w:lang w:val="fr-CA"/>
        </w:rPr>
        <w:noBreakHyphen/>
        <w:t>2014. La figure 2 montre également que le nombre de prorogations de 31 à 60 jours a augmenté de 8</w:t>
      </w:r>
      <w:r>
        <w:rPr>
          <w:lang w:val="fr-CA"/>
        </w:rPr>
        <w:t>,6</w:t>
      </w:r>
      <w:r w:rsidRPr="00666937">
        <w:rPr>
          <w:lang w:val="fr-CA"/>
        </w:rPr>
        <w:t> % par rapport à 2013</w:t>
      </w:r>
      <w:r w:rsidRPr="00666937">
        <w:rPr>
          <w:lang w:val="fr-CA"/>
        </w:rPr>
        <w:noBreakHyphen/>
        <w:t xml:space="preserve">2014. Dans toutes les autres </w:t>
      </w:r>
      <w:r w:rsidRPr="00666937">
        <w:rPr>
          <w:lang w:val="fr-CA"/>
        </w:rPr>
        <w:lastRenderedPageBreak/>
        <w:t>catégories, la durée des prorogations a diminué, à l’exception de la catégorie de 181 à 365 jours, où aucun changement n’a été observé.</w:t>
      </w:r>
    </w:p>
    <w:p w:rsidR="00CF07A2" w:rsidRPr="007C44F5" w:rsidRDefault="00CF07A2" w:rsidP="00CF07A2">
      <w:pPr>
        <w:rPr>
          <w:lang w:val="fr-CA"/>
        </w:rPr>
      </w:pPr>
      <w:r w:rsidRPr="00CF07A2">
        <w:rPr>
          <w:rStyle w:val="Heading3Char"/>
          <w:lang w:val="fr-FR"/>
        </w:rPr>
        <w:t>Figure 2 : Durée des prorogations</w:t>
      </w:r>
      <w:r w:rsidRPr="00666937">
        <w:rPr>
          <w:noProof/>
        </w:rPr>
        <w:drawing>
          <wp:inline distT="0" distB="0" distL="0" distR="0">
            <wp:extent cx="6074797" cy="3689405"/>
            <wp:effectExtent l="0" t="0" r="21590" b="2540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F07A2" w:rsidRPr="007C44F5" w:rsidRDefault="00CF07A2" w:rsidP="00CF07A2">
      <w:pPr>
        <w:pStyle w:val="Heading4"/>
      </w:pPr>
      <w:r w:rsidRPr="007C44F5">
        <w:t>Présomptions de refus</w:t>
      </w:r>
    </w:p>
    <w:p w:rsidR="00CF07A2" w:rsidRPr="003B570A" w:rsidRDefault="00CF07A2" w:rsidP="00CF07A2">
      <w:pPr>
        <w:jc w:val="both"/>
        <w:rPr>
          <w:lang w:val="fr-CA"/>
        </w:rPr>
      </w:pPr>
      <w:r w:rsidRPr="003B570A">
        <w:rPr>
          <w:lang w:val="fr-CA"/>
        </w:rPr>
        <w:t>En 2014</w:t>
      </w:r>
      <w:r w:rsidRPr="003B570A">
        <w:rPr>
          <w:lang w:val="fr-CA"/>
        </w:rPr>
        <w:noBreakHyphen/>
        <w:t>2015, 207 demandes ont été fermées après l’échéancier réglementaire, ce qui représente 14,5 % de toutes les demandes complétées. Ce résultat procure à SC la note de « C »</w:t>
      </w:r>
      <w:r w:rsidRPr="003B570A">
        <w:rPr>
          <w:rStyle w:val="FootnoteReference"/>
          <w:lang w:val="fr-CA"/>
        </w:rPr>
        <w:footnoteReference w:id="26"/>
      </w:r>
      <w:r w:rsidRPr="003B570A">
        <w:rPr>
          <w:lang w:val="fr-CA"/>
        </w:rPr>
        <w:t>. La charge de travail (72,2 %) était la principale raison invoquée pour ne pas respecter l’échéancier réglementaire, suivie d’autres motifs (13,5 %)</w:t>
      </w:r>
      <w:r w:rsidRPr="003B570A">
        <w:rPr>
          <w:rStyle w:val="FootnoteReference"/>
          <w:lang w:val="fr-CA"/>
        </w:rPr>
        <w:footnoteReference w:id="27"/>
      </w:r>
      <w:r w:rsidRPr="003B570A">
        <w:rPr>
          <w:lang w:val="fr-CA"/>
        </w:rPr>
        <w:t>.</w:t>
      </w:r>
    </w:p>
    <w:p w:rsidR="00CF07A2" w:rsidRPr="00666937" w:rsidRDefault="00CF07A2" w:rsidP="00CF07A2">
      <w:pPr>
        <w:jc w:val="both"/>
        <w:rPr>
          <w:lang w:val="fr-CA"/>
        </w:rPr>
      </w:pPr>
      <w:r w:rsidRPr="00666937">
        <w:rPr>
          <w:lang w:val="fr-CA"/>
        </w:rPr>
        <w:t>Malgré une diminution de 41</w:t>
      </w:r>
      <w:r>
        <w:rPr>
          <w:lang w:val="fr-CA"/>
        </w:rPr>
        <w:t>,0</w:t>
      </w:r>
      <w:r w:rsidRPr="00666937">
        <w:rPr>
          <w:lang w:val="fr-CA"/>
        </w:rPr>
        <w:t xml:space="preserve"> % du nombre de demandes échues par rapport à la période précédente, 57</w:t>
      </w:r>
      <w:r>
        <w:rPr>
          <w:lang w:val="fr-CA"/>
        </w:rPr>
        <w:t>,0</w:t>
      </w:r>
      <w:r w:rsidRPr="00666937">
        <w:rPr>
          <w:lang w:val="fr-CA"/>
        </w:rPr>
        <w:t> % des demandes échues étaient en retard de pl</w:t>
      </w:r>
      <w:r>
        <w:rPr>
          <w:lang w:val="fr-CA"/>
        </w:rPr>
        <w:t>us de 180 jours, et seulement 22,7</w:t>
      </w:r>
      <w:r w:rsidRPr="00666937">
        <w:rPr>
          <w:lang w:val="fr-CA"/>
        </w:rPr>
        <w:t> % étaient en retard de 30 jours ou moins (voir figure 3). Par rapport à 2013</w:t>
      </w:r>
      <w:r w:rsidRPr="00666937">
        <w:rPr>
          <w:lang w:val="fr-CA"/>
        </w:rPr>
        <w:noBreakHyphen/>
        <w:t xml:space="preserve">2014, on constate une faible diminution </w:t>
      </w:r>
      <w:r>
        <w:rPr>
          <w:lang w:val="fr-CA"/>
        </w:rPr>
        <w:t xml:space="preserve"> de 1,1 %</w:t>
      </w:r>
      <w:r w:rsidRPr="00666937">
        <w:rPr>
          <w:lang w:val="fr-CA"/>
        </w:rPr>
        <w:t xml:space="preserve"> du nombre de demandes</w:t>
      </w:r>
      <w:r>
        <w:rPr>
          <w:lang w:val="fr-CA"/>
        </w:rPr>
        <w:t xml:space="preserve"> échues en retard de plus de 180</w:t>
      </w:r>
      <w:r w:rsidRPr="00666937">
        <w:rPr>
          <w:lang w:val="fr-CA"/>
        </w:rPr>
        <w:t> jours.</w:t>
      </w:r>
    </w:p>
    <w:p w:rsidR="00CF07A2" w:rsidRPr="00957E09" w:rsidRDefault="00CF07A2">
      <w:pPr>
        <w:rPr>
          <w:b/>
          <w:lang w:val="fr-FR"/>
        </w:rPr>
      </w:pPr>
      <w:r w:rsidRPr="00957E09">
        <w:rPr>
          <w:lang w:val="fr-FR"/>
        </w:rPr>
        <w:br w:type="page"/>
      </w:r>
    </w:p>
    <w:p w:rsidR="00CF07A2" w:rsidRPr="005476C3" w:rsidRDefault="00CF07A2" w:rsidP="00BA2BE8">
      <w:pPr>
        <w:pStyle w:val="Heading3"/>
        <w:rPr>
          <w:lang w:val="fr-FR"/>
        </w:rPr>
      </w:pPr>
      <w:r w:rsidRPr="005476C3">
        <w:rPr>
          <w:lang w:val="fr-FR"/>
        </w:rPr>
        <w:lastRenderedPageBreak/>
        <w:t>Figure 3 : Retard des demandes échues</w:t>
      </w:r>
    </w:p>
    <w:p w:rsidR="00CF07A2" w:rsidRPr="00666937" w:rsidRDefault="00CF07A2" w:rsidP="00CF07A2">
      <w:pPr>
        <w:keepNext/>
        <w:keepLines/>
        <w:rPr>
          <w:lang w:val="fr-CA"/>
        </w:rPr>
      </w:pPr>
      <w:r w:rsidRPr="00666937">
        <w:rPr>
          <w:noProof/>
        </w:rPr>
        <w:drawing>
          <wp:inline distT="0" distB="0" distL="0" distR="0">
            <wp:extent cx="5947576" cy="3753016"/>
            <wp:effectExtent l="0" t="0" r="15240" b="190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F07A2" w:rsidRPr="007C44F5" w:rsidRDefault="00CF07A2" w:rsidP="00CF07A2">
      <w:pPr>
        <w:pStyle w:val="Heading2"/>
      </w:pPr>
      <w:r w:rsidRPr="007C44F5">
        <w:t>Divulgation</w:t>
      </w:r>
    </w:p>
    <w:p w:rsidR="00CF07A2" w:rsidRPr="007C44F5" w:rsidRDefault="00CF07A2" w:rsidP="00CF07A2">
      <w:pPr>
        <w:pStyle w:val="Heading4"/>
      </w:pPr>
      <w:r w:rsidRPr="007C44F5">
        <w:t>Pourcentage de demandes pour lesquelle</w:t>
      </w:r>
      <w:r>
        <w:t>s l’information a été divulguée</w:t>
      </w:r>
    </w:p>
    <w:p w:rsidR="00CF07A2" w:rsidRPr="00666937" w:rsidRDefault="00CF07A2" w:rsidP="00CF07A2">
      <w:pPr>
        <w:jc w:val="both"/>
        <w:rPr>
          <w:lang w:val="fr-CA"/>
        </w:rPr>
      </w:pPr>
      <w:r w:rsidRPr="00666937">
        <w:rPr>
          <w:lang w:val="fr-CA"/>
        </w:rPr>
        <w:t>En 2014</w:t>
      </w:r>
      <w:r w:rsidRPr="00666937">
        <w:rPr>
          <w:lang w:val="fr-CA"/>
        </w:rPr>
        <w:noBreakHyphen/>
        <w:t>2015, 11,3 % de toutes les demandes complétées ont fait l’objet d’une divulgation complète, ce qui représente une diminution de 2</w:t>
      </w:r>
      <w:r>
        <w:rPr>
          <w:lang w:val="fr-CA"/>
        </w:rPr>
        <w:t>,15</w:t>
      </w:r>
      <w:r w:rsidRPr="00666937">
        <w:rPr>
          <w:lang w:val="fr-CA"/>
        </w:rPr>
        <w:t> % par rapport à la période précédente (voir figure 4). La figure 4 montre que le taux des demandes faisant l’objet d’une divulgation partielle était de 50</w:t>
      </w:r>
      <w:r>
        <w:rPr>
          <w:lang w:val="fr-CA"/>
        </w:rPr>
        <w:t>,3</w:t>
      </w:r>
      <w:r w:rsidRPr="00666937">
        <w:rPr>
          <w:lang w:val="fr-CA"/>
        </w:rPr>
        <w:t> % en 2014</w:t>
      </w:r>
      <w:r w:rsidRPr="00666937">
        <w:rPr>
          <w:lang w:val="fr-CA"/>
        </w:rPr>
        <w:noBreakHyphen/>
        <w:t xml:space="preserve">2015, ce qui représente une diminution de </w:t>
      </w:r>
      <w:r>
        <w:rPr>
          <w:lang w:val="fr-CA"/>
        </w:rPr>
        <w:t>3,9</w:t>
      </w:r>
      <w:r w:rsidRPr="00666937">
        <w:rPr>
          <w:lang w:val="fr-CA"/>
        </w:rPr>
        <w:t> % par ra</w:t>
      </w:r>
      <w:r>
        <w:rPr>
          <w:lang w:val="fr-CA"/>
        </w:rPr>
        <w:t>pport à la période précédente.</w:t>
      </w:r>
    </w:p>
    <w:p w:rsidR="00CF07A2" w:rsidRPr="00666937" w:rsidRDefault="00CF07A2" w:rsidP="00CF07A2">
      <w:pPr>
        <w:spacing w:line="240" w:lineRule="auto"/>
        <w:rPr>
          <w:lang w:val="fr-CA"/>
        </w:rPr>
      </w:pPr>
      <w:r w:rsidRPr="00957E09">
        <w:rPr>
          <w:rStyle w:val="Heading3Char"/>
          <w:lang w:val="fr-FR"/>
        </w:rPr>
        <w:lastRenderedPageBreak/>
        <w:t>Figure 4 : Niveau de divulgation</w:t>
      </w:r>
      <w:r w:rsidRPr="00666937">
        <w:rPr>
          <w:noProof/>
        </w:rPr>
        <w:drawing>
          <wp:inline distT="0" distB="0" distL="0" distR="0">
            <wp:extent cx="5915770" cy="3816626"/>
            <wp:effectExtent l="0" t="0" r="27940" b="1270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F07A2" w:rsidRPr="007C44F5" w:rsidRDefault="00CF07A2" w:rsidP="00CF07A2">
      <w:pPr>
        <w:pStyle w:val="Heading4"/>
        <w:jc w:val="left"/>
      </w:pPr>
      <w:r>
        <w:t>Exceptions</w:t>
      </w:r>
    </w:p>
    <w:p w:rsidR="00CF07A2" w:rsidRPr="003B570A" w:rsidRDefault="00CF07A2" w:rsidP="00CF07A2">
      <w:pPr>
        <w:jc w:val="both"/>
        <w:rPr>
          <w:lang w:val="fr-CA"/>
        </w:rPr>
      </w:pPr>
      <w:r w:rsidRPr="003B570A">
        <w:rPr>
          <w:lang w:val="fr-CA"/>
        </w:rPr>
        <w:t>Le nombre moyen d’exceptions par demande complétée a diminué de 1,2 en 2013</w:t>
      </w:r>
      <w:r w:rsidRPr="003B570A">
        <w:rPr>
          <w:lang w:val="fr-CA"/>
        </w:rPr>
        <w:noBreakHyphen/>
        <w:t>2014 à 1,1 en 2014</w:t>
      </w:r>
      <w:r w:rsidRPr="003B570A">
        <w:rPr>
          <w:lang w:val="fr-CA"/>
        </w:rPr>
        <w:noBreakHyphen/>
        <w:t>2015 (voir tableau 2). Les exceptions les plus fréquemment invoquées pour cette période (2014-2015) étaient l’article 19 (les renseignements personnels) (41,5 %), suivies de l’article 20 (les renseignements de tiers) (25,9 %) et de l’article 21 (les activités du gouvernement) (13,4 %).</w:t>
      </w:r>
    </w:p>
    <w:p w:rsidR="00CF07A2" w:rsidRPr="00666937" w:rsidRDefault="00CF07A2" w:rsidP="00BA2BE8">
      <w:pPr>
        <w:pStyle w:val="Heading3"/>
      </w:pPr>
      <w:r w:rsidRPr="00666937">
        <w:t xml:space="preserve">Tableau </w:t>
      </w:r>
      <w:proofErr w:type="gramStart"/>
      <w:r w:rsidRPr="00666937">
        <w:t>2 :</w:t>
      </w:r>
      <w:proofErr w:type="gramEnd"/>
      <w:r w:rsidRPr="00666937">
        <w:t xml:space="preserve"> Exceptions</w:t>
      </w:r>
    </w:p>
    <w:tbl>
      <w:tblPr>
        <w:tblW w:w="9509" w:type="dxa"/>
        <w:tblInd w:w="98" w:type="dxa"/>
        <w:tblLook w:val="04A0"/>
      </w:tblPr>
      <w:tblGrid>
        <w:gridCol w:w="5468"/>
        <w:gridCol w:w="1347"/>
        <w:gridCol w:w="1347"/>
        <w:gridCol w:w="1347"/>
      </w:tblGrid>
      <w:tr w:rsidR="00CF07A2" w:rsidRPr="00666937" w:rsidTr="00CF07A2">
        <w:trPr>
          <w:trHeight w:val="229"/>
        </w:trPr>
        <w:tc>
          <w:tcPr>
            <w:tcW w:w="5468" w:type="dxa"/>
            <w:tcBorders>
              <w:top w:val="single" w:sz="8" w:space="0" w:color="auto"/>
              <w:left w:val="single" w:sz="8" w:space="0" w:color="auto"/>
              <w:bottom w:val="single" w:sz="8" w:space="0" w:color="auto"/>
              <w:right w:val="nil"/>
            </w:tcBorders>
            <w:shd w:val="clear" w:color="000000" w:fill="DBE5F1"/>
            <w:noWrap/>
            <w:vAlign w:val="bottom"/>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 xml:space="preserve">Exceptions </w:t>
            </w:r>
          </w:p>
        </w:tc>
        <w:tc>
          <w:tcPr>
            <w:tcW w:w="1347" w:type="dxa"/>
            <w:tcBorders>
              <w:top w:val="single" w:sz="8" w:space="0" w:color="auto"/>
              <w:left w:val="nil"/>
              <w:bottom w:val="single" w:sz="8" w:space="0" w:color="auto"/>
              <w:right w:val="nil"/>
            </w:tcBorders>
            <w:shd w:val="clear" w:color="000000" w:fill="DBE5F1"/>
            <w:noWrap/>
            <w:vAlign w:val="bottom"/>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2012-2013</w:t>
            </w:r>
          </w:p>
        </w:tc>
        <w:tc>
          <w:tcPr>
            <w:tcW w:w="1347" w:type="dxa"/>
            <w:tcBorders>
              <w:top w:val="single" w:sz="8" w:space="0" w:color="auto"/>
              <w:left w:val="nil"/>
              <w:bottom w:val="single" w:sz="8" w:space="0" w:color="auto"/>
              <w:right w:val="nil"/>
            </w:tcBorders>
            <w:shd w:val="clear" w:color="000000" w:fill="DBE5F1"/>
            <w:noWrap/>
            <w:vAlign w:val="bottom"/>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2013-2014</w:t>
            </w:r>
          </w:p>
        </w:tc>
        <w:tc>
          <w:tcPr>
            <w:tcW w:w="1347" w:type="dxa"/>
            <w:tcBorders>
              <w:top w:val="single" w:sz="8" w:space="0" w:color="auto"/>
              <w:left w:val="nil"/>
              <w:bottom w:val="single" w:sz="8" w:space="0" w:color="auto"/>
              <w:right w:val="single" w:sz="8" w:space="0" w:color="auto"/>
            </w:tcBorders>
            <w:shd w:val="clear" w:color="000000" w:fill="DBE5F1"/>
            <w:noWrap/>
            <w:vAlign w:val="bottom"/>
            <w:hideMark/>
          </w:tcPr>
          <w:p w:rsidR="00CF07A2" w:rsidRPr="00666937" w:rsidRDefault="00CF07A2" w:rsidP="00CF07A2">
            <w:pPr>
              <w:spacing w:after="0" w:line="240" w:lineRule="auto"/>
              <w:jc w:val="center"/>
              <w:rPr>
                <w:rFonts w:ascii="Calibri" w:eastAsia="Times New Roman" w:hAnsi="Calibri" w:cs="Times New Roman"/>
                <w:b/>
                <w:bCs/>
                <w:color w:val="000000"/>
                <w:lang w:val="fr-CA"/>
              </w:rPr>
            </w:pPr>
            <w:r w:rsidRPr="00666937">
              <w:rPr>
                <w:rFonts w:ascii="Calibri" w:eastAsia="Times New Roman" w:hAnsi="Calibri" w:cs="Times New Roman"/>
                <w:b/>
                <w:bCs/>
                <w:color w:val="000000"/>
                <w:lang w:val="fr-CA"/>
              </w:rPr>
              <w:t>2014-2015</w:t>
            </w:r>
          </w:p>
        </w:tc>
      </w:tr>
      <w:tr w:rsidR="00CF07A2" w:rsidRPr="00666937" w:rsidTr="00CF07A2">
        <w:trPr>
          <w:trHeight w:val="218"/>
        </w:trPr>
        <w:tc>
          <w:tcPr>
            <w:tcW w:w="5468" w:type="dxa"/>
            <w:tcBorders>
              <w:top w:val="nil"/>
              <w:left w:val="single" w:sz="8" w:space="0" w:color="auto"/>
              <w:bottom w:val="nil"/>
              <w:right w:val="nil"/>
            </w:tcBorders>
            <w:shd w:val="clear" w:color="auto" w:fill="auto"/>
            <w:noWrap/>
            <w:vAlign w:val="bottom"/>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Nombre total d’exceptions</w:t>
            </w:r>
          </w:p>
        </w:tc>
        <w:tc>
          <w:tcPr>
            <w:tcW w:w="1347" w:type="dxa"/>
            <w:tcBorders>
              <w:top w:val="nil"/>
              <w:left w:val="nil"/>
              <w:bottom w:val="nil"/>
              <w:right w:val="nil"/>
            </w:tcBorders>
            <w:shd w:val="clear" w:color="auto" w:fill="auto"/>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2 148</w:t>
            </w:r>
          </w:p>
        </w:tc>
        <w:tc>
          <w:tcPr>
            <w:tcW w:w="1347" w:type="dxa"/>
            <w:tcBorders>
              <w:top w:val="nil"/>
              <w:left w:val="nil"/>
              <w:bottom w:val="nil"/>
              <w:right w:val="nil"/>
            </w:tcBorders>
            <w:shd w:val="clear" w:color="auto" w:fill="auto"/>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1 730</w:t>
            </w:r>
          </w:p>
        </w:tc>
        <w:tc>
          <w:tcPr>
            <w:tcW w:w="1347" w:type="dxa"/>
            <w:tcBorders>
              <w:top w:val="nil"/>
              <w:left w:val="nil"/>
              <w:bottom w:val="nil"/>
              <w:right w:val="single" w:sz="8" w:space="0" w:color="auto"/>
            </w:tcBorders>
            <w:shd w:val="clear" w:color="auto" w:fill="auto"/>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1 592</w:t>
            </w:r>
          </w:p>
        </w:tc>
      </w:tr>
      <w:tr w:rsidR="00CF07A2" w:rsidRPr="00666937" w:rsidTr="00CF07A2">
        <w:trPr>
          <w:trHeight w:val="218"/>
        </w:trPr>
        <w:tc>
          <w:tcPr>
            <w:tcW w:w="5468" w:type="dxa"/>
            <w:tcBorders>
              <w:top w:val="nil"/>
              <w:left w:val="single" w:sz="8" w:space="0" w:color="auto"/>
              <w:bottom w:val="nil"/>
              <w:right w:val="nil"/>
            </w:tcBorders>
            <w:shd w:val="clear" w:color="auto" w:fill="auto"/>
            <w:noWrap/>
            <w:vAlign w:val="bottom"/>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Nombre total de demandes complétées</w:t>
            </w:r>
          </w:p>
        </w:tc>
        <w:tc>
          <w:tcPr>
            <w:tcW w:w="1347" w:type="dxa"/>
            <w:tcBorders>
              <w:top w:val="nil"/>
              <w:left w:val="nil"/>
              <w:bottom w:val="nil"/>
              <w:right w:val="nil"/>
            </w:tcBorders>
            <w:shd w:val="clear" w:color="auto" w:fill="auto"/>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1 689</w:t>
            </w:r>
          </w:p>
        </w:tc>
        <w:tc>
          <w:tcPr>
            <w:tcW w:w="1347" w:type="dxa"/>
            <w:tcBorders>
              <w:top w:val="nil"/>
              <w:left w:val="nil"/>
              <w:bottom w:val="nil"/>
              <w:right w:val="nil"/>
            </w:tcBorders>
            <w:shd w:val="clear" w:color="auto" w:fill="auto"/>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1 446</w:t>
            </w:r>
          </w:p>
        </w:tc>
        <w:tc>
          <w:tcPr>
            <w:tcW w:w="1347" w:type="dxa"/>
            <w:tcBorders>
              <w:top w:val="nil"/>
              <w:left w:val="nil"/>
              <w:bottom w:val="nil"/>
              <w:right w:val="single" w:sz="8" w:space="0" w:color="auto"/>
            </w:tcBorders>
            <w:shd w:val="clear" w:color="auto" w:fill="auto"/>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1 420</w:t>
            </w:r>
          </w:p>
        </w:tc>
      </w:tr>
      <w:tr w:rsidR="00CF07A2" w:rsidRPr="00666937" w:rsidTr="00CF07A2">
        <w:trPr>
          <w:trHeight w:val="229"/>
        </w:trPr>
        <w:tc>
          <w:tcPr>
            <w:tcW w:w="5468" w:type="dxa"/>
            <w:tcBorders>
              <w:top w:val="nil"/>
              <w:left w:val="single" w:sz="8" w:space="0" w:color="auto"/>
              <w:bottom w:val="single" w:sz="8" w:space="0" w:color="auto"/>
              <w:right w:val="nil"/>
            </w:tcBorders>
            <w:shd w:val="clear" w:color="000000" w:fill="DBE5F1"/>
            <w:noWrap/>
            <w:vAlign w:val="bottom"/>
            <w:hideMark/>
          </w:tcPr>
          <w:p w:rsidR="00CF07A2" w:rsidRPr="00666937" w:rsidRDefault="00CF07A2" w:rsidP="00CF07A2">
            <w:pPr>
              <w:spacing w:after="0" w:line="240" w:lineRule="auto"/>
              <w:rPr>
                <w:rFonts w:ascii="Calibri" w:eastAsia="Times New Roman" w:hAnsi="Calibri" w:cs="Times New Roman"/>
                <w:color w:val="000000"/>
                <w:lang w:val="fr-CA"/>
              </w:rPr>
            </w:pPr>
            <w:r w:rsidRPr="00666937">
              <w:rPr>
                <w:rFonts w:ascii="Calibri" w:eastAsia="Times New Roman" w:hAnsi="Calibri" w:cs="Times New Roman"/>
                <w:color w:val="000000"/>
                <w:lang w:val="fr-CA"/>
              </w:rPr>
              <w:t>Nombre moyen d’exceptions par demande complétée</w:t>
            </w:r>
          </w:p>
        </w:tc>
        <w:tc>
          <w:tcPr>
            <w:tcW w:w="1347" w:type="dxa"/>
            <w:tcBorders>
              <w:top w:val="nil"/>
              <w:left w:val="nil"/>
              <w:bottom w:val="single" w:sz="8" w:space="0" w:color="auto"/>
              <w:right w:val="nil"/>
            </w:tcBorders>
            <w:shd w:val="clear" w:color="000000" w:fill="DBE5F1"/>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1,27</w:t>
            </w:r>
          </w:p>
        </w:tc>
        <w:tc>
          <w:tcPr>
            <w:tcW w:w="1347" w:type="dxa"/>
            <w:tcBorders>
              <w:top w:val="nil"/>
              <w:left w:val="nil"/>
              <w:bottom w:val="single" w:sz="8" w:space="0" w:color="auto"/>
              <w:right w:val="nil"/>
            </w:tcBorders>
            <w:shd w:val="clear" w:color="000000" w:fill="DBE5F1"/>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1,20</w:t>
            </w:r>
          </w:p>
        </w:tc>
        <w:tc>
          <w:tcPr>
            <w:tcW w:w="1347" w:type="dxa"/>
            <w:tcBorders>
              <w:top w:val="nil"/>
              <w:left w:val="nil"/>
              <w:bottom w:val="single" w:sz="8" w:space="0" w:color="auto"/>
              <w:right w:val="single" w:sz="8" w:space="0" w:color="auto"/>
            </w:tcBorders>
            <w:shd w:val="clear" w:color="000000" w:fill="DBE5F1"/>
            <w:noWrap/>
            <w:vAlign w:val="bottom"/>
            <w:hideMark/>
          </w:tcPr>
          <w:p w:rsidR="00CF07A2" w:rsidRPr="00666937" w:rsidRDefault="00CF07A2" w:rsidP="00CF07A2">
            <w:pPr>
              <w:spacing w:after="0" w:line="240" w:lineRule="auto"/>
              <w:jc w:val="center"/>
              <w:rPr>
                <w:rFonts w:ascii="Calibri" w:eastAsia="Times New Roman" w:hAnsi="Calibri" w:cs="Times New Roman"/>
                <w:color w:val="000000"/>
                <w:lang w:val="fr-CA"/>
              </w:rPr>
            </w:pPr>
            <w:r w:rsidRPr="00666937">
              <w:rPr>
                <w:rFonts w:ascii="Calibri" w:eastAsia="Times New Roman" w:hAnsi="Calibri" w:cs="Times New Roman"/>
                <w:color w:val="000000"/>
                <w:lang w:val="fr-CA"/>
              </w:rPr>
              <w:t>1,12</w:t>
            </w:r>
          </w:p>
        </w:tc>
      </w:tr>
    </w:tbl>
    <w:p w:rsidR="005476C3" w:rsidRDefault="005476C3" w:rsidP="00CF07A2">
      <w:pPr>
        <w:pStyle w:val="Heading2"/>
        <w:spacing w:before="240"/>
      </w:pPr>
    </w:p>
    <w:p w:rsidR="005476C3" w:rsidRDefault="005476C3" w:rsidP="005476C3">
      <w:pPr>
        <w:rPr>
          <w:lang w:val="fr-CA"/>
        </w:rPr>
      </w:pPr>
      <w:r>
        <w:br w:type="page"/>
      </w:r>
    </w:p>
    <w:p w:rsidR="00CF07A2" w:rsidRPr="007C44F5" w:rsidRDefault="00CF07A2" w:rsidP="00CF07A2">
      <w:pPr>
        <w:pStyle w:val="Heading2"/>
        <w:spacing w:before="240"/>
      </w:pPr>
      <w:r w:rsidRPr="007C44F5">
        <w:lastRenderedPageBreak/>
        <w:t>Plaintes au Commissariat à l’information</w:t>
      </w:r>
    </w:p>
    <w:p w:rsidR="00CF07A2" w:rsidRPr="007C44F5" w:rsidRDefault="00CF07A2" w:rsidP="00CF07A2">
      <w:pPr>
        <w:keepNext/>
        <w:keepLines/>
        <w:jc w:val="both"/>
        <w:rPr>
          <w:sz w:val="24"/>
          <w:szCs w:val="24"/>
          <w:lang w:val="fr-CA"/>
        </w:rPr>
      </w:pPr>
      <w:r w:rsidRPr="00666937">
        <w:rPr>
          <w:lang w:val="fr-CA"/>
        </w:rPr>
        <w:t>Le nombre de plaintes reçues</w:t>
      </w:r>
      <w:r>
        <w:rPr>
          <w:rStyle w:val="FootnoteReference"/>
          <w:lang w:val="fr-CA"/>
        </w:rPr>
        <w:footnoteReference w:id="28"/>
      </w:r>
      <w:r w:rsidRPr="00666937">
        <w:rPr>
          <w:lang w:val="fr-CA"/>
        </w:rPr>
        <w:t xml:space="preserve"> contre SC a augmenté de 48 en 2013-2014 à 65 en 2014-2015. Le nombre de plaintes de nature administrative était de 26, soit un résultat similaire à celui de 2013</w:t>
      </w:r>
      <w:r w:rsidRPr="00666937">
        <w:rPr>
          <w:lang w:val="fr-CA"/>
        </w:rPr>
        <w:noBreakHyphen/>
        <w:t>2014, alors que le nombre de plaintes pour refus a augmenté pour passer de 22 à 39. En 2014</w:t>
      </w:r>
      <w:r w:rsidRPr="00666937">
        <w:rPr>
          <w:lang w:val="fr-CA"/>
        </w:rPr>
        <w:noBreakHyphen/>
        <w:t>2015, 24 plaintes étaient fondées et ont été réglées, 16 plaintes ont été abandonn</w:t>
      </w:r>
      <w:r>
        <w:rPr>
          <w:lang w:val="fr-CA"/>
        </w:rPr>
        <w:t>ées et 23 étaient</w:t>
      </w:r>
      <w:r w:rsidRPr="00666937">
        <w:rPr>
          <w:lang w:val="fr-CA"/>
        </w:rPr>
        <w:t xml:space="preserve"> en suspens.</w:t>
      </w:r>
    </w:p>
    <w:p w:rsidR="005476C3" w:rsidRDefault="005476C3">
      <w:pPr>
        <w:rPr>
          <w:lang w:val="fr-CA"/>
        </w:rPr>
      </w:pPr>
      <w:r>
        <w:rPr>
          <w:lang w:val="fr-CA"/>
        </w:rPr>
        <w:br w:type="page"/>
      </w:r>
    </w:p>
    <w:p w:rsidR="005476C3" w:rsidRPr="00A24B20" w:rsidRDefault="005476C3" w:rsidP="005476C3">
      <w:pPr>
        <w:pStyle w:val="Heading1"/>
      </w:pPr>
      <w:r w:rsidRPr="00A24B20">
        <w:lastRenderedPageBreak/>
        <w:t>Environnement et Changement climatique Canada</w:t>
      </w:r>
    </w:p>
    <w:p w:rsidR="005476C3" w:rsidRPr="00A24B20" w:rsidRDefault="005476C3" w:rsidP="005476C3">
      <w:pPr>
        <w:jc w:val="both"/>
        <w:rPr>
          <w:b/>
          <w:lang w:val="fr-CA"/>
        </w:rPr>
      </w:pPr>
      <w:r w:rsidRPr="00A24B20">
        <w:rPr>
          <w:rStyle w:val="Heading2Char"/>
        </w:rPr>
        <w:t>Rendement global</w:t>
      </w:r>
      <w:r w:rsidRPr="00C47D10">
        <w:rPr>
          <w:rStyle w:val="FootnoteReference"/>
          <w:b/>
          <w:lang w:val="fr-CA"/>
        </w:rPr>
        <w:footnoteReference w:id="29"/>
      </w:r>
    </w:p>
    <w:p w:rsidR="005476C3" w:rsidRPr="00C47D10" w:rsidRDefault="005476C3" w:rsidP="005476C3">
      <w:pPr>
        <w:jc w:val="both"/>
        <w:rPr>
          <w:lang w:val="fr-CA"/>
        </w:rPr>
      </w:pPr>
      <w:r w:rsidRPr="00D110E7">
        <w:rPr>
          <w:lang w:val="fr-CA"/>
        </w:rPr>
        <w:t>En 2014-2015, Environnement et Changement climatique Canada (ECCC) a</w:t>
      </w:r>
      <w:r>
        <w:rPr>
          <w:lang w:val="fr-CA"/>
        </w:rPr>
        <w:t xml:space="preserve"> rapporté</w:t>
      </w:r>
      <w:r w:rsidRPr="00D110E7">
        <w:rPr>
          <w:lang w:val="fr-CA"/>
        </w:rPr>
        <w:t xml:space="preserve"> une hausse au niveau du nombre de demandes reçues et a démontré un léger déclin de son rendement. Le présent rapport contient des statistiques comparatives pour les trois dernières périodes (2012 à 2015)</w:t>
      </w:r>
      <w:r w:rsidRPr="00D110E7">
        <w:rPr>
          <w:rStyle w:val="FootnoteReference"/>
          <w:lang w:val="fr-CA"/>
        </w:rPr>
        <w:footnoteReference w:id="30"/>
      </w:r>
      <w:r w:rsidRPr="00D110E7">
        <w:rPr>
          <w:lang w:val="fr-CA"/>
        </w:rPr>
        <w:t>.</w:t>
      </w:r>
    </w:p>
    <w:p w:rsidR="005476C3" w:rsidRPr="00A24B20" w:rsidRDefault="005476C3" w:rsidP="005476C3">
      <w:pPr>
        <w:pStyle w:val="Heading2"/>
      </w:pPr>
      <w:r w:rsidRPr="00A24B20">
        <w:t>Charge de travail</w:t>
      </w:r>
    </w:p>
    <w:p w:rsidR="005476C3" w:rsidRPr="003D12E5" w:rsidRDefault="005476C3" w:rsidP="005476C3">
      <w:pPr>
        <w:jc w:val="both"/>
        <w:rPr>
          <w:lang w:val="fr-CA"/>
        </w:rPr>
      </w:pPr>
      <w:r w:rsidRPr="00C47D10">
        <w:rPr>
          <w:lang w:val="fr-CA"/>
        </w:rPr>
        <w:t xml:space="preserve">ECCC a reçu </w:t>
      </w:r>
      <w:r>
        <w:rPr>
          <w:lang w:val="fr-CA"/>
        </w:rPr>
        <w:t>un total de 1 48</w:t>
      </w:r>
      <w:r w:rsidRPr="00C47D10">
        <w:rPr>
          <w:lang w:val="fr-CA"/>
        </w:rPr>
        <w:t xml:space="preserve">8 demandes en vertu de la </w:t>
      </w:r>
      <w:r w:rsidRPr="00C47D10">
        <w:rPr>
          <w:i/>
          <w:lang w:val="fr-CA"/>
        </w:rPr>
        <w:t>Loi sur l’accès à l‘information</w:t>
      </w:r>
      <w:r w:rsidRPr="00C47D10">
        <w:rPr>
          <w:lang w:val="fr-CA"/>
        </w:rPr>
        <w:t xml:space="preserve"> (la </w:t>
      </w:r>
      <w:r w:rsidRPr="00C47D10">
        <w:rPr>
          <w:i/>
          <w:lang w:val="fr-CA"/>
        </w:rPr>
        <w:t>Loi</w:t>
      </w:r>
      <w:r w:rsidRPr="00C47D10">
        <w:rPr>
          <w:lang w:val="fr-CA"/>
        </w:rPr>
        <w:t>), représentant 2,2 % du nombre total de demandes reçues à l’échelle du gouvernement en 2014</w:t>
      </w:r>
      <w:r>
        <w:rPr>
          <w:lang w:val="fr-CA"/>
        </w:rPr>
        <w:t>-</w:t>
      </w:r>
      <w:r w:rsidRPr="00C47D10">
        <w:rPr>
          <w:lang w:val="fr-CA"/>
        </w:rPr>
        <w:t xml:space="preserve">2015. En </w:t>
      </w:r>
      <w:r w:rsidRPr="003D12E5">
        <w:rPr>
          <w:lang w:val="fr-CA"/>
        </w:rPr>
        <w:t>2013</w:t>
      </w:r>
      <w:r>
        <w:rPr>
          <w:lang w:val="fr-CA"/>
        </w:rPr>
        <w:t>-</w:t>
      </w:r>
      <w:r w:rsidRPr="003D12E5">
        <w:rPr>
          <w:lang w:val="fr-CA"/>
        </w:rPr>
        <w:t>2014, ECCC a reçu 1 459 demandes.</w:t>
      </w:r>
    </w:p>
    <w:p w:rsidR="005476C3" w:rsidRPr="003D12E5" w:rsidRDefault="005476C3" w:rsidP="005476C3">
      <w:pPr>
        <w:jc w:val="both"/>
        <w:rPr>
          <w:lang w:val="fr-CA"/>
        </w:rPr>
      </w:pPr>
      <w:r w:rsidRPr="003D12E5">
        <w:rPr>
          <w:lang w:val="fr-CA"/>
        </w:rPr>
        <w:t>La plupart des demandes reçues provenaient du secteur privé</w:t>
      </w:r>
      <w:r>
        <w:rPr>
          <w:lang w:val="fr-CA"/>
        </w:rPr>
        <w:t xml:space="preserve"> </w:t>
      </w:r>
      <w:r w:rsidRPr="003D12E5">
        <w:rPr>
          <w:lang w:val="fr-CA"/>
        </w:rPr>
        <w:t xml:space="preserve">(71,1 %), suivies des demandes des médias (12,7 %). </w:t>
      </w:r>
      <w:r>
        <w:rPr>
          <w:lang w:val="fr-CA"/>
        </w:rPr>
        <w:t xml:space="preserve">Le nombre de </w:t>
      </w:r>
      <w:r w:rsidRPr="00521491">
        <w:rPr>
          <w:lang w:val="fr-CA"/>
        </w:rPr>
        <w:t xml:space="preserve">demandes du secteur privé </w:t>
      </w:r>
      <w:r>
        <w:rPr>
          <w:lang w:val="fr-CA"/>
        </w:rPr>
        <w:t>a</w:t>
      </w:r>
      <w:r w:rsidRPr="00521491">
        <w:rPr>
          <w:lang w:val="fr-CA"/>
        </w:rPr>
        <w:t xml:space="preserve"> augmenté de 2</w:t>
      </w:r>
      <w:r>
        <w:rPr>
          <w:lang w:val="fr-CA"/>
        </w:rPr>
        <w:t>0,8</w:t>
      </w:r>
      <w:r w:rsidRPr="00521491">
        <w:rPr>
          <w:lang w:val="fr-CA"/>
        </w:rPr>
        <w:t xml:space="preserve"> % </w:t>
      </w:r>
      <w:r>
        <w:rPr>
          <w:lang w:val="fr-CA"/>
        </w:rPr>
        <w:t xml:space="preserve">tandis qu’il y a eu </w:t>
      </w:r>
      <w:r w:rsidRPr="003D12E5">
        <w:rPr>
          <w:lang w:val="fr-CA"/>
        </w:rPr>
        <w:t xml:space="preserve">une diminution </w:t>
      </w:r>
      <w:r>
        <w:rPr>
          <w:lang w:val="fr-CA"/>
        </w:rPr>
        <w:t xml:space="preserve">de 53,8 % et de 37,5 % </w:t>
      </w:r>
      <w:r w:rsidRPr="003D12E5">
        <w:rPr>
          <w:lang w:val="fr-CA"/>
        </w:rPr>
        <w:t>du nombre de demandes provenant des organisation</w:t>
      </w:r>
      <w:r>
        <w:rPr>
          <w:lang w:val="fr-CA"/>
        </w:rPr>
        <w:t>s et du public,</w:t>
      </w:r>
      <w:r w:rsidRPr="005F46C1">
        <w:rPr>
          <w:lang w:val="fr-CA"/>
        </w:rPr>
        <w:t xml:space="preserve"> </w:t>
      </w:r>
      <w:r>
        <w:rPr>
          <w:lang w:val="fr-CA"/>
        </w:rPr>
        <w:t>respectivement.</w:t>
      </w:r>
    </w:p>
    <w:p w:rsidR="005476C3" w:rsidRPr="003D12E5" w:rsidRDefault="005476C3" w:rsidP="005476C3">
      <w:pPr>
        <w:jc w:val="both"/>
        <w:rPr>
          <w:lang w:val="fr-CA"/>
        </w:rPr>
      </w:pPr>
      <w:r w:rsidRPr="003D12E5">
        <w:rPr>
          <w:lang w:val="fr-CA"/>
        </w:rPr>
        <w:t xml:space="preserve">ECCC a </w:t>
      </w:r>
      <w:proofErr w:type="spellStart"/>
      <w:r w:rsidRPr="003D12E5">
        <w:rPr>
          <w:lang w:val="fr-CA"/>
        </w:rPr>
        <w:t>compl</w:t>
      </w:r>
      <w:proofErr w:type="spellEnd"/>
      <w:r w:rsidRPr="003D12E5">
        <w:rPr>
          <w:lang w:val="fr-FR"/>
        </w:rPr>
        <w:t>été</w:t>
      </w:r>
      <w:r w:rsidRPr="003D12E5">
        <w:rPr>
          <w:lang w:val="fr-CA"/>
        </w:rPr>
        <w:t xml:space="preserve"> 1 452 demandes pour</w:t>
      </w:r>
      <w:r>
        <w:rPr>
          <w:lang w:val="fr-CA"/>
        </w:rPr>
        <w:t xml:space="preserve"> cette période de référence. Son </w:t>
      </w:r>
      <w:r w:rsidRPr="003D12E5">
        <w:rPr>
          <w:lang w:val="fr-CA"/>
        </w:rPr>
        <w:t>taux d’achèvement</w:t>
      </w:r>
      <w:r w:rsidRPr="003D12E5">
        <w:rPr>
          <w:rStyle w:val="FootnoteReference"/>
          <w:lang w:val="fr-CA"/>
        </w:rPr>
        <w:footnoteReference w:id="31"/>
      </w:r>
      <w:r w:rsidRPr="003D12E5">
        <w:rPr>
          <w:lang w:val="fr-CA"/>
        </w:rPr>
        <w:t xml:space="preserve"> était de 84,5 %, soit similaire à celui du gouvernem</w:t>
      </w:r>
      <w:r>
        <w:rPr>
          <w:lang w:val="fr-CA"/>
        </w:rPr>
        <w:t>ent dans son ensemble pour 2014-</w:t>
      </w:r>
      <w:r w:rsidRPr="003D12E5">
        <w:rPr>
          <w:lang w:val="fr-CA"/>
        </w:rPr>
        <w:t>2015 qui lui, était de 85,1 %. En 2013</w:t>
      </w:r>
      <w:r>
        <w:rPr>
          <w:lang w:val="fr-CA"/>
        </w:rPr>
        <w:t>-</w:t>
      </w:r>
      <w:r w:rsidRPr="003D12E5">
        <w:rPr>
          <w:lang w:val="fr-CA"/>
        </w:rPr>
        <w:t xml:space="preserve">2014, le taux d’achèvement pour ECCC était de 86,4 %. ECCC a aussi </w:t>
      </w:r>
      <w:r>
        <w:rPr>
          <w:lang w:val="fr-CA"/>
        </w:rPr>
        <w:t>complété</w:t>
      </w:r>
      <w:r w:rsidRPr="003D12E5">
        <w:rPr>
          <w:lang w:val="fr-CA"/>
        </w:rPr>
        <w:t xml:space="preserve"> </w:t>
      </w:r>
      <w:r>
        <w:rPr>
          <w:lang w:val="fr-CA"/>
        </w:rPr>
        <w:t xml:space="preserve">69 </w:t>
      </w:r>
      <w:r w:rsidRPr="003D12E5">
        <w:rPr>
          <w:lang w:val="fr-CA"/>
        </w:rPr>
        <w:t>demandes informelles</w:t>
      </w:r>
      <w:r>
        <w:rPr>
          <w:rStyle w:val="FootnoteReference"/>
          <w:lang w:val="fr-CA"/>
        </w:rPr>
        <w:footnoteReference w:id="32"/>
      </w:r>
      <w:r w:rsidRPr="003D12E5">
        <w:rPr>
          <w:lang w:val="fr-CA"/>
        </w:rPr>
        <w:t xml:space="preserve"> en 2014</w:t>
      </w:r>
      <w:r>
        <w:rPr>
          <w:lang w:val="fr-CA"/>
        </w:rPr>
        <w:t>-</w:t>
      </w:r>
      <w:r w:rsidRPr="003D12E5">
        <w:rPr>
          <w:lang w:val="fr-CA"/>
        </w:rPr>
        <w:t>2015, dont</w:t>
      </w:r>
      <w:r>
        <w:rPr>
          <w:lang w:val="fr-CA"/>
        </w:rPr>
        <w:t xml:space="preserve"> 94,2</w:t>
      </w:r>
      <w:r w:rsidRPr="003D12E5">
        <w:rPr>
          <w:lang w:val="fr-CA"/>
        </w:rPr>
        <w:t xml:space="preserve"> % </w:t>
      </w:r>
      <w:r>
        <w:rPr>
          <w:lang w:val="fr-CA"/>
        </w:rPr>
        <w:t xml:space="preserve">qui </w:t>
      </w:r>
      <w:r w:rsidRPr="003D12E5">
        <w:rPr>
          <w:lang w:val="fr-CA"/>
        </w:rPr>
        <w:t>ont été complétées en 30 jours ou moins. Le nombre de demandes de consultation reçues par ECCC en provenance d’autres institutions fédérales a augmenté de 175 à 200</w:t>
      </w:r>
      <w:r>
        <w:rPr>
          <w:lang w:val="fr-CA"/>
        </w:rPr>
        <w:t>, ce qui représente</w:t>
      </w:r>
      <w:r w:rsidRPr="003D12E5">
        <w:rPr>
          <w:lang w:val="fr-CA"/>
        </w:rPr>
        <w:t xml:space="preserve"> une haus</w:t>
      </w:r>
      <w:r>
        <w:rPr>
          <w:lang w:val="fr-CA"/>
        </w:rPr>
        <w:t>se de 14,3 % par rapport à 2013-</w:t>
      </w:r>
      <w:r w:rsidRPr="003D12E5">
        <w:rPr>
          <w:lang w:val="fr-CA"/>
        </w:rPr>
        <w:t>2014.</w:t>
      </w:r>
    </w:p>
    <w:p w:rsidR="005476C3" w:rsidRPr="00C47D10" w:rsidRDefault="005476C3" w:rsidP="005476C3">
      <w:pPr>
        <w:jc w:val="both"/>
        <w:rPr>
          <w:lang w:val="fr-CA"/>
        </w:rPr>
      </w:pPr>
      <w:r w:rsidRPr="003D12E5">
        <w:rPr>
          <w:lang w:val="fr-CA"/>
        </w:rPr>
        <w:t>En 2014</w:t>
      </w:r>
      <w:r>
        <w:rPr>
          <w:lang w:val="fr-CA"/>
        </w:rPr>
        <w:t>-</w:t>
      </w:r>
      <w:r w:rsidRPr="003D12E5">
        <w:rPr>
          <w:lang w:val="fr-CA"/>
        </w:rPr>
        <w:t xml:space="preserve">2015, ECCC a traité 110 557 pages. Le nombre moyen de pages traitées par demande </w:t>
      </w:r>
      <w:r>
        <w:rPr>
          <w:lang w:val="fr-CA"/>
        </w:rPr>
        <w:t>complétée</w:t>
      </w:r>
      <w:r w:rsidRPr="003D12E5">
        <w:rPr>
          <w:lang w:val="fr-CA"/>
        </w:rPr>
        <w:t xml:space="preserve"> est passé de 295 en 2013</w:t>
      </w:r>
      <w:r>
        <w:rPr>
          <w:lang w:val="fr-CA"/>
        </w:rPr>
        <w:t>-</w:t>
      </w:r>
      <w:r w:rsidRPr="003D12E5">
        <w:rPr>
          <w:lang w:val="fr-CA"/>
        </w:rPr>
        <w:t xml:space="preserve">2014 à </w:t>
      </w:r>
      <w:r>
        <w:rPr>
          <w:lang w:val="fr-CA"/>
        </w:rPr>
        <w:t>192</w:t>
      </w:r>
      <w:r w:rsidRPr="00C47D10">
        <w:rPr>
          <w:lang w:val="fr-CA"/>
        </w:rPr>
        <w:t xml:space="preserve"> en 2014</w:t>
      </w:r>
      <w:r>
        <w:rPr>
          <w:lang w:val="fr-CA"/>
        </w:rPr>
        <w:t>-2015.</w:t>
      </w:r>
    </w:p>
    <w:p w:rsidR="005476C3" w:rsidRDefault="005476C3" w:rsidP="005476C3">
      <w:pPr>
        <w:jc w:val="both"/>
        <w:rPr>
          <w:lang w:val="fr-CA"/>
        </w:rPr>
      </w:pPr>
      <w:r w:rsidRPr="00C47D10">
        <w:rPr>
          <w:lang w:val="fr-CA"/>
        </w:rPr>
        <w:t xml:space="preserve">L’information diffusée par ECCC était </w:t>
      </w:r>
      <w:r>
        <w:rPr>
          <w:lang w:val="fr-CA"/>
        </w:rPr>
        <w:t>majoritairement</w:t>
      </w:r>
      <w:r w:rsidRPr="00C47D10">
        <w:rPr>
          <w:lang w:val="fr-CA"/>
        </w:rPr>
        <w:t xml:space="preserve"> en format papier : 353 demandes en format papier par rapport à 110 demandes en format électronique. </w:t>
      </w:r>
      <w:r w:rsidRPr="00666937">
        <w:rPr>
          <w:lang w:val="fr-CA"/>
        </w:rPr>
        <w:t>Ces résultats sont similaires à ceux observ</w:t>
      </w:r>
      <w:r>
        <w:rPr>
          <w:lang w:val="fr-CA"/>
        </w:rPr>
        <w:t>és lors de l’année précédente (329 demandes en format papier par rapport à</w:t>
      </w:r>
      <w:r w:rsidRPr="00666937">
        <w:rPr>
          <w:lang w:val="fr-CA"/>
        </w:rPr>
        <w:t xml:space="preserve"> </w:t>
      </w:r>
      <w:r>
        <w:rPr>
          <w:lang w:val="fr-CA"/>
        </w:rPr>
        <w:t>89</w:t>
      </w:r>
      <w:r w:rsidRPr="00666937">
        <w:rPr>
          <w:lang w:val="fr-CA"/>
        </w:rPr>
        <w:t xml:space="preserve"> demandes en format électronique)</w:t>
      </w:r>
      <w:r>
        <w:rPr>
          <w:lang w:val="fr-CA"/>
        </w:rPr>
        <w:t>.</w:t>
      </w:r>
    </w:p>
    <w:p w:rsidR="005476C3" w:rsidRPr="00A24B20" w:rsidRDefault="005476C3" w:rsidP="00BA2BE8">
      <w:pPr>
        <w:pStyle w:val="Heading3"/>
      </w:pPr>
      <w:r w:rsidRPr="00A24B20">
        <w:t xml:space="preserve">Tableau </w:t>
      </w:r>
      <w:proofErr w:type="gramStart"/>
      <w:r w:rsidRPr="00A24B20">
        <w:t>1 :</w:t>
      </w:r>
      <w:proofErr w:type="gramEnd"/>
      <w:r w:rsidRPr="00A24B20">
        <w:t xml:space="preserve"> Charge de travail</w:t>
      </w:r>
    </w:p>
    <w:tbl>
      <w:tblPr>
        <w:tblW w:w="9550" w:type="dxa"/>
        <w:tblInd w:w="98" w:type="dxa"/>
        <w:tblLook w:val="04A0"/>
      </w:tblPr>
      <w:tblGrid>
        <w:gridCol w:w="4447"/>
        <w:gridCol w:w="1439"/>
        <w:gridCol w:w="1732"/>
        <w:gridCol w:w="1932"/>
      </w:tblGrid>
      <w:tr w:rsidR="005476C3" w:rsidRPr="00C47D10" w:rsidTr="005476C3">
        <w:trPr>
          <w:trHeight w:val="512"/>
        </w:trPr>
        <w:tc>
          <w:tcPr>
            <w:tcW w:w="4447" w:type="dxa"/>
            <w:tcBorders>
              <w:top w:val="single" w:sz="4" w:space="0" w:color="auto"/>
              <w:left w:val="single" w:sz="4" w:space="0" w:color="auto"/>
              <w:bottom w:val="single" w:sz="8" w:space="0" w:color="auto"/>
              <w:right w:val="nil"/>
            </w:tcBorders>
            <w:shd w:val="clear" w:color="auto" w:fill="auto"/>
            <w:noWrap/>
            <w:vAlign w:val="bottom"/>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xml:space="preserve">Mesures </w:t>
            </w:r>
          </w:p>
        </w:tc>
        <w:tc>
          <w:tcPr>
            <w:tcW w:w="1439" w:type="dxa"/>
            <w:tcBorders>
              <w:top w:val="single" w:sz="4" w:space="0" w:color="auto"/>
              <w:left w:val="nil"/>
              <w:bottom w:val="single" w:sz="8" w:space="0" w:color="auto"/>
              <w:right w:val="nil"/>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2012-2013</w:t>
            </w:r>
          </w:p>
        </w:tc>
        <w:tc>
          <w:tcPr>
            <w:tcW w:w="1732" w:type="dxa"/>
            <w:tcBorders>
              <w:top w:val="single" w:sz="4" w:space="0" w:color="auto"/>
              <w:left w:val="nil"/>
              <w:bottom w:val="single" w:sz="8" w:space="0" w:color="auto"/>
              <w:right w:val="nil"/>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2013-2014</w:t>
            </w:r>
          </w:p>
        </w:tc>
        <w:tc>
          <w:tcPr>
            <w:tcW w:w="1932" w:type="dxa"/>
            <w:tcBorders>
              <w:top w:val="single" w:sz="4" w:space="0" w:color="auto"/>
              <w:left w:val="nil"/>
              <w:bottom w:val="single" w:sz="8" w:space="0" w:color="auto"/>
              <w:right w:val="single" w:sz="4" w:space="0" w:color="auto"/>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2014-2015</w:t>
            </w:r>
          </w:p>
        </w:tc>
      </w:tr>
      <w:tr w:rsidR="005476C3" w:rsidRPr="00C47D10" w:rsidTr="005476C3">
        <w:trPr>
          <w:trHeight w:val="222"/>
        </w:trPr>
        <w:tc>
          <w:tcPr>
            <w:tcW w:w="4447" w:type="dxa"/>
            <w:tcBorders>
              <w:top w:val="nil"/>
              <w:left w:val="single" w:sz="4" w:space="0" w:color="auto"/>
              <w:bottom w:val="nil"/>
              <w:right w:val="nil"/>
            </w:tcBorders>
            <w:shd w:val="clear" w:color="000000" w:fill="DBE5F1"/>
            <w:noWrap/>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xml:space="preserve">Nombre de demandes reçues </w:t>
            </w:r>
          </w:p>
        </w:tc>
        <w:tc>
          <w:tcPr>
            <w:tcW w:w="1439" w:type="dxa"/>
            <w:tcBorders>
              <w:top w:val="nil"/>
              <w:left w:val="nil"/>
              <w:bottom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1 827</w:t>
            </w:r>
          </w:p>
        </w:tc>
        <w:tc>
          <w:tcPr>
            <w:tcW w:w="1732" w:type="dxa"/>
            <w:tcBorders>
              <w:top w:val="nil"/>
              <w:left w:val="nil"/>
              <w:bottom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1 459</w:t>
            </w:r>
          </w:p>
        </w:tc>
        <w:tc>
          <w:tcPr>
            <w:tcW w:w="1932" w:type="dxa"/>
            <w:tcBorders>
              <w:top w:val="nil"/>
              <w:left w:val="nil"/>
              <w:bottom w:val="nil"/>
              <w:right w:val="single" w:sz="4" w:space="0" w:color="auto"/>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1 488</w:t>
            </w:r>
          </w:p>
        </w:tc>
      </w:tr>
      <w:tr w:rsidR="005476C3" w:rsidRPr="00C47D10" w:rsidTr="005476C3">
        <w:trPr>
          <w:trHeight w:val="222"/>
        </w:trPr>
        <w:tc>
          <w:tcPr>
            <w:tcW w:w="4447" w:type="dxa"/>
            <w:tcBorders>
              <w:top w:val="nil"/>
              <w:left w:val="single" w:sz="4" w:space="0" w:color="auto"/>
              <w:bottom w:val="nil"/>
              <w:right w:val="nil"/>
            </w:tcBorders>
            <w:shd w:val="clear" w:color="auto" w:fill="auto"/>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Variation annuelle en %</w:t>
            </w:r>
          </w:p>
        </w:tc>
        <w:tc>
          <w:tcPr>
            <w:tcW w:w="1439" w:type="dxa"/>
            <w:tcBorders>
              <w:top w:val="nil"/>
              <w:left w:val="nil"/>
              <w:bottom w:val="nil"/>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w:t>
            </w:r>
          </w:p>
        </w:tc>
        <w:tc>
          <w:tcPr>
            <w:tcW w:w="1732" w:type="dxa"/>
            <w:tcBorders>
              <w:top w:val="nil"/>
              <w:left w:val="nil"/>
              <w:bottom w:val="nil"/>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-20,1 %</w:t>
            </w:r>
          </w:p>
        </w:tc>
        <w:tc>
          <w:tcPr>
            <w:tcW w:w="1932" w:type="dxa"/>
            <w:tcBorders>
              <w:top w:val="nil"/>
              <w:left w:val="nil"/>
              <w:bottom w:val="nil"/>
              <w:right w:val="single" w:sz="4" w:space="0" w:color="auto"/>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2,0 %</w:t>
            </w:r>
          </w:p>
        </w:tc>
      </w:tr>
      <w:tr w:rsidR="005476C3" w:rsidRPr="00C47D10" w:rsidTr="005476C3">
        <w:trPr>
          <w:trHeight w:val="222"/>
        </w:trPr>
        <w:tc>
          <w:tcPr>
            <w:tcW w:w="4447" w:type="dxa"/>
            <w:tcBorders>
              <w:top w:val="nil"/>
              <w:left w:val="single" w:sz="4" w:space="0" w:color="auto"/>
              <w:right w:val="nil"/>
            </w:tcBorders>
            <w:shd w:val="clear" w:color="000000" w:fill="DBE5F1"/>
            <w:hideMark/>
          </w:tcPr>
          <w:p w:rsidR="005476C3" w:rsidRPr="00C47D10"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lastRenderedPageBreak/>
              <w:t>Demandes complét</w:t>
            </w:r>
            <w:r w:rsidRPr="00C47D10">
              <w:rPr>
                <w:rFonts w:ascii="Calibri" w:eastAsia="Times New Roman" w:hAnsi="Calibri" w:cs="Times New Roman"/>
                <w:color w:val="000000"/>
                <w:lang w:val="fr-CA"/>
              </w:rPr>
              <w:t>ées</w:t>
            </w:r>
          </w:p>
        </w:tc>
        <w:tc>
          <w:tcPr>
            <w:tcW w:w="1439" w:type="dxa"/>
            <w:tcBorders>
              <w:top w:val="nil"/>
              <w:left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1 810</w:t>
            </w:r>
          </w:p>
        </w:tc>
        <w:tc>
          <w:tcPr>
            <w:tcW w:w="1732" w:type="dxa"/>
            <w:tcBorders>
              <w:top w:val="nil"/>
              <w:left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1 424</w:t>
            </w:r>
          </w:p>
        </w:tc>
        <w:tc>
          <w:tcPr>
            <w:tcW w:w="1932" w:type="dxa"/>
            <w:tcBorders>
              <w:top w:val="nil"/>
              <w:left w:val="nil"/>
              <w:right w:val="single" w:sz="4" w:space="0" w:color="auto"/>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1 452</w:t>
            </w:r>
          </w:p>
        </w:tc>
      </w:tr>
      <w:tr w:rsidR="005476C3" w:rsidRPr="00C47D10" w:rsidTr="005476C3">
        <w:trPr>
          <w:trHeight w:val="233"/>
        </w:trPr>
        <w:tc>
          <w:tcPr>
            <w:tcW w:w="4447" w:type="dxa"/>
            <w:tcBorders>
              <w:top w:val="nil"/>
              <w:left w:val="single" w:sz="4" w:space="0" w:color="auto"/>
              <w:right w:val="nil"/>
            </w:tcBorders>
            <w:shd w:val="clear" w:color="auto" w:fill="auto"/>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Variation annuelle en %</w:t>
            </w:r>
          </w:p>
        </w:tc>
        <w:tc>
          <w:tcPr>
            <w:tcW w:w="1439" w:type="dxa"/>
            <w:tcBorders>
              <w:top w:val="nil"/>
              <w:left w:val="nil"/>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w:t>
            </w:r>
          </w:p>
        </w:tc>
        <w:tc>
          <w:tcPr>
            <w:tcW w:w="1732" w:type="dxa"/>
            <w:tcBorders>
              <w:top w:val="nil"/>
              <w:left w:val="nil"/>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-21,3 %</w:t>
            </w:r>
          </w:p>
        </w:tc>
        <w:tc>
          <w:tcPr>
            <w:tcW w:w="1932" w:type="dxa"/>
            <w:tcBorders>
              <w:top w:val="nil"/>
              <w:left w:val="nil"/>
              <w:right w:val="single" w:sz="4" w:space="0" w:color="auto"/>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2,0 %</w:t>
            </w:r>
          </w:p>
        </w:tc>
      </w:tr>
      <w:tr w:rsidR="005476C3" w:rsidRPr="00C47D10" w:rsidTr="005476C3">
        <w:trPr>
          <w:trHeight w:val="352"/>
        </w:trPr>
        <w:tc>
          <w:tcPr>
            <w:tcW w:w="4447" w:type="dxa"/>
            <w:tcBorders>
              <w:top w:val="nil"/>
              <w:left w:val="single" w:sz="4" w:space="0" w:color="auto"/>
              <w:right w:val="nil"/>
            </w:tcBorders>
            <w:shd w:val="clear" w:color="000000" w:fill="DBE5F1"/>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xml:space="preserve">Nombre de demandes de </w:t>
            </w:r>
            <w:r>
              <w:rPr>
                <w:rFonts w:ascii="Calibri" w:eastAsia="Times New Roman" w:hAnsi="Calibri" w:cs="Times New Roman"/>
                <w:color w:val="000000"/>
                <w:lang w:val="fr-CA"/>
              </w:rPr>
              <w:t>consultation</w:t>
            </w:r>
            <w:r w:rsidRPr="00C47D10">
              <w:rPr>
                <w:rFonts w:ascii="Calibri" w:eastAsia="Times New Roman" w:hAnsi="Calibri" w:cs="Times New Roman"/>
                <w:color w:val="000000"/>
                <w:lang w:val="fr-CA"/>
              </w:rPr>
              <w:t xml:space="preserve"> reçues (d’autres institutions fédérales)</w:t>
            </w:r>
          </w:p>
        </w:tc>
        <w:tc>
          <w:tcPr>
            <w:tcW w:w="1439" w:type="dxa"/>
            <w:tcBorders>
              <w:top w:val="nil"/>
              <w:left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248</w:t>
            </w:r>
          </w:p>
        </w:tc>
        <w:tc>
          <w:tcPr>
            <w:tcW w:w="1732" w:type="dxa"/>
            <w:tcBorders>
              <w:top w:val="nil"/>
              <w:left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175</w:t>
            </w:r>
          </w:p>
        </w:tc>
        <w:tc>
          <w:tcPr>
            <w:tcW w:w="1932" w:type="dxa"/>
            <w:tcBorders>
              <w:top w:val="nil"/>
              <w:left w:val="nil"/>
              <w:right w:val="single" w:sz="4" w:space="0" w:color="auto"/>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200</w:t>
            </w:r>
          </w:p>
        </w:tc>
      </w:tr>
      <w:tr w:rsidR="005476C3" w:rsidRPr="00C47D10" w:rsidTr="005476C3">
        <w:trPr>
          <w:trHeight w:val="252"/>
        </w:trPr>
        <w:tc>
          <w:tcPr>
            <w:tcW w:w="4447" w:type="dxa"/>
            <w:tcBorders>
              <w:top w:val="nil"/>
              <w:left w:val="single" w:sz="4" w:space="0" w:color="auto"/>
              <w:right w:val="nil"/>
            </w:tcBorders>
            <w:shd w:val="clear" w:color="auto" w:fill="auto"/>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Variation annuelle en %</w:t>
            </w:r>
          </w:p>
        </w:tc>
        <w:tc>
          <w:tcPr>
            <w:tcW w:w="1439" w:type="dxa"/>
            <w:tcBorders>
              <w:top w:val="nil"/>
              <w:left w:val="nil"/>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w:t>
            </w:r>
          </w:p>
        </w:tc>
        <w:tc>
          <w:tcPr>
            <w:tcW w:w="1732" w:type="dxa"/>
            <w:tcBorders>
              <w:top w:val="nil"/>
              <w:left w:val="nil"/>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-29,4 %</w:t>
            </w:r>
          </w:p>
        </w:tc>
        <w:tc>
          <w:tcPr>
            <w:tcW w:w="1932" w:type="dxa"/>
            <w:tcBorders>
              <w:top w:val="nil"/>
              <w:left w:val="nil"/>
              <w:right w:val="single" w:sz="4" w:space="0" w:color="auto"/>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14,3 %</w:t>
            </w:r>
          </w:p>
        </w:tc>
      </w:tr>
      <w:tr w:rsidR="005476C3" w:rsidRPr="00C47D10" w:rsidTr="005476C3">
        <w:trPr>
          <w:trHeight w:val="461"/>
        </w:trPr>
        <w:tc>
          <w:tcPr>
            <w:tcW w:w="4447" w:type="dxa"/>
            <w:tcBorders>
              <w:left w:val="single" w:sz="4" w:space="0" w:color="auto"/>
              <w:bottom w:val="nil"/>
              <w:right w:val="nil"/>
            </w:tcBorders>
            <w:shd w:val="clear" w:color="000000" w:fill="DBE5F1"/>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439" w:type="dxa"/>
            <w:tcBorders>
              <w:left w:val="nil"/>
              <w:bottom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153</w:t>
            </w:r>
          </w:p>
        </w:tc>
        <w:tc>
          <w:tcPr>
            <w:tcW w:w="1732" w:type="dxa"/>
            <w:tcBorders>
              <w:left w:val="nil"/>
              <w:bottom w:val="nil"/>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295</w:t>
            </w:r>
          </w:p>
        </w:tc>
        <w:tc>
          <w:tcPr>
            <w:tcW w:w="1932" w:type="dxa"/>
            <w:tcBorders>
              <w:left w:val="nil"/>
              <w:bottom w:val="nil"/>
              <w:right w:val="single" w:sz="4" w:space="0" w:color="auto"/>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192</w:t>
            </w:r>
          </w:p>
        </w:tc>
      </w:tr>
      <w:tr w:rsidR="005476C3" w:rsidRPr="00C47D10" w:rsidTr="005476C3">
        <w:trPr>
          <w:trHeight w:val="377"/>
        </w:trPr>
        <w:tc>
          <w:tcPr>
            <w:tcW w:w="4447" w:type="dxa"/>
            <w:tcBorders>
              <w:top w:val="nil"/>
              <w:left w:val="single" w:sz="4" w:space="0" w:color="auto"/>
              <w:bottom w:val="single" w:sz="4" w:space="0" w:color="auto"/>
              <w:right w:val="nil"/>
            </w:tcBorders>
            <w:shd w:val="clear" w:color="auto" w:fill="auto"/>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des demandes pour lesquelles plus de 1 000 pages ont été traitées</w:t>
            </w:r>
          </w:p>
        </w:tc>
        <w:tc>
          <w:tcPr>
            <w:tcW w:w="1439" w:type="dxa"/>
            <w:tcBorders>
              <w:top w:val="nil"/>
              <w:left w:val="nil"/>
              <w:bottom w:val="single" w:sz="4" w:space="0" w:color="auto"/>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3,3 %</w:t>
            </w:r>
          </w:p>
        </w:tc>
        <w:tc>
          <w:tcPr>
            <w:tcW w:w="1732" w:type="dxa"/>
            <w:tcBorders>
              <w:top w:val="nil"/>
              <w:left w:val="nil"/>
              <w:bottom w:val="single" w:sz="4" w:space="0" w:color="auto"/>
              <w:right w:val="nil"/>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3,2 %</w:t>
            </w:r>
          </w:p>
        </w:tc>
        <w:tc>
          <w:tcPr>
            <w:tcW w:w="1932" w:type="dxa"/>
            <w:tcBorders>
              <w:top w:val="nil"/>
              <w:left w:val="nil"/>
              <w:bottom w:val="single" w:sz="4" w:space="0" w:color="auto"/>
              <w:right w:val="single" w:sz="4" w:space="0" w:color="auto"/>
            </w:tcBorders>
            <w:shd w:val="clear" w:color="auto" w:fill="auto"/>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4,0 %</w:t>
            </w:r>
          </w:p>
        </w:tc>
      </w:tr>
    </w:tbl>
    <w:p w:rsidR="005476C3" w:rsidRPr="00A24B20" w:rsidRDefault="005476C3" w:rsidP="005476C3">
      <w:pPr>
        <w:pStyle w:val="Heading2"/>
        <w:spacing w:before="240"/>
      </w:pPr>
      <w:r w:rsidRPr="00A24B20">
        <w:t>Délai de traitement des demandes</w:t>
      </w:r>
    </w:p>
    <w:p w:rsidR="005476C3" w:rsidRPr="00A24B20" w:rsidRDefault="005476C3" w:rsidP="005476C3">
      <w:pPr>
        <w:pStyle w:val="Heading4"/>
      </w:pPr>
      <w:r w:rsidRPr="00A24B20">
        <w:t>Rapidité</w:t>
      </w:r>
    </w:p>
    <w:p w:rsidR="005476C3" w:rsidRPr="00C47D10" w:rsidRDefault="005476C3" w:rsidP="005476C3">
      <w:pPr>
        <w:jc w:val="both"/>
        <w:rPr>
          <w:lang w:val="fr-CA"/>
        </w:rPr>
      </w:pPr>
      <w:r w:rsidRPr="00C47D10">
        <w:rPr>
          <w:lang w:val="fr-CA"/>
        </w:rPr>
        <w:t xml:space="preserve">La figure 1 révèle que 72,1 % des </w:t>
      </w:r>
      <w:r>
        <w:rPr>
          <w:lang w:val="fr-CA"/>
        </w:rPr>
        <w:t>demandes ont été complét</w:t>
      </w:r>
      <w:r w:rsidRPr="00C47D10">
        <w:rPr>
          <w:lang w:val="fr-CA"/>
        </w:rPr>
        <w:t xml:space="preserve">ées en 30 jours ou moins, soit une légère diminution par rapport aux </w:t>
      </w:r>
      <w:r>
        <w:rPr>
          <w:lang w:val="fr-CA"/>
        </w:rPr>
        <w:t>75,4 %</w:t>
      </w:r>
      <w:r w:rsidRPr="00C47D10">
        <w:rPr>
          <w:lang w:val="fr-CA"/>
        </w:rPr>
        <w:t xml:space="preserve"> observés en 2013</w:t>
      </w:r>
      <w:r w:rsidRPr="00C47D10">
        <w:rPr>
          <w:lang w:val="fr-CA"/>
        </w:rPr>
        <w:noBreakHyphen/>
        <w:t>2014</w:t>
      </w:r>
      <w:r>
        <w:rPr>
          <w:lang w:val="fr-CA"/>
        </w:rPr>
        <w:t>.</w:t>
      </w:r>
      <w:r w:rsidRPr="00C47D10">
        <w:rPr>
          <w:lang w:val="fr-CA"/>
        </w:rPr>
        <w:t xml:space="preserve"> </w:t>
      </w:r>
      <w:r>
        <w:rPr>
          <w:lang w:val="fr-CA"/>
        </w:rPr>
        <w:t xml:space="preserve">La proportion de demandes complétées entre </w:t>
      </w:r>
      <w:r w:rsidRPr="00C47D10">
        <w:rPr>
          <w:lang w:val="fr-CA"/>
        </w:rPr>
        <w:t xml:space="preserve">31 et 60 jours </w:t>
      </w:r>
      <w:r>
        <w:rPr>
          <w:lang w:val="fr-CA"/>
        </w:rPr>
        <w:t>a presque doublé, passant de 5 % en 2013-2014 à 9,2 % en 2014-2015</w:t>
      </w:r>
      <w:r w:rsidRPr="00C47D10">
        <w:rPr>
          <w:lang w:val="fr-CA"/>
        </w:rPr>
        <w:t xml:space="preserve">. On observe également une faible diminution du nombre de demandes </w:t>
      </w:r>
      <w:r>
        <w:rPr>
          <w:lang w:val="fr-CA"/>
        </w:rPr>
        <w:t xml:space="preserve">qui ont </w:t>
      </w:r>
      <w:r w:rsidRPr="00C47D10">
        <w:rPr>
          <w:lang w:val="fr-CA"/>
        </w:rPr>
        <w:t>pris plus de 365 jours</w:t>
      </w:r>
      <w:r>
        <w:rPr>
          <w:lang w:val="fr-CA"/>
        </w:rPr>
        <w:t xml:space="preserve"> à compléter</w:t>
      </w:r>
      <w:r w:rsidRPr="00C47D10">
        <w:rPr>
          <w:lang w:val="fr-CA"/>
        </w:rPr>
        <w:t>.</w:t>
      </w:r>
    </w:p>
    <w:p w:rsidR="005476C3" w:rsidRPr="005476C3" w:rsidRDefault="005476C3" w:rsidP="00BA2BE8">
      <w:pPr>
        <w:pStyle w:val="Heading3"/>
        <w:rPr>
          <w:sz w:val="24"/>
          <w:szCs w:val="24"/>
          <w:lang w:val="fr-FR"/>
        </w:rPr>
      </w:pPr>
      <w:r w:rsidRPr="005476C3">
        <w:rPr>
          <w:lang w:val="fr-FR"/>
        </w:rPr>
        <w:t>Figure 1 : Délai de traitement des demandes</w:t>
      </w:r>
    </w:p>
    <w:p w:rsidR="005476C3" w:rsidRPr="00A24B20" w:rsidRDefault="005476C3" w:rsidP="005476C3">
      <w:pPr>
        <w:spacing w:line="240" w:lineRule="auto"/>
        <w:rPr>
          <w:sz w:val="24"/>
          <w:szCs w:val="24"/>
          <w:lang w:val="fr-CA"/>
        </w:rPr>
      </w:pPr>
      <w:r w:rsidRPr="00CC7FA1">
        <w:rPr>
          <w:noProof/>
          <w:color w:val="FF0000"/>
          <w:sz w:val="24"/>
          <w:szCs w:val="24"/>
        </w:rPr>
        <w:drawing>
          <wp:inline distT="0" distB="0" distL="0" distR="0">
            <wp:extent cx="5943600" cy="3735237"/>
            <wp:effectExtent l="0" t="0" r="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476C3" w:rsidRPr="00A24B20" w:rsidRDefault="005476C3" w:rsidP="005476C3">
      <w:pPr>
        <w:pStyle w:val="Heading4"/>
      </w:pPr>
      <w:r w:rsidRPr="00A24B20">
        <w:t>Prorogations</w:t>
      </w:r>
    </w:p>
    <w:p w:rsidR="005476C3" w:rsidRPr="000974F2" w:rsidRDefault="005476C3" w:rsidP="005476C3">
      <w:pPr>
        <w:jc w:val="both"/>
        <w:rPr>
          <w:lang w:val="fr-CA"/>
        </w:rPr>
      </w:pPr>
      <w:r w:rsidRPr="000974F2">
        <w:rPr>
          <w:lang w:val="fr-CA"/>
        </w:rPr>
        <w:lastRenderedPageBreak/>
        <w:t>ECCC a eu recours à 541 prorogations en 2014</w:t>
      </w:r>
      <w:r w:rsidRPr="000974F2">
        <w:rPr>
          <w:lang w:val="fr-CA"/>
        </w:rPr>
        <w:noBreakHyphen/>
        <w:t>2015 par rapport à 476 en 2013</w:t>
      </w:r>
      <w:r w:rsidRPr="000974F2">
        <w:rPr>
          <w:lang w:val="fr-CA"/>
        </w:rPr>
        <w:noBreakHyphen/>
        <w:t>2014. L’entrave au fonctionnement de l’institution (39,9 %) était la raison la plus fréquemment invoquée pour demander une prorogation, suivie des demandes de consultation (30,6 %) et des avis à des tiers (29,3 %).</w:t>
      </w:r>
    </w:p>
    <w:p w:rsidR="005476C3" w:rsidRPr="00C47D10" w:rsidRDefault="005476C3" w:rsidP="005476C3">
      <w:pPr>
        <w:jc w:val="both"/>
        <w:rPr>
          <w:lang w:val="fr-CA"/>
        </w:rPr>
      </w:pPr>
      <w:r w:rsidRPr="00C47D10">
        <w:rPr>
          <w:lang w:val="fr-CA"/>
        </w:rPr>
        <w:t>La figure 2 montre que 37,5 % des prorogations en 2014</w:t>
      </w:r>
      <w:r w:rsidRPr="00C47D10">
        <w:rPr>
          <w:lang w:val="fr-CA"/>
        </w:rPr>
        <w:noBreakHyphen/>
        <w:t xml:space="preserve">2015 étaient de 30 jours ou moins. Il s’agit d’une réduction de </w:t>
      </w:r>
      <w:r>
        <w:rPr>
          <w:lang w:val="fr-CA"/>
        </w:rPr>
        <w:t>1,5 %</w:t>
      </w:r>
      <w:r w:rsidRPr="00C47D10">
        <w:rPr>
          <w:lang w:val="fr-CA"/>
        </w:rPr>
        <w:t xml:space="preserve"> par rapport à 2013</w:t>
      </w:r>
      <w:r w:rsidRPr="00C47D10">
        <w:rPr>
          <w:lang w:val="fr-CA"/>
        </w:rPr>
        <w:noBreakHyphen/>
        <w:t>2014.</w:t>
      </w:r>
      <w:r w:rsidRPr="00C47D10">
        <w:rPr>
          <w:color w:val="FF0000"/>
          <w:lang w:val="fr-CA"/>
        </w:rPr>
        <w:t xml:space="preserve"> </w:t>
      </w:r>
      <w:r w:rsidRPr="00C47D10">
        <w:rPr>
          <w:lang w:val="fr-CA"/>
        </w:rPr>
        <w:t>La figur</w:t>
      </w:r>
      <w:r>
        <w:rPr>
          <w:lang w:val="fr-CA"/>
        </w:rPr>
        <w:t>e 2 montre également que la proportion</w:t>
      </w:r>
      <w:r w:rsidRPr="00C47D10">
        <w:rPr>
          <w:lang w:val="fr-CA"/>
        </w:rPr>
        <w:t xml:space="preserve"> des prorogations de 31 à 60 jours en 2014</w:t>
      </w:r>
      <w:r w:rsidRPr="00C47D10">
        <w:rPr>
          <w:lang w:val="fr-CA"/>
        </w:rPr>
        <w:noBreakHyphen/>
        <w:t xml:space="preserve">2015 a </w:t>
      </w:r>
      <w:r>
        <w:rPr>
          <w:lang w:val="fr-CA"/>
        </w:rPr>
        <w:t xml:space="preserve">augmenté de 11,8 </w:t>
      </w:r>
      <w:r w:rsidRPr="00C47D10">
        <w:rPr>
          <w:lang w:val="fr-CA"/>
        </w:rPr>
        <w:t>% par rapport à 2013</w:t>
      </w:r>
      <w:r w:rsidRPr="00C47D10">
        <w:rPr>
          <w:lang w:val="fr-CA"/>
        </w:rPr>
        <w:noBreakHyphen/>
        <w:t xml:space="preserve">2014. </w:t>
      </w:r>
      <w:r>
        <w:rPr>
          <w:lang w:val="fr-CA"/>
        </w:rPr>
        <w:t>Aucune prorogation de plus de 120 jours n’a été prise</w:t>
      </w:r>
      <w:r w:rsidRPr="00C47D10">
        <w:rPr>
          <w:lang w:val="fr-CA"/>
        </w:rPr>
        <w:t>, par oppositi</w:t>
      </w:r>
      <w:r>
        <w:rPr>
          <w:lang w:val="fr-CA"/>
        </w:rPr>
        <w:t>on à la période précédente, où deux</w:t>
      </w:r>
      <w:r w:rsidRPr="00C47D10">
        <w:rPr>
          <w:lang w:val="fr-CA"/>
        </w:rPr>
        <w:t> pr</w:t>
      </w:r>
      <w:r>
        <w:rPr>
          <w:lang w:val="fr-CA"/>
        </w:rPr>
        <w:t>orogations de 181 et 365 jours avaient</w:t>
      </w:r>
      <w:r w:rsidRPr="00C47D10">
        <w:rPr>
          <w:lang w:val="fr-CA"/>
        </w:rPr>
        <w:t xml:space="preserve"> été demandées.</w:t>
      </w:r>
    </w:p>
    <w:p w:rsidR="005476C3" w:rsidRPr="00582655" w:rsidRDefault="005476C3" w:rsidP="00BA2BE8">
      <w:pPr>
        <w:pStyle w:val="Heading3"/>
      </w:pPr>
      <w:r w:rsidRPr="00582655">
        <w:t xml:space="preserve">Figure </w:t>
      </w:r>
      <w:proofErr w:type="gramStart"/>
      <w:r w:rsidRPr="00582655">
        <w:t>2 :</w:t>
      </w:r>
      <w:proofErr w:type="gramEnd"/>
      <w:r w:rsidRPr="00582655">
        <w:t xml:space="preserve"> </w:t>
      </w:r>
      <w:proofErr w:type="spellStart"/>
      <w:r w:rsidRPr="00582655">
        <w:t>Duré</w:t>
      </w:r>
      <w:r>
        <w:t>e</w:t>
      </w:r>
      <w:proofErr w:type="spellEnd"/>
      <w:r>
        <w:t xml:space="preserve"> des prorogations</w:t>
      </w:r>
    </w:p>
    <w:p w:rsidR="005476C3" w:rsidRPr="00C47D10" w:rsidRDefault="005476C3" w:rsidP="005476C3">
      <w:pPr>
        <w:spacing w:line="360" w:lineRule="auto"/>
        <w:jc w:val="both"/>
        <w:rPr>
          <w:lang w:val="fr-CA"/>
        </w:rPr>
      </w:pPr>
      <w:r w:rsidRPr="00CC7FA1">
        <w:rPr>
          <w:noProof/>
        </w:rPr>
        <w:drawing>
          <wp:inline distT="0" distB="0" distL="0" distR="0">
            <wp:extent cx="5943600" cy="3614467"/>
            <wp:effectExtent l="0" t="0" r="0" b="508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476C3" w:rsidRPr="00A24B20" w:rsidRDefault="005476C3" w:rsidP="005476C3">
      <w:pPr>
        <w:pStyle w:val="Heading4"/>
      </w:pPr>
      <w:r>
        <w:t>Présomptions de refus</w:t>
      </w:r>
    </w:p>
    <w:p w:rsidR="005476C3" w:rsidRPr="000974F2" w:rsidRDefault="005476C3" w:rsidP="005476C3">
      <w:pPr>
        <w:jc w:val="both"/>
        <w:rPr>
          <w:lang w:val="fr-CA"/>
        </w:rPr>
      </w:pPr>
      <w:r w:rsidRPr="000974F2">
        <w:rPr>
          <w:lang w:val="fr-CA"/>
        </w:rPr>
        <w:t>En 2014</w:t>
      </w:r>
      <w:r w:rsidRPr="000974F2">
        <w:rPr>
          <w:lang w:val="fr-CA"/>
        </w:rPr>
        <w:noBreakHyphen/>
        <w:t>2015, 163 demandes ont été fermées après l’échéancier réglementaire, ce qui représente 11,2 % des demandes complétées. Ce résultat procure à ECCC la note de « C »</w:t>
      </w:r>
      <w:r w:rsidRPr="000974F2">
        <w:rPr>
          <w:rStyle w:val="FootnoteReference"/>
          <w:lang w:val="fr-CA"/>
        </w:rPr>
        <w:footnoteReference w:id="33"/>
      </w:r>
      <w:r w:rsidRPr="000974F2">
        <w:rPr>
          <w:lang w:val="fr-CA"/>
        </w:rPr>
        <w:t>. La charge de travail (41,1 %) était la raison la plus fréquemment invoquée, suivie des consultations externes (33,7 %).</w:t>
      </w:r>
    </w:p>
    <w:p w:rsidR="005476C3" w:rsidRPr="000974F2" w:rsidRDefault="005476C3" w:rsidP="005476C3">
      <w:pPr>
        <w:jc w:val="both"/>
        <w:rPr>
          <w:lang w:val="fr-CA"/>
        </w:rPr>
      </w:pPr>
      <w:r w:rsidRPr="000974F2">
        <w:rPr>
          <w:lang w:val="fr-CA"/>
        </w:rPr>
        <w:t>La figure 3 montre que 25,2 % des demandes échues étaient en retard de 30 jours ou moins et que 35,0 % des demandes étaient en retard de plus de 120 jours. Ces pourcentages sont comparables à ceux de la période précédente.</w:t>
      </w:r>
    </w:p>
    <w:p w:rsidR="005476C3" w:rsidRPr="00957E09" w:rsidRDefault="005476C3">
      <w:pPr>
        <w:rPr>
          <w:b/>
          <w:lang w:val="fr-FR"/>
        </w:rPr>
      </w:pPr>
      <w:r w:rsidRPr="00957E09">
        <w:rPr>
          <w:lang w:val="fr-FR"/>
        </w:rPr>
        <w:lastRenderedPageBreak/>
        <w:br w:type="page"/>
      </w:r>
    </w:p>
    <w:p w:rsidR="005476C3" w:rsidRPr="005476C3" w:rsidRDefault="005476C3" w:rsidP="00BA2BE8">
      <w:pPr>
        <w:pStyle w:val="Heading3"/>
        <w:rPr>
          <w:lang w:val="fr-FR"/>
        </w:rPr>
      </w:pPr>
      <w:r w:rsidRPr="005476C3">
        <w:rPr>
          <w:lang w:val="fr-FR"/>
        </w:rPr>
        <w:lastRenderedPageBreak/>
        <w:t>Figure 3 : Retard des demandes échues</w:t>
      </w:r>
    </w:p>
    <w:p w:rsidR="005476C3" w:rsidRPr="00C47D10" w:rsidRDefault="005476C3" w:rsidP="005476C3">
      <w:pPr>
        <w:rPr>
          <w:color w:val="FF0000"/>
          <w:sz w:val="24"/>
          <w:szCs w:val="24"/>
          <w:lang w:val="fr-CA"/>
        </w:rPr>
      </w:pPr>
      <w:r w:rsidRPr="00CC7FA1">
        <w:rPr>
          <w:noProof/>
          <w:color w:val="FF0000"/>
          <w:sz w:val="24"/>
          <w:szCs w:val="24"/>
        </w:rPr>
        <w:drawing>
          <wp:inline distT="0" distB="0" distL="0" distR="0">
            <wp:extent cx="5891530" cy="3943350"/>
            <wp:effectExtent l="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476C3" w:rsidRPr="00A24B20" w:rsidRDefault="005476C3" w:rsidP="005476C3">
      <w:pPr>
        <w:pStyle w:val="Heading2"/>
      </w:pPr>
      <w:r w:rsidRPr="00A24B20">
        <w:t>Divulgation</w:t>
      </w:r>
    </w:p>
    <w:p w:rsidR="005476C3" w:rsidRPr="00A24B20" w:rsidRDefault="005476C3" w:rsidP="005476C3">
      <w:pPr>
        <w:pStyle w:val="Heading4"/>
      </w:pPr>
      <w:r w:rsidRPr="00A24B20">
        <w:t>Pourcentage de demandes pour lesquelles l’information a été divulguée</w:t>
      </w:r>
    </w:p>
    <w:p w:rsidR="005476C3" w:rsidRPr="00C47D10" w:rsidRDefault="005476C3" w:rsidP="005476C3">
      <w:pPr>
        <w:jc w:val="both"/>
        <w:rPr>
          <w:lang w:val="fr-CA"/>
        </w:rPr>
      </w:pPr>
      <w:r w:rsidRPr="00C47D10">
        <w:rPr>
          <w:lang w:val="fr-CA"/>
        </w:rPr>
        <w:t>En 20</w:t>
      </w:r>
      <w:r>
        <w:rPr>
          <w:lang w:val="fr-CA"/>
        </w:rPr>
        <w:t>14</w:t>
      </w:r>
      <w:r>
        <w:rPr>
          <w:lang w:val="fr-CA"/>
        </w:rPr>
        <w:noBreakHyphen/>
        <w:t>2015, 8,3 % des demandes complé</w:t>
      </w:r>
      <w:r w:rsidRPr="00C47D10">
        <w:rPr>
          <w:lang w:val="fr-CA"/>
        </w:rPr>
        <w:t>tées ont fait l’objet d’une divulgation complète, ce qui représente le taux de divulgation le plus faible depuis 2012 (voir figure 4). La figure 4 montre également que le taux des demandes faisant l’objet d’une divulgation partielle était de 23,6 % en 2014</w:t>
      </w:r>
      <w:r w:rsidRPr="00C47D10">
        <w:rPr>
          <w:lang w:val="fr-CA"/>
        </w:rPr>
        <w:noBreakHyphen/>
        <w:t>2015, ce qui représente une augmentation de 3</w:t>
      </w:r>
      <w:r>
        <w:rPr>
          <w:lang w:val="fr-CA"/>
        </w:rPr>
        <w:t>,3</w:t>
      </w:r>
      <w:r w:rsidRPr="00C47D10">
        <w:rPr>
          <w:lang w:val="fr-CA"/>
        </w:rPr>
        <w:t> % par ra</w:t>
      </w:r>
      <w:r>
        <w:rPr>
          <w:lang w:val="fr-CA"/>
        </w:rPr>
        <w:t>pport à la période précédente.</w:t>
      </w:r>
    </w:p>
    <w:p w:rsidR="005476C3" w:rsidRPr="00C47D10" w:rsidRDefault="005476C3" w:rsidP="005476C3">
      <w:pPr>
        <w:spacing w:line="240" w:lineRule="auto"/>
        <w:rPr>
          <w:lang w:val="fr-CA"/>
        </w:rPr>
      </w:pPr>
      <w:r w:rsidRPr="00957E09">
        <w:rPr>
          <w:rStyle w:val="Heading3Char"/>
          <w:lang w:val="fr-FR"/>
        </w:rPr>
        <w:lastRenderedPageBreak/>
        <w:t>Figure 4 : Niveau de divulgation</w:t>
      </w:r>
      <w:r w:rsidRPr="00CC7FA1">
        <w:rPr>
          <w:noProof/>
        </w:rPr>
        <w:drawing>
          <wp:inline distT="0" distB="0" distL="0" distR="0">
            <wp:extent cx="5899868" cy="3729161"/>
            <wp:effectExtent l="0" t="0" r="5715" b="5080"/>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476C3" w:rsidRPr="00A24B20" w:rsidRDefault="005476C3" w:rsidP="005476C3">
      <w:pPr>
        <w:pStyle w:val="Heading4"/>
      </w:pPr>
      <w:r w:rsidRPr="00A24B20">
        <w:t>Exceptions</w:t>
      </w:r>
    </w:p>
    <w:p w:rsidR="005476C3" w:rsidRPr="00C47D10" w:rsidRDefault="005476C3" w:rsidP="005476C3">
      <w:pPr>
        <w:jc w:val="both"/>
        <w:rPr>
          <w:lang w:val="fr-CA"/>
        </w:rPr>
      </w:pPr>
      <w:r w:rsidRPr="00C47D10">
        <w:rPr>
          <w:lang w:val="fr-CA"/>
        </w:rPr>
        <w:t>En 2014</w:t>
      </w:r>
      <w:r w:rsidRPr="00C47D10">
        <w:rPr>
          <w:lang w:val="fr-CA"/>
        </w:rPr>
        <w:noBreakHyphen/>
        <w:t>2015, ECCC a eu recours à un total de</w:t>
      </w:r>
      <w:r>
        <w:rPr>
          <w:lang w:val="fr-CA"/>
        </w:rPr>
        <w:t xml:space="preserve"> 886 exceptions par rapport à 801</w:t>
      </w:r>
      <w:r w:rsidRPr="00C47D10">
        <w:rPr>
          <w:lang w:val="fr-CA"/>
        </w:rPr>
        <w:t xml:space="preserve"> lors de la période précédente. Nous constatons qu’en moyenne, le nombre d’exceptions par demande </w:t>
      </w:r>
      <w:r>
        <w:rPr>
          <w:lang w:val="fr-CA"/>
        </w:rPr>
        <w:t>complétée</w:t>
      </w:r>
      <w:r w:rsidRPr="00C47D10">
        <w:rPr>
          <w:lang w:val="fr-CA"/>
        </w:rPr>
        <w:t xml:space="preserve"> (0,6</w:t>
      </w:r>
      <w:r>
        <w:rPr>
          <w:lang w:val="fr-CA"/>
        </w:rPr>
        <w:t>1</w:t>
      </w:r>
      <w:r w:rsidRPr="00C47D10">
        <w:rPr>
          <w:lang w:val="fr-CA"/>
        </w:rPr>
        <w:t>) est à peu près le même pour la période de r</w:t>
      </w:r>
      <w:r>
        <w:rPr>
          <w:lang w:val="fr-CA"/>
        </w:rPr>
        <w:t>éférence actuelle</w:t>
      </w:r>
      <w:r w:rsidRPr="00C47D10">
        <w:rPr>
          <w:lang w:val="fr-CA"/>
        </w:rPr>
        <w:t xml:space="preserve"> qu’en 2013</w:t>
      </w:r>
      <w:r w:rsidRPr="00C47D10">
        <w:rPr>
          <w:lang w:val="fr-CA"/>
        </w:rPr>
        <w:noBreakHyphen/>
        <w:t>201</w:t>
      </w:r>
      <w:r w:rsidRPr="00F83359">
        <w:rPr>
          <w:lang w:val="fr-CA"/>
        </w:rPr>
        <w:t>4 (voir tableau 2)</w:t>
      </w:r>
      <w:r w:rsidRPr="00A24B20">
        <w:rPr>
          <w:lang w:val="fr-CA"/>
        </w:rPr>
        <w:t>.</w:t>
      </w:r>
    </w:p>
    <w:p w:rsidR="005476C3" w:rsidRPr="000974F2" w:rsidRDefault="005476C3" w:rsidP="005476C3">
      <w:pPr>
        <w:jc w:val="both"/>
        <w:rPr>
          <w:lang w:val="fr-CA"/>
        </w:rPr>
      </w:pPr>
      <w:r w:rsidRPr="000974F2">
        <w:rPr>
          <w:lang w:val="fr-CA"/>
        </w:rPr>
        <w:t>Les exceptions les plus fréquemment invoquées en 2014</w:t>
      </w:r>
      <w:r w:rsidRPr="000974F2">
        <w:rPr>
          <w:lang w:val="fr-CA"/>
        </w:rPr>
        <w:noBreakHyphen/>
        <w:t>2015 étaient l’article 19 (les renseignements personnels) (33,4 %), l’article 21 (les activités du gouvernement) (28,6 %) et l’article 20 (les renseignements de tiers) (19,4 %).</w:t>
      </w:r>
    </w:p>
    <w:p w:rsidR="005476C3" w:rsidRPr="00C47D10" w:rsidRDefault="005476C3" w:rsidP="00BA2BE8">
      <w:pPr>
        <w:pStyle w:val="Heading3"/>
      </w:pPr>
      <w:r w:rsidRPr="00C47D10">
        <w:t xml:space="preserve">Tableau </w:t>
      </w:r>
      <w:proofErr w:type="gramStart"/>
      <w:r w:rsidRPr="00C47D10">
        <w:t>2 :</w:t>
      </w:r>
      <w:proofErr w:type="gramEnd"/>
      <w:r w:rsidRPr="00C47D10">
        <w:t xml:space="preserve"> Exceptions</w:t>
      </w:r>
    </w:p>
    <w:tbl>
      <w:tblPr>
        <w:tblW w:w="9489" w:type="dxa"/>
        <w:tblInd w:w="98" w:type="dxa"/>
        <w:tblLook w:val="04A0"/>
      </w:tblPr>
      <w:tblGrid>
        <w:gridCol w:w="4588"/>
        <w:gridCol w:w="1462"/>
        <w:gridCol w:w="1626"/>
        <w:gridCol w:w="1813"/>
      </w:tblGrid>
      <w:tr w:rsidR="005476C3" w:rsidRPr="00C47D10" w:rsidTr="005476C3">
        <w:trPr>
          <w:trHeight w:val="320"/>
        </w:trPr>
        <w:tc>
          <w:tcPr>
            <w:tcW w:w="4588"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xml:space="preserve">Exceptions </w:t>
            </w:r>
          </w:p>
        </w:tc>
        <w:tc>
          <w:tcPr>
            <w:tcW w:w="1462" w:type="dxa"/>
            <w:tcBorders>
              <w:top w:val="single" w:sz="8" w:space="0" w:color="auto"/>
              <w:left w:val="nil"/>
              <w:bottom w:val="single" w:sz="8" w:space="0" w:color="auto"/>
              <w:right w:val="nil"/>
            </w:tcBorders>
            <w:shd w:val="clear" w:color="000000" w:fill="DBE5F1"/>
            <w:noWrap/>
            <w:vAlign w:val="bottom"/>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2012-2013</w:t>
            </w:r>
          </w:p>
        </w:tc>
        <w:tc>
          <w:tcPr>
            <w:tcW w:w="1626" w:type="dxa"/>
            <w:tcBorders>
              <w:top w:val="single" w:sz="8" w:space="0" w:color="auto"/>
              <w:left w:val="nil"/>
              <w:bottom w:val="single" w:sz="8" w:space="0" w:color="auto"/>
              <w:right w:val="nil"/>
            </w:tcBorders>
            <w:shd w:val="clear" w:color="000000" w:fill="DBE5F1"/>
            <w:noWrap/>
            <w:vAlign w:val="bottom"/>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2013-2014</w:t>
            </w:r>
          </w:p>
        </w:tc>
        <w:tc>
          <w:tcPr>
            <w:tcW w:w="1813"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C47D10" w:rsidRDefault="005476C3" w:rsidP="005476C3">
            <w:pPr>
              <w:spacing w:after="0" w:line="240" w:lineRule="auto"/>
              <w:jc w:val="center"/>
              <w:rPr>
                <w:rFonts w:ascii="Calibri" w:eastAsia="Times New Roman" w:hAnsi="Calibri" w:cs="Times New Roman"/>
                <w:b/>
                <w:bCs/>
                <w:color w:val="000000"/>
                <w:lang w:val="fr-CA"/>
              </w:rPr>
            </w:pPr>
            <w:r w:rsidRPr="00C47D10">
              <w:rPr>
                <w:rFonts w:ascii="Calibri" w:eastAsia="Times New Roman" w:hAnsi="Calibri" w:cs="Times New Roman"/>
                <w:b/>
                <w:bCs/>
                <w:color w:val="000000"/>
                <w:lang w:val="fr-CA"/>
              </w:rPr>
              <w:t>2014-2015</w:t>
            </w:r>
          </w:p>
        </w:tc>
      </w:tr>
      <w:tr w:rsidR="005476C3" w:rsidRPr="00C47D10" w:rsidTr="005476C3">
        <w:trPr>
          <w:trHeight w:val="306"/>
        </w:trPr>
        <w:tc>
          <w:tcPr>
            <w:tcW w:w="4588" w:type="dxa"/>
            <w:tcBorders>
              <w:top w:val="nil"/>
              <w:left w:val="single" w:sz="8" w:space="0" w:color="auto"/>
              <w:bottom w:val="nil"/>
              <w:right w:val="nil"/>
            </w:tcBorders>
            <w:shd w:val="clear" w:color="auto" w:fill="auto"/>
            <w:noWrap/>
            <w:vAlign w:val="bottom"/>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462" w:type="dxa"/>
            <w:tcBorders>
              <w:top w:val="nil"/>
              <w:left w:val="nil"/>
              <w:bottom w:val="nil"/>
              <w:right w:val="nil"/>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1 181</w:t>
            </w:r>
          </w:p>
        </w:tc>
        <w:tc>
          <w:tcPr>
            <w:tcW w:w="1626" w:type="dxa"/>
            <w:tcBorders>
              <w:top w:val="nil"/>
              <w:left w:val="nil"/>
              <w:bottom w:val="nil"/>
              <w:right w:val="nil"/>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801</w:t>
            </w:r>
          </w:p>
        </w:tc>
        <w:tc>
          <w:tcPr>
            <w:tcW w:w="1813" w:type="dxa"/>
            <w:tcBorders>
              <w:top w:val="nil"/>
              <w:left w:val="nil"/>
              <w:bottom w:val="nil"/>
              <w:right w:val="single" w:sz="8" w:space="0" w:color="auto"/>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886</w:t>
            </w:r>
          </w:p>
        </w:tc>
      </w:tr>
      <w:tr w:rsidR="005476C3" w:rsidRPr="00C47D10" w:rsidTr="005476C3">
        <w:trPr>
          <w:trHeight w:val="306"/>
        </w:trPr>
        <w:tc>
          <w:tcPr>
            <w:tcW w:w="4588" w:type="dxa"/>
            <w:tcBorders>
              <w:top w:val="nil"/>
              <w:left w:val="single" w:sz="8" w:space="0" w:color="auto"/>
              <w:bottom w:val="nil"/>
              <w:right w:val="nil"/>
            </w:tcBorders>
            <w:shd w:val="clear" w:color="auto" w:fill="auto"/>
            <w:noWrap/>
            <w:vAlign w:val="bottom"/>
            <w:hideMark/>
          </w:tcPr>
          <w:p w:rsidR="005476C3" w:rsidRPr="00C47D10"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Nombre total de demandes complét</w:t>
            </w:r>
            <w:r w:rsidRPr="00C47D10">
              <w:rPr>
                <w:rFonts w:ascii="Calibri" w:eastAsia="Times New Roman" w:hAnsi="Calibri" w:cs="Times New Roman"/>
                <w:color w:val="000000"/>
                <w:lang w:val="fr-CA"/>
              </w:rPr>
              <w:t>ées</w:t>
            </w:r>
          </w:p>
        </w:tc>
        <w:tc>
          <w:tcPr>
            <w:tcW w:w="1462" w:type="dxa"/>
            <w:tcBorders>
              <w:top w:val="nil"/>
              <w:left w:val="nil"/>
              <w:bottom w:val="nil"/>
              <w:right w:val="nil"/>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1 810</w:t>
            </w:r>
          </w:p>
        </w:tc>
        <w:tc>
          <w:tcPr>
            <w:tcW w:w="1626" w:type="dxa"/>
            <w:tcBorders>
              <w:top w:val="nil"/>
              <w:left w:val="nil"/>
              <w:bottom w:val="nil"/>
              <w:right w:val="nil"/>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1 424</w:t>
            </w:r>
          </w:p>
        </w:tc>
        <w:tc>
          <w:tcPr>
            <w:tcW w:w="1813" w:type="dxa"/>
            <w:tcBorders>
              <w:top w:val="nil"/>
              <w:left w:val="nil"/>
              <w:bottom w:val="nil"/>
              <w:right w:val="single" w:sz="8" w:space="0" w:color="auto"/>
            </w:tcBorders>
            <w:shd w:val="clear" w:color="auto" w:fill="auto"/>
            <w:noWrap/>
            <w:vAlign w:val="bottom"/>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1 452</w:t>
            </w:r>
          </w:p>
        </w:tc>
      </w:tr>
      <w:tr w:rsidR="005476C3" w:rsidRPr="00C47D10" w:rsidTr="005476C3">
        <w:trPr>
          <w:trHeight w:val="320"/>
        </w:trPr>
        <w:tc>
          <w:tcPr>
            <w:tcW w:w="4588" w:type="dxa"/>
            <w:tcBorders>
              <w:top w:val="nil"/>
              <w:left w:val="single" w:sz="8" w:space="0" w:color="auto"/>
              <w:bottom w:val="single" w:sz="8" w:space="0" w:color="auto"/>
              <w:right w:val="nil"/>
            </w:tcBorders>
            <w:shd w:val="clear" w:color="000000" w:fill="DBE5F1"/>
            <w:noWrap/>
            <w:vAlign w:val="bottom"/>
            <w:hideMark/>
          </w:tcPr>
          <w:p w:rsidR="005476C3" w:rsidRPr="00C47D10" w:rsidRDefault="005476C3" w:rsidP="005476C3">
            <w:pPr>
              <w:spacing w:after="0" w:line="240" w:lineRule="auto"/>
              <w:rPr>
                <w:rFonts w:ascii="Calibri" w:eastAsia="Times New Roman" w:hAnsi="Calibri" w:cs="Times New Roman"/>
                <w:color w:val="000000"/>
                <w:lang w:val="fr-CA"/>
              </w:rPr>
            </w:pPr>
            <w:r w:rsidRPr="00C47D10">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462" w:type="dxa"/>
            <w:tcBorders>
              <w:top w:val="nil"/>
              <w:left w:val="nil"/>
              <w:bottom w:val="single" w:sz="8" w:space="0" w:color="auto"/>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0,</w:t>
            </w:r>
            <w:r>
              <w:rPr>
                <w:rFonts w:ascii="Calibri" w:eastAsia="Times New Roman" w:hAnsi="Calibri" w:cs="Times New Roman"/>
                <w:color w:val="000000"/>
                <w:lang w:val="fr-CA"/>
              </w:rPr>
              <w:t>65</w:t>
            </w:r>
          </w:p>
        </w:tc>
        <w:tc>
          <w:tcPr>
            <w:tcW w:w="1626" w:type="dxa"/>
            <w:tcBorders>
              <w:top w:val="nil"/>
              <w:left w:val="nil"/>
              <w:bottom w:val="single" w:sz="8" w:space="0" w:color="auto"/>
              <w:right w:val="nil"/>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0,</w:t>
            </w:r>
            <w:r>
              <w:rPr>
                <w:rFonts w:ascii="Calibri" w:eastAsia="Times New Roman" w:hAnsi="Calibri" w:cs="Times New Roman"/>
                <w:color w:val="000000"/>
                <w:lang w:val="fr-CA"/>
              </w:rPr>
              <w:t>56</w:t>
            </w:r>
          </w:p>
        </w:tc>
        <w:tc>
          <w:tcPr>
            <w:tcW w:w="1813" w:type="dxa"/>
            <w:tcBorders>
              <w:top w:val="nil"/>
              <w:left w:val="nil"/>
              <w:bottom w:val="single" w:sz="8" w:space="0" w:color="auto"/>
              <w:right w:val="single" w:sz="8" w:space="0" w:color="auto"/>
            </w:tcBorders>
            <w:shd w:val="clear" w:color="000000" w:fill="DBE5F1"/>
            <w:noWrap/>
            <w:vAlign w:val="center"/>
            <w:hideMark/>
          </w:tcPr>
          <w:p w:rsidR="005476C3" w:rsidRPr="00C47D10" w:rsidRDefault="005476C3" w:rsidP="005476C3">
            <w:pPr>
              <w:spacing w:after="0" w:line="240" w:lineRule="auto"/>
              <w:jc w:val="center"/>
              <w:rPr>
                <w:rFonts w:ascii="Calibri" w:eastAsia="Times New Roman" w:hAnsi="Calibri" w:cs="Times New Roman"/>
                <w:color w:val="000000"/>
                <w:lang w:val="fr-CA"/>
              </w:rPr>
            </w:pPr>
            <w:r w:rsidRPr="00C47D10">
              <w:rPr>
                <w:rFonts w:ascii="Calibri" w:eastAsia="Times New Roman" w:hAnsi="Calibri" w:cs="Times New Roman"/>
                <w:color w:val="000000"/>
                <w:lang w:val="fr-CA"/>
              </w:rPr>
              <w:t>0,6</w:t>
            </w:r>
            <w:r>
              <w:rPr>
                <w:rFonts w:ascii="Calibri" w:eastAsia="Times New Roman" w:hAnsi="Calibri" w:cs="Times New Roman"/>
                <w:color w:val="000000"/>
                <w:lang w:val="fr-CA"/>
              </w:rPr>
              <w:t>1</w:t>
            </w:r>
          </w:p>
        </w:tc>
      </w:tr>
    </w:tbl>
    <w:p w:rsidR="005476C3" w:rsidRDefault="005476C3" w:rsidP="005476C3">
      <w:pPr>
        <w:pStyle w:val="Heading2"/>
        <w:spacing w:before="240"/>
      </w:pPr>
    </w:p>
    <w:p w:rsidR="005476C3" w:rsidRDefault="005476C3" w:rsidP="005476C3">
      <w:pPr>
        <w:rPr>
          <w:lang w:val="fr-CA"/>
        </w:rPr>
      </w:pPr>
      <w:r>
        <w:br w:type="page"/>
      </w:r>
    </w:p>
    <w:p w:rsidR="005476C3" w:rsidRPr="00A24B20" w:rsidRDefault="005476C3" w:rsidP="005476C3">
      <w:pPr>
        <w:pStyle w:val="Heading2"/>
        <w:spacing w:before="240"/>
      </w:pPr>
      <w:r w:rsidRPr="00A24B20">
        <w:lastRenderedPageBreak/>
        <w:t>Plaintes au Commissariat à l’information</w:t>
      </w:r>
    </w:p>
    <w:p w:rsidR="005476C3" w:rsidRDefault="005476C3" w:rsidP="005476C3">
      <w:pPr>
        <w:jc w:val="both"/>
        <w:rPr>
          <w:lang w:val="fr-CA"/>
        </w:rPr>
      </w:pPr>
      <w:r w:rsidRPr="00C47D10">
        <w:rPr>
          <w:lang w:val="fr-CA"/>
        </w:rPr>
        <w:t>Le nomb</w:t>
      </w:r>
      <w:r>
        <w:rPr>
          <w:lang w:val="fr-CA"/>
        </w:rPr>
        <w:t>re de plaintes reçues</w:t>
      </w:r>
      <w:r>
        <w:rPr>
          <w:rStyle w:val="FootnoteReference"/>
          <w:lang w:val="fr-CA"/>
        </w:rPr>
        <w:footnoteReference w:id="34"/>
      </w:r>
      <w:r>
        <w:rPr>
          <w:lang w:val="fr-CA"/>
        </w:rPr>
        <w:t xml:space="preserve"> par le Commissariat à l’information du Canada</w:t>
      </w:r>
      <w:r w:rsidRPr="00C47D10">
        <w:rPr>
          <w:lang w:val="fr-CA"/>
        </w:rPr>
        <w:t xml:space="preserve"> concernant ECCC était de 26 pour la période de r</w:t>
      </w:r>
      <w:r>
        <w:rPr>
          <w:lang w:val="fr-CA"/>
        </w:rPr>
        <w:t>éférence actuelle</w:t>
      </w:r>
      <w:r w:rsidRPr="00C47D10">
        <w:rPr>
          <w:lang w:val="fr-CA"/>
        </w:rPr>
        <w:t xml:space="preserve">, soit </w:t>
      </w:r>
      <w:r>
        <w:rPr>
          <w:lang w:val="fr-CA"/>
        </w:rPr>
        <w:t>3 de moins qu’</w:t>
      </w:r>
      <w:r w:rsidRPr="00C47D10">
        <w:rPr>
          <w:lang w:val="fr-CA"/>
        </w:rPr>
        <w:t>en 2013</w:t>
      </w:r>
      <w:r>
        <w:rPr>
          <w:lang w:val="fr-CA"/>
        </w:rPr>
        <w:t>-</w:t>
      </w:r>
      <w:r w:rsidRPr="00C47D10">
        <w:rPr>
          <w:lang w:val="fr-CA"/>
        </w:rPr>
        <w:t>2014. La majeure partie des plaintes reçues étaient de nature administrative (</w:t>
      </w:r>
      <w:r>
        <w:rPr>
          <w:lang w:val="fr-CA"/>
        </w:rPr>
        <w:t>4</w:t>
      </w:r>
      <w:r w:rsidRPr="00C47D10">
        <w:rPr>
          <w:lang w:val="fr-CA"/>
        </w:rPr>
        <w:t xml:space="preserve"> plaintes </w:t>
      </w:r>
      <w:r>
        <w:rPr>
          <w:lang w:val="fr-CA"/>
        </w:rPr>
        <w:t>pour refus et 22</w:t>
      </w:r>
      <w:r w:rsidRPr="00C47D10">
        <w:rPr>
          <w:lang w:val="fr-CA"/>
        </w:rPr>
        <w:t xml:space="preserve"> plaintes administratives), alors que la plupart des plaintes pour la période précédente étaient attribuables à des refus (19 plaintes pour refus e</w:t>
      </w:r>
      <w:r>
        <w:rPr>
          <w:lang w:val="fr-CA"/>
        </w:rPr>
        <w:t>t 10 plaintes administratives).</w:t>
      </w:r>
    </w:p>
    <w:p w:rsidR="005476C3" w:rsidRPr="00C47D10" w:rsidRDefault="005476C3" w:rsidP="005476C3">
      <w:pPr>
        <w:jc w:val="both"/>
        <w:rPr>
          <w:lang w:val="fr-CA"/>
        </w:rPr>
      </w:pPr>
      <w:r>
        <w:rPr>
          <w:lang w:val="fr-CA"/>
        </w:rPr>
        <w:t>Des plaintes reçues en 2014-2015, 16</w:t>
      </w:r>
      <w:r w:rsidRPr="00C47D10">
        <w:rPr>
          <w:lang w:val="fr-CA"/>
        </w:rPr>
        <w:t xml:space="preserve"> étaient fondées</w:t>
      </w:r>
      <w:r>
        <w:rPr>
          <w:lang w:val="fr-CA"/>
        </w:rPr>
        <w:t>,</w:t>
      </w:r>
      <w:r w:rsidRPr="00C47D10">
        <w:rPr>
          <w:lang w:val="fr-CA"/>
        </w:rPr>
        <w:t xml:space="preserve"> 2 n’étaient pas fondées, 7</w:t>
      </w:r>
      <w:r>
        <w:rPr>
          <w:lang w:val="fr-CA"/>
        </w:rPr>
        <w:t xml:space="preserve"> plaintes ont été discontinuées</w:t>
      </w:r>
      <w:r w:rsidRPr="00C47D10">
        <w:rPr>
          <w:lang w:val="fr-CA"/>
        </w:rPr>
        <w:t xml:space="preserve"> et 1 </w:t>
      </w:r>
      <w:r>
        <w:rPr>
          <w:lang w:val="fr-CA"/>
        </w:rPr>
        <w:t>a été réglée.</w:t>
      </w:r>
    </w:p>
    <w:p w:rsidR="005476C3" w:rsidRDefault="005476C3">
      <w:pPr>
        <w:rPr>
          <w:lang w:val="fr-CA"/>
        </w:rPr>
      </w:pPr>
      <w:r>
        <w:rPr>
          <w:lang w:val="fr-CA"/>
        </w:rPr>
        <w:br w:type="page"/>
      </w:r>
    </w:p>
    <w:p w:rsidR="005476C3" w:rsidRPr="00386A1D" w:rsidRDefault="005476C3" w:rsidP="005476C3">
      <w:pPr>
        <w:pStyle w:val="Heading1"/>
      </w:pPr>
      <w:r w:rsidRPr="00386A1D">
        <w:lastRenderedPageBreak/>
        <w:t>Emploi et Développement social Canada</w:t>
      </w:r>
    </w:p>
    <w:p w:rsidR="005476C3" w:rsidRPr="00386A1D" w:rsidRDefault="005476C3" w:rsidP="005476C3">
      <w:pPr>
        <w:jc w:val="both"/>
        <w:rPr>
          <w:b/>
          <w:lang w:val="fr-CA"/>
        </w:rPr>
      </w:pPr>
      <w:r w:rsidRPr="00386A1D">
        <w:rPr>
          <w:rStyle w:val="Heading2Char"/>
        </w:rPr>
        <w:t>Rendement global</w:t>
      </w:r>
      <w:r w:rsidRPr="008B6D2E">
        <w:rPr>
          <w:rStyle w:val="FootnoteReference"/>
          <w:b/>
          <w:lang w:val="fr-CA"/>
        </w:rPr>
        <w:footnoteReference w:id="35"/>
      </w:r>
    </w:p>
    <w:p w:rsidR="005476C3" w:rsidRPr="008B6D2E" w:rsidRDefault="005476C3" w:rsidP="005476C3">
      <w:pPr>
        <w:jc w:val="both"/>
        <w:rPr>
          <w:lang w:val="fr-CA"/>
        </w:rPr>
      </w:pPr>
      <w:r w:rsidRPr="008B6D2E">
        <w:rPr>
          <w:lang w:val="fr-CA"/>
        </w:rPr>
        <w:t>Emploi et Développement social Canada (EDSC) a rapporté une baisse de 5,6 % au niveau du pourcentage de demandes traitées en 30 jours ou moins. Cependant, le Ministère a connu une augmentation marquée de 34,7 % au niveau du nombre de demandes reçues. Le présent rapport contient des statistiques comparatives pour les trois dernières périodes (2012 à 2015).</w:t>
      </w:r>
    </w:p>
    <w:p w:rsidR="005476C3" w:rsidRPr="00386A1D" w:rsidRDefault="005476C3" w:rsidP="005476C3">
      <w:pPr>
        <w:pStyle w:val="Heading2"/>
      </w:pPr>
      <w:r w:rsidRPr="00386A1D">
        <w:t>Charge de travail</w:t>
      </w:r>
    </w:p>
    <w:p w:rsidR="005476C3" w:rsidRPr="008B6D2E" w:rsidRDefault="005476C3" w:rsidP="005476C3">
      <w:pPr>
        <w:jc w:val="both"/>
        <w:rPr>
          <w:lang w:val="fr-CA"/>
        </w:rPr>
      </w:pPr>
      <w:r w:rsidRPr="008B6D2E">
        <w:rPr>
          <w:lang w:val="fr-CA"/>
        </w:rPr>
        <w:t xml:space="preserve">EDSC a reçu 1 160 demandes en vertu de la </w:t>
      </w:r>
      <w:r w:rsidRPr="008B6D2E">
        <w:rPr>
          <w:i/>
          <w:lang w:val="fr-CA"/>
        </w:rPr>
        <w:t>Loi sur l’accès à l‘information</w:t>
      </w:r>
      <w:r w:rsidRPr="008B6D2E">
        <w:rPr>
          <w:lang w:val="fr-CA"/>
        </w:rPr>
        <w:t xml:space="preserve"> (la </w:t>
      </w:r>
      <w:r w:rsidRPr="008B6D2E">
        <w:rPr>
          <w:i/>
          <w:lang w:val="fr-CA"/>
        </w:rPr>
        <w:t>Loi</w:t>
      </w:r>
      <w:r w:rsidRPr="008B6D2E">
        <w:rPr>
          <w:lang w:val="fr-CA"/>
        </w:rPr>
        <w:t>), représentant une augmentation de 34,7 % par rapport à la période précédente. La plupart des demandes reçues par EDSC provenaient du secteur privé (37,6 %), suivies des demandes du public (24,7 %). Même si le nombre de demandes reçues du secteur privé a doublé au cours de cette année, nous avons constaté un déclin de 8</w:t>
      </w:r>
      <w:r>
        <w:rPr>
          <w:lang w:val="fr-CA"/>
        </w:rPr>
        <w:t>,3</w:t>
      </w:r>
      <w:r w:rsidRPr="008B6D2E">
        <w:rPr>
          <w:lang w:val="fr-CA"/>
        </w:rPr>
        <w:t> % des demandes reçues du public.</w:t>
      </w:r>
    </w:p>
    <w:p w:rsidR="005476C3" w:rsidRPr="008B6D2E" w:rsidRDefault="005476C3" w:rsidP="005476C3">
      <w:pPr>
        <w:jc w:val="both"/>
        <w:rPr>
          <w:lang w:val="fr-CA"/>
        </w:rPr>
      </w:pPr>
      <w:r w:rsidRPr="008B6D2E">
        <w:rPr>
          <w:lang w:val="fr-CA"/>
        </w:rPr>
        <w:t>EDSC a complété 1 055 demandes pour cette période de référence. Le taux d’achèvement</w:t>
      </w:r>
      <w:r w:rsidRPr="008B6D2E">
        <w:rPr>
          <w:rStyle w:val="FootnoteReference"/>
          <w:lang w:val="fr-CA"/>
        </w:rPr>
        <w:footnoteReference w:id="36"/>
      </w:r>
      <w:r w:rsidRPr="008B6D2E">
        <w:rPr>
          <w:lang w:val="fr-CA"/>
        </w:rPr>
        <w:t xml:space="preserve"> était de 80,1 %, soit inférieur à celui rapporté pour l’ensemble du gouvernement qui lui, était de 85,1 %. En 2013</w:t>
      </w:r>
      <w:r>
        <w:rPr>
          <w:lang w:val="fr-CA"/>
        </w:rPr>
        <w:t>-</w:t>
      </w:r>
      <w:r w:rsidRPr="008B6D2E">
        <w:rPr>
          <w:lang w:val="fr-CA"/>
        </w:rPr>
        <w:t>2014, le taux d’achèvement pour EDSC était de 85,6 %. EDSC a aussi reçu 612 demandes informelles en 2014</w:t>
      </w:r>
      <w:r>
        <w:rPr>
          <w:lang w:val="fr-CA"/>
        </w:rPr>
        <w:t>-</w:t>
      </w:r>
      <w:r w:rsidRPr="008B6D2E">
        <w:rPr>
          <w:lang w:val="fr-CA"/>
        </w:rPr>
        <w:t xml:space="preserve">2015, dont 72,2 % qui ont été complétées en 30 jours ou moins. Le nombre de demandes de consultation reçues par EDSC en provenance d’autres institutions fédérales a diminué de </w:t>
      </w:r>
      <w:r>
        <w:rPr>
          <w:lang w:val="fr-CA"/>
        </w:rPr>
        <w:t>185 à 155, ce qui représente</w:t>
      </w:r>
      <w:r w:rsidRPr="008B6D2E">
        <w:rPr>
          <w:lang w:val="fr-CA"/>
        </w:rPr>
        <w:t xml:space="preserve"> une baisse de </w:t>
      </w:r>
      <w:r>
        <w:rPr>
          <w:lang w:val="fr-CA"/>
        </w:rPr>
        <w:t>16,2 % par rapport à 2013-2014.</w:t>
      </w:r>
    </w:p>
    <w:p w:rsidR="005476C3" w:rsidRPr="008B6D2E" w:rsidRDefault="005476C3" w:rsidP="005476C3">
      <w:pPr>
        <w:jc w:val="both"/>
        <w:rPr>
          <w:lang w:val="fr-CA"/>
        </w:rPr>
      </w:pPr>
      <w:r w:rsidRPr="008B6D2E">
        <w:rPr>
          <w:lang w:val="fr-CA"/>
        </w:rPr>
        <w:t xml:space="preserve">En tout, EDSC a traité 139 549 pages </w:t>
      </w:r>
      <w:r>
        <w:rPr>
          <w:lang w:val="fr-CA"/>
        </w:rPr>
        <w:t>en 2014-</w:t>
      </w:r>
      <w:r w:rsidRPr="008B6D2E">
        <w:rPr>
          <w:lang w:val="fr-CA"/>
        </w:rPr>
        <w:t>2015, par rapport aux 101 577 pages traitées en 2013</w:t>
      </w:r>
      <w:r>
        <w:rPr>
          <w:lang w:val="fr-CA"/>
        </w:rPr>
        <w:t>-</w:t>
      </w:r>
      <w:r w:rsidRPr="008B6D2E">
        <w:rPr>
          <w:lang w:val="fr-CA"/>
        </w:rPr>
        <w:t xml:space="preserve">2014. Il y a aussi eu une augmentation du nombre moyen de pages traitées par demande </w:t>
      </w:r>
      <w:proofErr w:type="spellStart"/>
      <w:r>
        <w:rPr>
          <w:lang w:val="fr-CA"/>
        </w:rPr>
        <w:t>compl</w:t>
      </w:r>
      <w:r w:rsidRPr="00772F2D">
        <w:rPr>
          <w:lang w:val="fr-FR"/>
        </w:rPr>
        <w:t>ét</w:t>
      </w:r>
      <w:r>
        <w:rPr>
          <w:lang w:val="fr-FR"/>
        </w:rPr>
        <w:t>ée</w:t>
      </w:r>
      <w:proofErr w:type="spellEnd"/>
      <w:r w:rsidRPr="008B6D2E">
        <w:rPr>
          <w:lang w:val="fr-CA"/>
        </w:rPr>
        <w:t xml:space="preserve">, passant de 128 en </w:t>
      </w:r>
      <w:r>
        <w:rPr>
          <w:lang w:val="fr-CA"/>
        </w:rPr>
        <w:t>2013-</w:t>
      </w:r>
      <w:r w:rsidRPr="008B6D2E">
        <w:rPr>
          <w:lang w:val="fr-CA"/>
        </w:rPr>
        <w:t>2014 à</w:t>
      </w:r>
      <w:r>
        <w:rPr>
          <w:lang w:val="fr-CA"/>
        </w:rPr>
        <w:t xml:space="preserve"> 157 en 2014-</w:t>
      </w:r>
      <w:r w:rsidRPr="008B6D2E">
        <w:rPr>
          <w:lang w:val="fr-CA"/>
        </w:rPr>
        <w:t>2015</w:t>
      </w:r>
      <w:r>
        <w:rPr>
          <w:lang w:val="fr-CA"/>
        </w:rPr>
        <w:t xml:space="preserve"> (voir tableau 1).</w:t>
      </w:r>
    </w:p>
    <w:p w:rsidR="005476C3" w:rsidRPr="008B6D2E" w:rsidRDefault="005476C3" w:rsidP="005476C3">
      <w:pPr>
        <w:jc w:val="both"/>
        <w:rPr>
          <w:lang w:val="fr-CA"/>
        </w:rPr>
      </w:pPr>
      <w:r w:rsidRPr="008B6D2E">
        <w:rPr>
          <w:lang w:val="fr-CA"/>
        </w:rPr>
        <w:t xml:space="preserve">L’information diffusée par EDSC était majoritairement en format papier : 596 demandes en format papier par rapport à 140 demandes en format électronique. Le nombre de demandes traitées en format papier est similaire aux résultats rapportés pour la période précédente (564 en format papier </w:t>
      </w:r>
      <w:r>
        <w:rPr>
          <w:lang w:val="fr-CA"/>
        </w:rPr>
        <w:t>par rapport à</w:t>
      </w:r>
      <w:r w:rsidRPr="008B6D2E">
        <w:rPr>
          <w:lang w:val="fr-CA"/>
        </w:rPr>
        <w:t xml:space="preserve"> 152 en format électronique).</w:t>
      </w:r>
    </w:p>
    <w:p w:rsidR="005476C3" w:rsidRPr="00386A1D" w:rsidRDefault="005476C3" w:rsidP="00BA2BE8">
      <w:pPr>
        <w:pStyle w:val="Heading3"/>
      </w:pPr>
      <w:r w:rsidRPr="00386A1D">
        <w:t xml:space="preserve">Tableau </w:t>
      </w:r>
      <w:proofErr w:type="gramStart"/>
      <w:r w:rsidRPr="00386A1D">
        <w:t>1 :</w:t>
      </w:r>
      <w:proofErr w:type="gramEnd"/>
      <w:r w:rsidRPr="00386A1D">
        <w:t xml:space="preserve"> Charge de travail</w:t>
      </w:r>
    </w:p>
    <w:tbl>
      <w:tblPr>
        <w:tblW w:w="9674" w:type="dxa"/>
        <w:tblInd w:w="98" w:type="dxa"/>
        <w:tblBorders>
          <w:top w:val="single" w:sz="4" w:space="0" w:color="auto"/>
          <w:left w:val="single" w:sz="4" w:space="0" w:color="auto"/>
          <w:bottom w:val="single" w:sz="4" w:space="0" w:color="auto"/>
          <w:right w:val="single" w:sz="4" w:space="0" w:color="auto"/>
        </w:tblBorders>
        <w:tblLook w:val="04A0"/>
      </w:tblPr>
      <w:tblGrid>
        <w:gridCol w:w="5397"/>
        <w:gridCol w:w="1207"/>
        <w:gridCol w:w="1661"/>
        <w:gridCol w:w="1409"/>
      </w:tblGrid>
      <w:tr w:rsidR="005476C3" w:rsidRPr="008B6D2E" w:rsidTr="005476C3">
        <w:trPr>
          <w:trHeight w:val="298"/>
        </w:trPr>
        <w:tc>
          <w:tcPr>
            <w:tcW w:w="5397" w:type="dxa"/>
            <w:tcBorders>
              <w:top w:val="single" w:sz="4" w:space="0" w:color="auto"/>
              <w:bottom w:val="single" w:sz="4" w:space="0" w:color="auto"/>
            </w:tcBorders>
            <w:shd w:val="clear" w:color="auto" w:fill="auto"/>
            <w:noWrap/>
            <w:vAlign w:val="bottom"/>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 xml:space="preserve">Mesures </w:t>
            </w:r>
          </w:p>
        </w:tc>
        <w:tc>
          <w:tcPr>
            <w:tcW w:w="1207" w:type="dxa"/>
            <w:tcBorders>
              <w:top w:val="single" w:sz="4" w:space="0" w:color="auto"/>
              <w:bottom w:val="single" w:sz="4" w:space="0" w:color="auto"/>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2012-2013</w:t>
            </w:r>
          </w:p>
        </w:tc>
        <w:tc>
          <w:tcPr>
            <w:tcW w:w="1661" w:type="dxa"/>
            <w:tcBorders>
              <w:top w:val="single" w:sz="4" w:space="0" w:color="auto"/>
              <w:bottom w:val="single" w:sz="4" w:space="0" w:color="auto"/>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2013-2014</w:t>
            </w:r>
          </w:p>
        </w:tc>
        <w:tc>
          <w:tcPr>
            <w:tcW w:w="1409" w:type="dxa"/>
            <w:tcBorders>
              <w:top w:val="single" w:sz="4" w:space="0" w:color="auto"/>
              <w:bottom w:val="single" w:sz="4" w:space="0" w:color="auto"/>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2014-2015</w:t>
            </w:r>
          </w:p>
        </w:tc>
      </w:tr>
      <w:tr w:rsidR="005476C3" w:rsidRPr="008B6D2E" w:rsidTr="005476C3">
        <w:trPr>
          <w:trHeight w:val="284"/>
        </w:trPr>
        <w:tc>
          <w:tcPr>
            <w:tcW w:w="5397" w:type="dxa"/>
            <w:tcBorders>
              <w:top w:val="single" w:sz="4" w:space="0" w:color="auto"/>
            </w:tcBorders>
            <w:shd w:val="clear" w:color="000000" w:fill="DBE5F1"/>
            <w:noWrap/>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 xml:space="preserve">Nombre de demandes reçues </w:t>
            </w:r>
          </w:p>
        </w:tc>
        <w:tc>
          <w:tcPr>
            <w:tcW w:w="1207" w:type="dxa"/>
            <w:tcBorders>
              <w:top w:val="single" w:sz="4" w:space="0" w:color="auto"/>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746</w:t>
            </w:r>
          </w:p>
        </w:tc>
        <w:tc>
          <w:tcPr>
            <w:tcW w:w="1661" w:type="dxa"/>
            <w:tcBorders>
              <w:top w:val="single" w:sz="4" w:space="0" w:color="auto"/>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861</w:t>
            </w:r>
          </w:p>
        </w:tc>
        <w:tc>
          <w:tcPr>
            <w:tcW w:w="1409" w:type="dxa"/>
            <w:tcBorders>
              <w:top w:val="single" w:sz="4" w:space="0" w:color="auto"/>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1 160</w:t>
            </w:r>
          </w:p>
        </w:tc>
      </w:tr>
      <w:tr w:rsidR="005476C3" w:rsidRPr="008B6D2E" w:rsidTr="005476C3">
        <w:trPr>
          <w:trHeight w:val="284"/>
        </w:trPr>
        <w:tc>
          <w:tcPr>
            <w:tcW w:w="5397" w:type="dxa"/>
            <w:shd w:val="clear" w:color="auto" w:fill="auto"/>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Variation annuelle en %</w:t>
            </w:r>
          </w:p>
        </w:tc>
        <w:tc>
          <w:tcPr>
            <w:tcW w:w="1207" w:type="dxa"/>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w:t>
            </w:r>
          </w:p>
        </w:tc>
        <w:tc>
          <w:tcPr>
            <w:tcW w:w="1661" w:type="dxa"/>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15,4 %</w:t>
            </w:r>
          </w:p>
        </w:tc>
        <w:tc>
          <w:tcPr>
            <w:tcW w:w="1409" w:type="dxa"/>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34,7 %</w:t>
            </w:r>
          </w:p>
        </w:tc>
      </w:tr>
      <w:tr w:rsidR="005476C3" w:rsidRPr="008B6D2E" w:rsidTr="005476C3">
        <w:trPr>
          <w:trHeight w:val="284"/>
        </w:trPr>
        <w:tc>
          <w:tcPr>
            <w:tcW w:w="5397" w:type="dxa"/>
            <w:shd w:val="clear" w:color="000000" w:fill="DBE5F1"/>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Demandes complétées</w:t>
            </w:r>
          </w:p>
        </w:tc>
        <w:tc>
          <w:tcPr>
            <w:tcW w:w="1207" w:type="dxa"/>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630</w:t>
            </w:r>
          </w:p>
        </w:tc>
        <w:tc>
          <w:tcPr>
            <w:tcW w:w="1661" w:type="dxa"/>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932</w:t>
            </w:r>
          </w:p>
        </w:tc>
        <w:tc>
          <w:tcPr>
            <w:tcW w:w="1409" w:type="dxa"/>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1 055</w:t>
            </w:r>
          </w:p>
        </w:tc>
      </w:tr>
      <w:tr w:rsidR="005476C3" w:rsidRPr="008B6D2E" w:rsidTr="005476C3">
        <w:trPr>
          <w:trHeight w:val="298"/>
        </w:trPr>
        <w:tc>
          <w:tcPr>
            <w:tcW w:w="5397" w:type="dxa"/>
            <w:tcBorders>
              <w:bottom w:val="nil"/>
            </w:tcBorders>
            <w:shd w:val="clear" w:color="auto" w:fill="auto"/>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Variation annuelle en %</w:t>
            </w:r>
          </w:p>
        </w:tc>
        <w:tc>
          <w:tcPr>
            <w:tcW w:w="1207" w:type="dxa"/>
            <w:tcBorders>
              <w:bottom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w:t>
            </w:r>
          </w:p>
        </w:tc>
        <w:tc>
          <w:tcPr>
            <w:tcW w:w="1661" w:type="dxa"/>
            <w:tcBorders>
              <w:bottom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47,9 %</w:t>
            </w:r>
          </w:p>
        </w:tc>
        <w:tc>
          <w:tcPr>
            <w:tcW w:w="1409" w:type="dxa"/>
            <w:tcBorders>
              <w:bottom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13,2 %</w:t>
            </w:r>
          </w:p>
        </w:tc>
      </w:tr>
      <w:tr w:rsidR="005476C3" w:rsidRPr="008B6D2E" w:rsidTr="005476C3">
        <w:trPr>
          <w:trHeight w:val="583"/>
        </w:trPr>
        <w:tc>
          <w:tcPr>
            <w:tcW w:w="5397" w:type="dxa"/>
            <w:tcBorders>
              <w:top w:val="nil"/>
              <w:bottom w:val="nil"/>
            </w:tcBorders>
            <w:shd w:val="clear" w:color="000000" w:fill="DBE5F1"/>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lastRenderedPageBreak/>
              <w:t>Nombre de demandes de consultation reçues (d’autres institutions fédérales)</w:t>
            </w:r>
          </w:p>
        </w:tc>
        <w:tc>
          <w:tcPr>
            <w:tcW w:w="1207" w:type="dxa"/>
            <w:tcBorders>
              <w:top w:val="nil"/>
              <w:bottom w:val="nil"/>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194</w:t>
            </w:r>
          </w:p>
        </w:tc>
        <w:tc>
          <w:tcPr>
            <w:tcW w:w="1661" w:type="dxa"/>
            <w:tcBorders>
              <w:top w:val="nil"/>
              <w:bottom w:val="nil"/>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185</w:t>
            </w:r>
          </w:p>
        </w:tc>
        <w:tc>
          <w:tcPr>
            <w:tcW w:w="1409" w:type="dxa"/>
            <w:tcBorders>
              <w:top w:val="nil"/>
              <w:bottom w:val="nil"/>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155</w:t>
            </w:r>
          </w:p>
        </w:tc>
      </w:tr>
      <w:tr w:rsidR="005476C3" w:rsidRPr="008B6D2E" w:rsidTr="005476C3">
        <w:trPr>
          <w:trHeight w:val="298"/>
        </w:trPr>
        <w:tc>
          <w:tcPr>
            <w:tcW w:w="5397" w:type="dxa"/>
            <w:tcBorders>
              <w:top w:val="nil"/>
              <w:bottom w:val="nil"/>
            </w:tcBorders>
            <w:shd w:val="clear" w:color="auto" w:fill="auto"/>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Variation annuelle en %</w:t>
            </w:r>
          </w:p>
        </w:tc>
        <w:tc>
          <w:tcPr>
            <w:tcW w:w="1207" w:type="dxa"/>
            <w:tcBorders>
              <w:top w:val="nil"/>
              <w:bottom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w:t>
            </w:r>
          </w:p>
        </w:tc>
        <w:tc>
          <w:tcPr>
            <w:tcW w:w="1661" w:type="dxa"/>
            <w:tcBorders>
              <w:top w:val="nil"/>
              <w:bottom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-4,6 %</w:t>
            </w:r>
          </w:p>
        </w:tc>
        <w:tc>
          <w:tcPr>
            <w:tcW w:w="1409" w:type="dxa"/>
            <w:tcBorders>
              <w:top w:val="nil"/>
              <w:bottom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-16,2 %</w:t>
            </w:r>
          </w:p>
        </w:tc>
      </w:tr>
      <w:tr w:rsidR="005476C3" w:rsidRPr="008B6D2E" w:rsidTr="005476C3">
        <w:trPr>
          <w:trHeight w:val="583"/>
        </w:trPr>
        <w:tc>
          <w:tcPr>
            <w:tcW w:w="5397" w:type="dxa"/>
            <w:tcBorders>
              <w:top w:val="nil"/>
              <w:bottom w:val="nil"/>
            </w:tcBorders>
            <w:shd w:val="clear" w:color="000000" w:fill="DBE5F1"/>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Nombre moyen de pages traitées par demande complétée</w:t>
            </w:r>
          </w:p>
        </w:tc>
        <w:tc>
          <w:tcPr>
            <w:tcW w:w="1207" w:type="dxa"/>
            <w:tcBorders>
              <w:top w:val="nil"/>
              <w:bottom w:val="nil"/>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205</w:t>
            </w:r>
          </w:p>
        </w:tc>
        <w:tc>
          <w:tcPr>
            <w:tcW w:w="1661" w:type="dxa"/>
            <w:tcBorders>
              <w:top w:val="nil"/>
              <w:bottom w:val="nil"/>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128</w:t>
            </w:r>
          </w:p>
        </w:tc>
        <w:tc>
          <w:tcPr>
            <w:tcW w:w="1409" w:type="dxa"/>
            <w:tcBorders>
              <w:top w:val="nil"/>
              <w:bottom w:val="nil"/>
            </w:tcBorders>
            <w:shd w:val="clear" w:color="000000" w:fill="DBE5F1"/>
            <w:noWrap/>
            <w:vAlign w:val="center"/>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157</w:t>
            </w:r>
          </w:p>
        </w:tc>
      </w:tr>
      <w:tr w:rsidR="005476C3" w:rsidRPr="008B6D2E" w:rsidTr="005476C3">
        <w:trPr>
          <w:trHeight w:val="583"/>
        </w:trPr>
        <w:tc>
          <w:tcPr>
            <w:tcW w:w="5397" w:type="dxa"/>
            <w:tcBorders>
              <w:top w:val="nil"/>
            </w:tcBorders>
            <w:shd w:val="clear" w:color="auto" w:fill="auto"/>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 des demandes pour lesquelles plus de 1 000 pages ont été traitées</w:t>
            </w:r>
          </w:p>
        </w:tc>
        <w:tc>
          <w:tcPr>
            <w:tcW w:w="1207" w:type="dxa"/>
            <w:tcBorders>
              <w:top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5,8 %</w:t>
            </w:r>
          </w:p>
        </w:tc>
        <w:tc>
          <w:tcPr>
            <w:tcW w:w="1661" w:type="dxa"/>
            <w:tcBorders>
              <w:top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3,0 %</w:t>
            </w:r>
          </w:p>
        </w:tc>
        <w:tc>
          <w:tcPr>
            <w:tcW w:w="1409" w:type="dxa"/>
            <w:tcBorders>
              <w:top w:val="nil"/>
            </w:tcBorders>
            <w:shd w:val="clear" w:color="auto" w:fill="auto"/>
            <w:noWrap/>
            <w:vAlign w:val="center"/>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2,6 %</w:t>
            </w:r>
          </w:p>
        </w:tc>
      </w:tr>
    </w:tbl>
    <w:p w:rsidR="005476C3" w:rsidRPr="00386A1D" w:rsidRDefault="005476C3" w:rsidP="005476C3">
      <w:pPr>
        <w:pStyle w:val="Heading2"/>
        <w:spacing w:before="240"/>
      </w:pPr>
      <w:r w:rsidRPr="00386A1D">
        <w:t>Délai de traitement</w:t>
      </w:r>
    </w:p>
    <w:p w:rsidR="005476C3" w:rsidRPr="00386A1D" w:rsidRDefault="005476C3" w:rsidP="005476C3">
      <w:pPr>
        <w:pStyle w:val="Heading4"/>
      </w:pPr>
      <w:r w:rsidRPr="00386A1D">
        <w:t>Rapidité</w:t>
      </w:r>
    </w:p>
    <w:p w:rsidR="005476C3" w:rsidRPr="008B6D2E" w:rsidRDefault="005476C3" w:rsidP="005476C3">
      <w:pPr>
        <w:jc w:val="both"/>
        <w:rPr>
          <w:lang w:val="fr-CA"/>
        </w:rPr>
      </w:pPr>
      <w:r w:rsidRPr="008B6D2E">
        <w:rPr>
          <w:lang w:val="fr-CA"/>
        </w:rPr>
        <w:t>La figure 1 révèle que 42,4 % des demandes ont été complétées en 30 jours ou moins, une diminution de 5,6 % par rapport à la période précédente. En général, les résultats observés cette année sont similaires à ceux rapportés en 2013-2014 sauf en ce qui conc</w:t>
      </w:r>
      <w:r>
        <w:rPr>
          <w:lang w:val="fr-CA"/>
        </w:rPr>
        <w:t>erne les délais supérieurs à 180 jours.</w:t>
      </w:r>
    </w:p>
    <w:p w:rsidR="005476C3" w:rsidRPr="00F55E82" w:rsidRDefault="005476C3" w:rsidP="005476C3">
      <w:pPr>
        <w:spacing w:line="240" w:lineRule="auto"/>
        <w:rPr>
          <w:sz w:val="24"/>
          <w:szCs w:val="24"/>
          <w:lang w:val="fr-CA"/>
        </w:rPr>
      </w:pPr>
      <w:r w:rsidRPr="005476C3">
        <w:rPr>
          <w:rStyle w:val="Heading3Char"/>
          <w:lang w:val="fr-FR"/>
        </w:rPr>
        <w:t>Figure 1 : Délai de traitement des demandes</w:t>
      </w:r>
      <w:r w:rsidRPr="008B6D2E">
        <w:rPr>
          <w:noProof/>
          <w:color w:val="FF0000"/>
          <w:sz w:val="24"/>
          <w:szCs w:val="24"/>
        </w:rPr>
        <w:drawing>
          <wp:inline distT="0" distB="0" distL="0" distR="0">
            <wp:extent cx="6003235" cy="4094922"/>
            <wp:effectExtent l="0" t="0" r="0" b="127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476C3" w:rsidRPr="00386A1D" w:rsidRDefault="005476C3" w:rsidP="005476C3">
      <w:pPr>
        <w:pStyle w:val="Heading4"/>
      </w:pPr>
      <w:r w:rsidRPr="00386A1D">
        <w:t>Prorogations</w:t>
      </w:r>
    </w:p>
    <w:p w:rsidR="005476C3" w:rsidRPr="00993D63" w:rsidRDefault="005476C3" w:rsidP="005476C3">
      <w:pPr>
        <w:jc w:val="both"/>
        <w:rPr>
          <w:lang w:val="fr-CA"/>
        </w:rPr>
      </w:pPr>
      <w:r w:rsidRPr="00993D63">
        <w:rPr>
          <w:lang w:val="fr-CA"/>
        </w:rPr>
        <w:t xml:space="preserve">EDSC a eu recours à 356 prorogations en 2014-2015 par rapport à 319 en 2013-2014. L’entrave au fonctionnement de l’institution (70,2 %) était la raison la plus fréquemment invoquée pour demander </w:t>
      </w:r>
      <w:r w:rsidRPr="00993D63">
        <w:rPr>
          <w:lang w:val="fr-CA"/>
        </w:rPr>
        <w:lastRenderedPageBreak/>
        <w:t>une prorogation, suivie des demandes de consultation (26,9 %). La perturbation des opérations était également le motif le plus fréquemment invoqué pour demander une prorogation en 2013-2014.</w:t>
      </w:r>
    </w:p>
    <w:p w:rsidR="005476C3" w:rsidRPr="008B6D2E" w:rsidRDefault="005476C3" w:rsidP="005476C3">
      <w:pPr>
        <w:jc w:val="both"/>
        <w:rPr>
          <w:lang w:val="fr-CA"/>
        </w:rPr>
      </w:pPr>
      <w:r w:rsidRPr="008B6D2E">
        <w:rPr>
          <w:lang w:val="fr-CA"/>
        </w:rPr>
        <w:t>La figure 2 montre que 41,0 % des prorogations étaient de 30 jours ou moins, ce qui représente une augmentation de 5,0 % par rapport à la période précédente. Une diminution importante a été observée quant au nombre de prorogations de 61 à 120 jours passant de 36,7 % e</w:t>
      </w:r>
      <w:r>
        <w:rPr>
          <w:lang w:val="fr-CA"/>
        </w:rPr>
        <w:t>n 2013-2014 à 26,7 % en 2014-</w:t>
      </w:r>
      <w:r w:rsidRPr="008B6D2E">
        <w:rPr>
          <w:lang w:val="fr-CA"/>
        </w:rPr>
        <w:t>2015.</w:t>
      </w:r>
    </w:p>
    <w:p w:rsidR="005476C3" w:rsidRPr="008B6D2E" w:rsidRDefault="005476C3" w:rsidP="005476C3">
      <w:pPr>
        <w:rPr>
          <w:lang w:val="fr-CA"/>
        </w:rPr>
      </w:pPr>
      <w:r w:rsidRPr="005476C3">
        <w:rPr>
          <w:rStyle w:val="Heading3Char"/>
          <w:lang w:val="fr-FR"/>
        </w:rPr>
        <w:t>Figure 2 : Durée des prorogations</w:t>
      </w:r>
      <w:r w:rsidRPr="008B6D2E">
        <w:rPr>
          <w:noProof/>
        </w:rPr>
        <w:drawing>
          <wp:inline distT="0" distB="0" distL="0" distR="0">
            <wp:extent cx="5939942" cy="3789274"/>
            <wp:effectExtent l="0" t="0" r="3810" b="1905"/>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476C3" w:rsidRPr="00386A1D" w:rsidRDefault="005476C3" w:rsidP="005476C3">
      <w:pPr>
        <w:pStyle w:val="Heading4"/>
      </w:pPr>
      <w:r w:rsidRPr="00386A1D">
        <w:t>Présomptions de refus</w:t>
      </w:r>
    </w:p>
    <w:p w:rsidR="005476C3" w:rsidRPr="008B6D2E" w:rsidRDefault="005476C3" w:rsidP="005476C3">
      <w:pPr>
        <w:jc w:val="both"/>
        <w:rPr>
          <w:lang w:val="fr-CA"/>
        </w:rPr>
      </w:pPr>
      <w:r>
        <w:rPr>
          <w:lang w:val="fr-CA"/>
        </w:rPr>
        <w:t>En 2014-</w:t>
      </w:r>
      <w:r w:rsidRPr="008B6D2E">
        <w:rPr>
          <w:lang w:val="fr-CA"/>
        </w:rPr>
        <w:t>2015, 256 demandes ont été fermées après l’échéancier réglementaire, ce qui représente 24,2 % des demandes traitées. Ce résultat représente une note de « F »</w:t>
      </w:r>
      <w:r w:rsidRPr="008B6D2E">
        <w:rPr>
          <w:rStyle w:val="FootnoteReference"/>
          <w:lang w:val="fr-CA"/>
        </w:rPr>
        <w:t xml:space="preserve"> </w:t>
      </w:r>
      <w:r w:rsidRPr="008B6D2E">
        <w:rPr>
          <w:rStyle w:val="FootnoteReference"/>
          <w:lang w:val="fr-CA"/>
        </w:rPr>
        <w:footnoteReference w:id="37"/>
      </w:r>
      <w:r w:rsidRPr="008B6D2E">
        <w:rPr>
          <w:lang w:val="fr-CA"/>
        </w:rPr>
        <w:t xml:space="preserve">  pour EDSC. À noter qu’EDSC avait obtenu une note de « B » lors de l’année précédente.</w:t>
      </w:r>
    </w:p>
    <w:p w:rsidR="005476C3" w:rsidRPr="00993D63" w:rsidRDefault="005476C3" w:rsidP="005476C3">
      <w:pPr>
        <w:jc w:val="both"/>
        <w:rPr>
          <w:lang w:val="fr-CA"/>
        </w:rPr>
      </w:pPr>
      <w:r w:rsidRPr="00993D63">
        <w:rPr>
          <w:lang w:val="fr-CA"/>
        </w:rPr>
        <w:t>Nous avons observé une augmentation du nombre de demandes échues lors des 3 dernières années (49 en 2012-2013, 87 en 2013-2014 et 256 en 2014-2015). Dans son rapport annuel au Parlement, EDSC attribue cette augmentation à la charge de travail (71,9 %). La figure 3 démontre qu’en 2014-2015, 45,3 % des demandes échues étaient en retard de 30 jours ou moins.</w:t>
      </w:r>
    </w:p>
    <w:p w:rsidR="005476C3" w:rsidRPr="008B6D2E" w:rsidRDefault="005476C3" w:rsidP="005476C3">
      <w:pPr>
        <w:rPr>
          <w:color w:val="FF0000"/>
          <w:sz w:val="24"/>
          <w:szCs w:val="24"/>
          <w:lang w:val="fr-CA"/>
        </w:rPr>
      </w:pPr>
      <w:r w:rsidRPr="005476C3">
        <w:rPr>
          <w:rStyle w:val="Heading3Char"/>
          <w:lang w:val="fr-FR"/>
        </w:rPr>
        <w:lastRenderedPageBreak/>
        <w:t>Figure 3 : Retard des demandes échues</w:t>
      </w:r>
      <w:r w:rsidRPr="008B6D2E">
        <w:rPr>
          <w:noProof/>
        </w:rPr>
        <w:drawing>
          <wp:inline distT="0" distB="0" distL="0" distR="0">
            <wp:extent cx="5947576" cy="4126727"/>
            <wp:effectExtent l="0" t="0" r="0" b="7620"/>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476C3" w:rsidRPr="00386A1D" w:rsidRDefault="005476C3" w:rsidP="005476C3">
      <w:pPr>
        <w:pStyle w:val="Heading2"/>
      </w:pPr>
      <w:r w:rsidRPr="00386A1D">
        <w:t>Divulgation</w:t>
      </w:r>
    </w:p>
    <w:p w:rsidR="005476C3" w:rsidRPr="00386A1D" w:rsidRDefault="005476C3" w:rsidP="005476C3">
      <w:pPr>
        <w:pStyle w:val="Heading4"/>
      </w:pPr>
      <w:r w:rsidRPr="00386A1D">
        <w:t>Pourcentage de demandes pour lesquelles l’information a été divulguée</w:t>
      </w:r>
    </w:p>
    <w:p w:rsidR="005476C3" w:rsidRPr="008B6D2E" w:rsidRDefault="005476C3" w:rsidP="005476C3">
      <w:pPr>
        <w:jc w:val="both"/>
        <w:rPr>
          <w:lang w:val="fr-CA"/>
        </w:rPr>
      </w:pPr>
      <w:r>
        <w:rPr>
          <w:lang w:val="fr-CA"/>
        </w:rPr>
        <w:t>En 2014-</w:t>
      </w:r>
      <w:r w:rsidRPr="008B6D2E">
        <w:rPr>
          <w:lang w:val="fr-CA"/>
        </w:rPr>
        <w:t>2015, 27,0 % de toutes les demandes complétées ont fait l’objet d’une divulgation complète, ce qui représente un résultat similaire à celui de la période précédente (voir figure 4). La figure 4 montre également que le taux des demandes faisant l’objet d’une divulgation partielle était de 43,1 % en 2014</w:t>
      </w:r>
      <w:r>
        <w:rPr>
          <w:lang w:val="fr-CA"/>
        </w:rPr>
        <w:t>-</w:t>
      </w:r>
      <w:r w:rsidRPr="008B6D2E">
        <w:rPr>
          <w:lang w:val="fr-CA"/>
        </w:rPr>
        <w:t>2015, ce qui représente une diminution 7,6 % par ra</w:t>
      </w:r>
      <w:r>
        <w:rPr>
          <w:lang w:val="fr-CA"/>
        </w:rPr>
        <w:t>pport à la période précédente.</w:t>
      </w:r>
    </w:p>
    <w:p w:rsidR="005476C3" w:rsidRPr="00386A1D" w:rsidRDefault="005476C3" w:rsidP="005476C3">
      <w:pPr>
        <w:spacing w:line="240" w:lineRule="auto"/>
        <w:rPr>
          <w:lang w:val="fr-CA"/>
        </w:rPr>
      </w:pPr>
      <w:r w:rsidRPr="00957E09">
        <w:rPr>
          <w:rStyle w:val="Heading3Char"/>
          <w:lang w:val="fr-FR"/>
        </w:rPr>
        <w:lastRenderedPageBreak/>
        <w:t>Figure 4 : Niveau de divulgation</w:t>
      </w:r>
      <w:r w:rsidRPr="008B6D2E">
        <w:rPr>
          <w:noProof/>
        </w:rPr>
        <w:drawing>
          <wp:inline distT="0" distB="0" distL="0" distR="0">
            <wp:extent cx="6020410" cy="3979468"/>
            <wp:effectExtent l="0" t="0" r="0" b="2540"/>
            <wp:docPr id="3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476C3" w:rsidRPr="00386A1D" w:rsidRDefault="005476C3" w:rsidP="005476C3">
      <w:pPr>
        <w:pStyle w:val="Heading4"/>
      </w:pPr>
      <w:r>
        <w:t>Exceptions</w:t>
      </w:r>
    </w:p>
    <w:p w:rsidR="005476C3" w:rsidRPr="00993D63" w:rsidRDefault="005476C3" w:rsidP="005476C3">
      <w:pPr>
        <w:jc w:val="both"/>
        <w:rPr>
          <w:lang w:val="fr-CA"/>
        </w:rPr>
      </w:pPr>
      <w:r w:rsidRPr="00993D63">
        <w:rPr>
          <w:lang w:val="fr-CA"/>
        </w:rPr>
        <w:t>Le nombre moyen d’exceptions par demande complétée a légèrement diminué de 1,29 en 2013-2014 à 1,07 en 2014-2015 (voir tableau 2). Les exemptions les plus fréquemment invoquées en 2014-2015 étaient l’article 19 (les renseignements personnels) (30,7 %), l’article 21 (les opérations du gouvernement) (17,9 %) et l’article 16 (l’application de la loi et les enquêtes) (19,0 %). Le nombre d’exceptions invoquées en vertu de toutes ces dispositions a augmenté par rapport aux résultats rapportés en 2013-2014 (30,6 %, 18,7 % et 12,9 %, respectivement).</w:t>
      </w:r>
    </w:p>
    <w:p w:rsidR="005476C3" w:rsidRPr="008B6D2E" w:rsidRDefault="005476C3" w:rsidP="00BA2BE8">
      <w:pPr>
        <w:pStyle w:val="Heading3"/>
      </w:pPr>
      <w:r w:rsidRPr="008B6D2E">
        <w:t xml:space="preserve">Tableau </w:t>
      </w:r>
      <w:proofErr w:type="gramStart"/>
      <w:r w:rsidRPr="008B6D2E">
        <w:t>2 :</w:t>
      </w:r>
      <w:proofErr w:type="gramEnd"/>
      <w:r w:rsidRPr="008B6D2E">
        <w:t xml:space="preserve"> Exceptions</w:t>
      </w:r>
    </w:p>
    <w:tbl>
      <w:tblPr>
        <w:tblW w:w="9552" w:type="dxa"/>
        <w:tblInd w:w="98" w:type="dxa"/>
        <w:tblLook w:val="04A0"/>
      </w:tblPr>
      <w:tblGrid>
        <w:gridCol w:w="5255"/>
        <w:gridCol w:w="1266"/>
        <w:gridCol w:w="1640"/>
        <w:gridCol w:w="1391"/>
      </w:tblGrid>
      <w:tr w:rsidR="005476C3" w:rsidRPr="008B6D2E" w:rsidTr="005476C3">
        <w:trPr>
          <w:trHeight w:val="321"/>
        </w:trPr>
        <w:tc>
          <w:tcPr>
            <w:tcW w:w="5255"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 xml:space="preserve">Exceptions </w:t>
            </w:r>
          </w:p>
        </w:tc>
        <w:tc>
          <w:tcPr>
            <w:tcW w:w="1266" w:type="dxa"/>
            <w:tcBorders>
              <w:top w:val="single" w:sz="8" w:space="0" w:color="auto"/>
              <w:left w:val="nil"/>
              <w:bottom w:val="single" w:sz="8" w:space="0" w:color="auto"/>
              <w:right w:val="nil"/>
            </w:tcBorders>
            <w:shd w:val="clear" w:color="000000" w:fill="DBE5F1"/>
            <w:noWrap/>
            <w:vAlign w:val="bottom"/>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2012-2013</w:t>
            </w:r>
          </w:p>
        </w:tc>
        <w:tc>
          <w:tcPr>
            <w:tcW w:w="1640" w:type="dxa"/>
            <w:tcBorders>
              <w:top w:val="single" w:sz="8" w:space="0" w:color="auto"/>
              <w:left w:val="nil"/>
              <w:bottom w:val="single" w:sz="8" w:space="0" w:color="auto"/>
              <w:right w:val="nil"/>
            </w:tcBorders>
            <w:shd w:val="clear" w:color="000000" w:fill="DBE5F1"/>
            <w:noWrap/>
            <w:vAlign w:val="bottom"/>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2013-2014</w:t>
            </w:r>
          </w:p>
        </w:tc>
        <w:tc>
          <w:tcPr>
            <w:tcW w:w="1391"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8B6D2E" w:rsidRDefault="005476C3" w:rsidP="005476C3">
            <w:pPr>
              <w:spacing w:after="0" w:line="240" w:lineRule="auto"/>
              <w:jc w:val="center"/>
              <w:rPr>
                <w:rFonts w:ascii="Calibri" w:eastAsia="Times New Roman" w:hAnsi="Calibri" w:cs="Times New Roman"/>
                <w:b/>
                <w:bCs/>
                <w:color w:val="000000"/>
                <w:lang w:val="fr-CA"/>
              </w:rPr>
            </w:pPr>
            <w:r w:rsidRPr="008B6D2E">
              <w:rPr>
                <w:rFonts w:ascii="Calibri" w:eastAsia="Times New Roman" w:hAnsi="Calibri" w:cs="Times New Roman"/>
                <w:b/>
                <w:bCs/>
                <w:color w:val="000000"/>
                <w:lang w:val="fr-CA"/>
              </w:rPr>
              <w:t>2014-2015</w:t>
            </w:r>
          </w:p>
        </w:tc>
      </w:tr>
      <w:tr w:rsidR="005476C3" w:rsidRPr="008B6D2E" w:rsidTr="005476C3">
        <w:trPr>
          <w:trHeight w:val="306"/>
        </w:trPr>
        <w:tc>
          <w:tcPr>
            <w:tcW w:w="5255" w:type="dxa"/>
            <w:tcBorders>
              <w:top w:val="nil"/>
              <w:left w:val="single" w:sz="8" w:space="0" w:color="auto"/>
              <w:bottom w:val="nil"/>
              <w:right w:val="nil"/>
            </w:tcBorders>
            <w:shd w:val="clear" w:color="auto" w:fill="auto"/>
            <w:noWrap/>
            <w:vAlign w:val="bottom"/>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Nombre total d’exceptions</w:t>
            </w:r>
          </w:p>
        </w:tc>
        <w:tc>
          <w:tcPr>
            <w:tcW w:w="1266" w:type="dxa"/>
            <w:tcBorders>
              <w:top w:val="nil"/>
              <w:left w:val="nil"/>
              <w:bottom w:val="nil"/>
              <w:right w:val="nil"/>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684</w:t>
            </w:r>
          </w:p>
        </w:tc>
        <w:tc>
          <w:tcPr>
            <w:tcW w:w="1640" w:type="dxa"/>
            <w:tcBorders>
              <w:top w:val="nil"/>
              <w:left w:val="nil"/>
              <w:bottom w:val="nil"/>
              <w:right w:val="nil"/>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1 202</w:t>
            </w:r>
          </w:p>
        </w:tc>
        <w:tc>
          <w:tcPr>
            <w:tcW w:w="1391" w:type="dxa"/>
            <w:tcBorders>
              <w:top w:val="nil"/>
              <w:left w:val="nil"/>
              <w:bottom w:val="nil"/>
              <w:right w:val="single" w:sz="8" w:space="0" w:color="auto"/>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1 129</w:t>
            </w:r>
          </w:p>
        </w:tc>
      </w:tr>
      <w:tr w:rsidR="005476C3" w:rsidRPr="008B6D2E" w:rsidTr="005476C3">
        <w:trPr>
          <w:trHeight w:val="306"/>
        </w:trPr>
        <w:tc>
          <w:tcPr>
            <w:tcW w:w="5255" w:type="dxa"/>
            <w:tcBorders>
              <w:top w:val="nil"/>
              <w:left w:val="single" w:sz="8" w:space="0" w:color="auto"/>
              <w:bottom w:val="nil"/>
              <w:right w:val="nil"/>
            </w:tcBorders>
            <w:shd w:val="clear" w:color="auto" w:fill="auto"/>
            <w:noWrap/>
            <w:vAlign w:val="bottom"/>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Nombre total de demandes complétées</w:t>
            </w:r>
          </w:p>
        </w:tc>
        <w:tc>
          <w:tcPr>
            <w:tcW w:w="1266" w:type="dxa"/>
            <w:tcBorders>
              <w:top w:val="nil"/>
              <w:left w:val="nil"/>
              <w:bottom w:val="nil"/>
              <w:right w:val="nil"/>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630</w:t>
            </w:r>
          </w:p>
        </w:tc>
        <w:tc>
          <w:tcPr>
            <w:tcW w:w="1640" w:type="dxa"/>
            <w:tcBorders>
              <w:top w:val="nil"/>
              <w:left w:val="nil"/>
              <w:bottom w:val="nil"/>
              <w:right w:val="nil"/>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932</w:t>
            </w:r>
          </w:p>
        </w:tc>
        <w:tc>
          <w:tcPr>
            <w:tcW w:w="1391" w:type="dxa"/>
            <w:tcBorders>
              <w:top w:val="nil"/>
              <w:left w:val="nil"/>
              <w:bottom w:val="nil"/>
              <w:right w:val="single" w:sz="8" w:space="0" w:color="auto"/>
            </w:tcBorders>
            <w:shd w:val="clear" w:color="auto" w:fill="auto"/>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1 055</w:t>
            </w:r>
          </w:p>
        </w:tc>
      </w:tr>
      <w:tr w:rsidR="005476C3" w:rsidRPr="008B6D2E" w:rsidTr="005476C3">
        <w:trPr>
          <w:trHeight w:val="321"/>
        </w:trPr>
        <w:tc>
          <w:tcPr>
            <w:tcW w:w="5255" w:type="dxa"/>
            <w:tcBorders>
              <w:top w:val="nil"/>
              <w:left w:val="single" w:sz="8" w:space="0" w:color="auto"/>
              <w:bottom w:val="single" w:sz="8" w:space="0" w:color="auto"/>
              <w:right w:val="nil"/>
            </w:tcBorders>
            <w:shd w:val="clear" w:color="000000" w:fill="DBE5F1"/>
            <w:noWrap/>
            <w:vAlign w:val="bottom"/>
            <w:hideMark/>
          </w:tcPr>
          <w:p w:rsidR="005476C3" w:rsidRPr="008B6D2E" w:rsidRDefault="005476C3" w:rsidP="005476C3">
            <w:pPr>
              <w:spacing w:after="0" w:line="240" w:lineRule="auto"/>
              <w:rPr>
                <w:rFonts w:ascii="Calibri" w:eastAsia="Times New Roman" w:hAnsi="Calibri" w:cs="Times New Roman"/>
                <w:color w:val="000000"/>
                <w:lang w:val="fr-CA"/>
              </w:rPr>
            </w:pPr>
            <w:r w:rsidRPr="008B6D2E">
              <w:rPr>
                <w:rFonts w:ascii="Calibri" w:eastAsia="Times New Roman" w:hAnsi="Calibri" w:cs="Times New Roman"/>
                <w:color w:val="000000"/>
                <w:lang w:val="fr-CA"/>
              </w:rPr>
              <w:t>Nombre moyen d’exceptions par demande complétée</w:t>
            </w:r>
          </w:p>
        </w:tc>
        <w:tc>
          <w:tcPr>
            <w:tcW w:w="1266" w:type="dxa"/>
            <w:tcBorders>
              <w:top w:val="nil"/>
              <w:left w:val="nil"/>
              <w:bottom w:val="single" w:sz="8" w:space="0" w:color="auto"/>
              <w:right w:val="nil"/>
            </w:tcBorders>
            <w:shd w:val="clear" w:color="000000" w:fill="DBE5F1"/>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1,09</w:t>
            </w:r>
          </w:p>
        </w:tc>
        <w:tc>
          <w:tcPr>
            <w:tcW w:w="1640" w:type="dxa"/>
            <w:tcBorders>
              <w:top w:val="nil"/>
              <w:left w:val="nil"/>
              <w:bottom w:val="single" w:sz="8" w:space="0" w:color="auto"/>
              <w:right w:val="nil"/>
            </w:tcBorders>
            <w:shd w:val="clear" w:color="000000" w:fill="DBE5F1"/>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1,29</w:t>
            </w:r>
          </w:p>
        </w:tc>
        <w:tc>
          <w:tcPr>
            <w:tcW w:w="1391" w:type="dxa"/>
            <w:tcBorders>
              <w:top w:val="nil"/>
              <w:left w:val="nil"/>
              <w:bottom w:val="single" w:sz="8" w:space="0" w:color="auto"/>
              <w:right w:val="single" w:sz="8" w:space="0" w:color="auto"/>
            </w:tcBorders>
            <w:shd w:val="clear" w:color="000000" w:fill="DBE5F1"/>
            <w:noWrap/>
            <w:vAlign w:val="bottom"/>
            <w:hideMark/>
          </w:tcPr>
          <w:p w:rsidR="005476C3" w:rsidRPr="008B6D2E" w:rsidRDefault="005476C3" w:rsidP="005476C3">
            <w:pPr>
              <w:spacing w:after="0" w:line="240" w:lineRule="auto"/>
              <w:jc w:val="center"/>
              <w:rPr>
                <w:rFonts w:ascii="Calibri" w:eastAsia="Times New Roman" w:hAnsi="Calibri" w:cs="Times New Roman"/>
                <w:color w:val="000000"/>
                <w:lang w:val="fr-CA"/>
              </w:rPr>
            </w:pPr>
            <w:r w:rsidRPr="008B6D2E">
              <w:rPr>
                <w:rFonts w:ascii="Calibri" w:eastAsia="Times New Roman" w:hAnsi="Calibri" w:cs="Times New Roman"/>
                <w:color w:val="000000"/>
                <w:lang w:val="fr-CA"/>
              </w:rPr>
              <w:t>1,07</w:t>
            </w:r>
          </w:p>
        </w:tc>
      </w:tr>
    </w:tbl>
    <w:p w:rsidR="005476C3" w:rsidRDefault="005476C3" w:rsidP="005476C3">
      <w:pPr>
        <w:pStyle w:val="Heading2"/>
        <w:spacing w:before="240"/>
      </w:pPr>
    </w:p>
    <w:p w:rsidR="005476C3" w:rsidRDefault="005476C3" w:rsidP="005476C3">
      <w:pPr>
        <w:rPr>
          <w:lang w:val="fr-CA"/>
        </w:rPr>
      </w:pPr>
      <w:r>
        <w:br w:type="page"/>
      </w:r>
    </w:p>
    <w:p w:rsidR="005476C3" w:rsidRPr="00386A1D" w:rsidRDefault="005476C3" w:rsidP="005476C3">
      <w:pPr>
        <w:pStyle w:val="Heading2"/>
        <w:spacing w:before="240"/>
      </w:pPr>
      <w:r w:rsidRPr="00386A1D">
        <w:lastRenderedPageBreak/>
        <w:t>Plaintes au Commissariat à l’information</w:t>
      </w:r>
    </w:p>
    <w:p w:rsidR="005476C3" w:rsidRPr="00386A1D" w:rsidRDefault="005476C3" w:rsidP="005476C3">
      <w:pPr>
        <w:jc w:val="both"/>
        <w:rPr>
          <w:lang w:val="fr-CA"/>
        </w:rPr>
      </w:pPr>
      <w:r w:rsidRPr="008B6D2E">
        <w:rPr>
          <w:lang w:val="fr-CA"/>
        </w:rPr>
        <w:t>Le nombre de plaintes reçues</w:t>
      </w:r>
      <w:r>
        <w:rPr>
          <w:rStyle w:val="FootnoteReference"/>
          <w:lang w:val="fr-CA"/>
        </w:rPr>
        <w:footnoteReference w:id="38"/>
      </w:r>
      <w:r w:rsidRPr="008B6D2E">
        <w:rPr>
          <w:lang w:val="fr-CA"/>
        </w:rPr>
        <w:t xml:space="preserve"> concernant EDSC a diminué de 37 en 2013-2014 à 33 en 2014-2015. La part des plaintes de nature administrative a diminué de 67</w:t>
      </w:r>
      <w:r>
        <w:rPr>
          <w:lang w:val="fr-CA"/>
        </w:rPr>
        <w:t xml:space="preserve"> </w:t>
      </w:r>
      <w:r w:rsidRPr="008B6D2E">
        <w:rPr>
          <w:lang w:val="fr-CA"/>
        </w:rPr>
        <w:t>% à 4</w:t>
      </w:r>
      <w:r>
        <w:rPr>
          <w:lang w:val="fr-CA"/>
        </w:rPr>
        <w:t xml:space="preserve">6 </w:t>
      </w:r>
      <w:r w:rsidRPr="008B6D2E">
        <w:rPr>
          <w:lang w:val="fr-CA"/>
        </w:rPr>
        <w:t xml:space="preserve">% par rapport à la période précédente. Le nombre de plaintes fondées est passé de 20 à 15 par rapport à 2013-2014. On a rapporté 6 plaintes abandonnées et 10 </w:t>
      </w:r>
      <w:r>
        <w:rPr>
          <w:lang w:val="fr-CA"/>
        </w:rPr>
        <w:t xml:space="preserve">étaient encore </w:t>
      </w:r>
      <w:r w:rsidRPr="008B6D2E">
        <w:rPr>
          <w:lang w:val="fr-CA"/>
        </w:rPr>
        <w:t>en</w:t>
      </w:r>
      <w:r>
        <w:rPr>
          <w:lang w:val="fr-CA"/>
        </w:rPr>
        <w:t xml:space="preserve"> suspens.</w:t>
      </w:r>
    </w:p>
    <w:p w:rsidR="005476C3" w:rsidRDefault="005476C3">
      <w:pPr>
        <w:rPr>
          <w:lang w:val="fr-CA"/>
        </w:rPr>
      </w:pPr>
      <w:r>
        <w:rPr>
          <w:lang w:val="fr-CA"/>
        </w:rPr>
        <w:br w:type="page"/>
      </w:r>
    </w:p>
    <w:p w:rsidR="005476C3" w:rsidRPr="0050662F" w:rsidRDefault="005476C3" w:rsidP="005476C3">
      <w:pPr>
        <w:pStyle w:val="Heading1"/>
      </w:pPr>
      <w:r w:rsidRPr="0050662F">
        <w:lastRenderedPageBreak/>
        <w:t>Transports Canada</w:t>
      </w:r>
    </w:p>
    <w:p w:rsidR="005476C3" w:rsidRPr="0050662F" w:rsidRDefault="005476C3" w:rsidP="005476C3">
      <w:pPr>
        <w:jc w:val="both"/>
        <w:rPr>
          <w:b/>
          <w:lang w:val="fr-CA"/>
        </w:rPr>
      </w:pPr>
      <w:r w:rsidRPr="0050662F">
        <w:rPr>
          <w:rStyle w:val="Heading2Char"/>
        </w:rPr>
        <w:t>Rendement global</w:t>
      </w:r>
      <w:r w:rsidRPr="00CD1037">
        <w:rPr>
          <w:rStyle w:val="FootnoteReference"/>
          <w:b/>
          <w:lang w:val="fr-CA"/>
        </w:rPr>
        <w:footnoteReference w:id="39"/>
      </w:r>
    </w:p>
    <w:p w:rsidR="005476C3" w:rsidRPr="00CD1037" w:rsidRDefault="005476C3" w:rsidP="005476C3">
      <w:pPr>
        <w:jc w:val="both"/>
        <w:rPr>
          <w:lang w:val="fr-CA"/>
        </w:rPr>
      </w:pPr>
      <w:r w:rsidRPr="00CD1037">
        <w:rPr>
          <w:lang w:val="fr-CA"/>
        </w:rPr>
        <w:t>Transports Canada (TC) a amélioré son pourcentage de demandes complétées en 30 jours ou moins de 16,7 %. Il y a aussi eu une diminution de 14,1 % du nombre de demandes reçues. Le présent rapport contient des statistiques comparatives pour les trois dernières périodes (2012 à 2015).</w:t>
      </w:r>
    </w:p>
    <w:p w:rsidR="005476C3" w:rsidRPr="0050662F" w:rsidRDefault="005476C3" w:rsidP="005476C3">
      <w:pPr>
        <w:pStyle w:val="Heading2"/>
      </w:pPr>
      <w:r w:rsidRPr="0050662F">
        <w:t>Charge de travail</w:t>
      </w:r>
    </w:p>
    <w:p w:rsidR="005476C3" w:rsidRPr="00CD1037" w:rsidRDefault="005476C3" w:rsidP="005476C3">
      <w:pPr>
        <w:jc w:val="both"/>
        <w:rPr>
          <w:lang w:val="fr-CA"/>
        </w:rPr>
      </w:pPr>
      <w:r w:rsidRPr="00CD1037">
        <w:rPr>
          <w:lang w:val="fr-CA"/>
        </w:rPr>
        <w:t xml:space="preserve">TC a reçu 937 demandes en vertu de la </w:t>
      </w:r>
      <w:r w:rsidRPr="00CD1037">
        <w:rPr>
          <w:i/>
          <w:lang w:val="fr-CA"/>
        </w:rPr>
        <w:t>Loi sur l’accès à l‘information</w:t>
      </w:r>
      <w:r w:rsidRPr="00CD1037">
        <w:rPr>
          <w:lang w:val="fr-CA"/>
        </w:rPr>
        <w:t xml:space="preserve"> (la </w:t>
      </w:r>
      <w:r w:rsidRPr="00CD1037">
        <w:rPr>
          <w:i/>
          <w:lang w:val="fr-CA"/>
        </w:rPr>
        <w:t>Loi</w:t>
      </w:r>
      <w:r w:rsidRPr="00CD1037">
        <w:rPr>
          <w:lang w:val="fr-CA"/>
        </w:rPr>
        <w:t>), représentant une diminution de 14,1 % par rapport à la période précédente. La plupart des demandes provenaient</w:t>
      </w:r>
      <w:r>
        <w:rPr>
          <w:lang w:val="fr-CA"/>
        </w:rPr>
        <w:t xml:space="preserve"> des médias (39</w:t>
      </w:r>
      <w:r w:rsidRPr="00CD1037">
        <w:rPr>
          <w:lang w:val="fr-CA"/>
        </w:rPr>
        <w:t>,2 %), suivies du secteur privé (23,6 %). Les demandes du public ont augmenté de 11 % pour la période de référence visée par les présentes, par rapport à 2013</w:t>
      </w:r>
      <w:r>
        <w:rPr>
          <w:lang w:val="fr-CA"/>
        </w:rPr>
        <w:t>-</w:t>
      </w:r>
      <w:r w:rsidRPr="00CD1037">
        <w:rPr>
          <w:lang w:val="fr-CA"/>
        </w:rPr>
        <w:t>2014. En comparaison avec la période précédente, les demandes des médias ont chuté de 22,2 %.</w:t>
      </w:r>
    </w:p>
    <w:p w:rsidR="005476C3" w:rsidRPr="00CD1037" w:rsidRDefault="005476C3" w:rsidP="005476C3">
      <w:pPr>
        <w:jc w:val="both"/>
        <w:rPr>
          <w:lang w:val="fr-CA"/>
        </w:rPr>
      </w:pPr>
      <w:r w:rsidRPr="00CD1037">
        <w:rPr>
          <w:lang w:val="fr-CA"/>
        </w:rPr>
        <w:t>TC a complété 1 167 demandes pour cette période de référence par rapport à 1 794 en en 2013-2014. Le taux d’achèvement</w:t>
      </w:r>
      <w:r w:rsidRPr="00CD1037">
        <w:rPr>
          <w:rStyle w:val="FootnoteReference"/>
          <w:lang w:val="fr-CA"/>
        </w:rPr>
        <w:footnoteReference w:id="40"/>
      </w:r>
      <w:r w:rsidRPr="00CD1037">
        <w:rPr>
          <w:lang w:val="fr-CA"/>
        </w:rPr>
        <w:t>  était de 90,2 %, soit un taux supérieur à celui établi pour l’ensemble du gouvernement qui lui, était de 85,1 %.</w:t>
      </w:r>
      <w:r>
        <w:rPr>
          <w:lang w:val="fr-CA"/>
        </w:rPr>
        <w:t xml:space="preserve"> En 2013-2014, ce taux était de 82,6 %.</w:t>
      </w:r>
      <w:r w:rsidRPr="00CD1037">
        <w:rPr>
          <w:lang w:val="fr-CA"/>
        </w:rPr>
        <w:t xml:space="preserve"> TC a aussi reçu 245 demandes informelles, </w:t>
      </w:r>
      <w:r>
        <w:rPr>
          <w:lang w:val="fr-CA"/>
        </w:rPr>
        <w:t>dont 85</w:t>
      </w:r>
      <w:r w:rsidRPr="00CD1037">
        <w:rPr>
          <w:lang w:val="fr-CA"/>
        </w:rPr>
        <w:t xml:space="preserve">,7 % ont été </w:t>
      </w:r>
      <w:r>
        <w:rPr>
          <w:lang w:val="fr-CA"/>
        </w:rPr>
        <w:t>complétées</w:t>
      </w:r>
      <w:r w:rsidRPr="00CD1037">
        <w:rPr>
          <w:lang w:val="fr-CA"/>
        </w:rPr>
        <w:t xml:space="preserve"> en 30 jours ou moins. Le nombre de demandes de consultation reçues par TC en provenance d’autres institutions fédérales a diminué de 265 à 218, ce qui représente une bais</w:t>
      </w:r>
      <w:r>
        <w:rPr>
          <w:lang w:val="fr-CA"/>
        </w:rPr>
        <w:t>se de 17,7 % par rapport à 2013-</w:t>
      </w:r>
      <w:r w:rsidRPr="00CD1037">
        <w:rPr>
          <w:lang w:val="fr-CA"/>
        </w:rPr>
        <w:t>2014.</w:t>
      </w:r>
    </w:p>
    <w:p w:rsidR="005476C3" w:rsidRPr="00CD1037" w:rsidRDefault="005476C3" w:rsidP="005476C3">
      <w:pPr>
        <w:jc w:val="both"/>
        <w:rPr>
          <w:lang w:val="fr-CA"/>
        </w:rPr>
      </w:pPr>
      <w:r w:rsidRPr="00CD1037">
        <w:rPr>
          <w:lang w:val="fr-CA"/>
        </w:rPr>
        <w:t xml:space="preserve">Le nombre total de pages traitées par TC était de 306 012 pages, </w:t>
      </w:r>
      <w:r>
        <w:rPr>
          <w:lang w:val="fr-CA"/>
        </w:rPr>
        <w:t>en comparaison avec</w:t>
      </w:r>
      <w:r w:rsidRPr="00CD1037">
        <w:rPr>
          <w:lang w:val="fr-CA"/>
        </w:rPr>
        <w:t xml:space="preserve"> 202 969 pages l’année précédente. Il y a aussi eu une hausse du nombre moyen </w:t>
      </w:r>
      <w:r>
        <w:rPr>
          <w:lang w:val="fr-CA"/>
        </w:rPr>
        <w:t>de pages traitées par demande complétée</w:t>
      </w:r>
      <w:r w:rsidRPr="00CD1037">
        <w:rPr>
          <w:lang w:val="fr-CA"/>
        </w:rPr>
        <w:t xml:space="preserve">, </w:t>
      </w:r>
      <w:r>
        <w:rPr>
          <w:lang w:val="fr-CA"/>
        </w:rPr>
        <w:t>passant de 159 en 2013-2014 à 30</w:t>
      </w:r>
      <w:r w:rsidRPr="00CD1037">
        <w:rPr>
          <w:lang w:val="fr-CA"/>
        </w:rPr>
        <w:t>8 en 2014-2015 (voir tableau 1</w:t>
      </w:r>
      <w:r>
        <w:rPr>
          <w:lang w:val="fr-CA"/>
        </w:rPr>
        <w:t>).</w:t>
      </w:r>
    </w:p>
    <w:p w:rsidR="005476C3" w:rsidRDefault="005476C3" w:rsidP="005476C3">
      <w:pPr>
        <w:jc w:val="both"/>
        <w:rPr>
          <w:lang w:val="fr-CA"/>
        </w:rPr>
      </w:pPr>
      <w:r w:rsidRPr="00CD1037">
        <w:rPr>
          <w:lang w:val="fr-CA"/>
        </w:rPr>
        <w:t xml:space="preserve">L’information diffusée par TC était </w:t>
      </w:r>
      <w:r w:rsidRPr="008B6D2E">
        <w:rPr>
          <w:lang w:val="fr-CA"/>
        </w:rPr>
        <w:t>majoritairement</w:t>
      </w:r>
      <w:r w:rsidRPr="00CD1037">
        <w:rPr>
          <w:lang w:val="fr-CA"/>
        </w:rPr>
        <w:t xml:space="preserve"> en format papier : 583 demandes en format papier par rapport à 199 demandes en format électronique. Ces résultats sont considérablement différent que ceux obtenus en 2013-2014 (901 demandes en format papier par rapport à 57 demandes en format électronique).</w:t>
      </w:r>
    </w:p>
    <w:p w:rsidR="005476C3" w:rsidRPr="0050662F" w:rsidRDefault="005476C3" w:rsidP="00BA2BE8">
      <w:pPr>
        <w:pStyle w:val="Heading3"/>
      </w:pPr>
      <w:r w:rsidRPr="0050662F">
        <w:t xml:space="preserve">Tableau </w:t>
      </w:r>
      <w:proofErr w:type="gramStart"/>
      <w:r w:rsidRPr="0050662F">
        <w:t>1 :</w:t>
      </w:r>
      <w:proofErr w:type="gramEnd"/>
      <w:r w:rsidRPr="0050662F">
        <w:t xml:space="preserve"> Charge de travail</w:t>
      </w:r>
    </w:p>
    <w:tbl>
      <w:tblPr>
        <w:tblW w:w="9568" w:type="dxa"/>
        <w:tblInd w:w="98" w:type="dxa"/>
        <w:tblLook w:val="04A0"/>
      </w:tblPr>
      <w:tblGrid>
        <w:gridCol w:w="5152"/>
        <w:gridCol w:w="1472"/>
        <w:gridCol w:w="1472"/>
        <w:gridCol w:w="1472"/>
      </w:tblGrid>
      <w:tr w:rsidR="005476C3" w:rsidRPr="0064697B" w:rsidTr="005476C3">
        <w:trPr>
          <w:trHeight w:val="295"/>
        </w:trPr>
        <w:tc>
          <w:tcPr>
            <w:tcW w:w="5152" w:type="dxa"/>
            <w:tcBorders>
              <w:top w:val="single" w:sz="4" w:space="0" w:color="auto"/>
              <w:left w:val="single" w:sz="4" w:space="0" w:color="auto"/>
              <w:bottom w:val="single" w:sz="8" w:space="0" w:color="auto"/>
              <w:right w:val="nil"/>
            </w:tcBorders>
            <w:shd w:val="clear" w:color="auto" w:fill="auto"/>
            <w:noWrap/>
            <w:vAlign w:val="bottom"/>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 xml:space="preserve">Mesures </w:t>
            </w:r>
          </w:p>
        </w:tc>
        <w:tc>
          <w:tcPr>
            <w:tcW w:w="1472" w:type="dxa"/>
            <w:tcBorders>
              <w:top w:val="single" w:sz="4" w:space="0" w:color="auto"/>
              <w:left w:val="nil"/>
              <w:bottom w:val="single" w:sz="8" w:space="0" w:color="auto"/>
              <w:right w:val="nil"/>
            </w:tcBorders>
            <w:shd w:val="clear" w:color="auto" w:fill="auto"/>
            <w:noWrap/>
            <w:vAlign w:val="bottom"/>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2012-2013</w:t>
            </w:r>
          </w:p>
        </w:tc>
        <w:tc>
          <w:tcPr>
            <w:tcW w:w="1472" w:type="dxa"/>
            <w:tcBorders>
              <w:top w:val="single" w:sz="4" w:space="0" w:color="auto"/>
              <w:left w:val="nil"/>
              <w:bottom w:val="single" w:sz="8" w:space="0" w:color="auto"/>
              <w:right w:val="nil"/>
            </w:tcBorders>
            <w:shd w:val="clear" w:color="auto" w:fill="auto"/>
            <w:noWrap/>
            <w:vAlign w:val="bottom"/>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2013-2014</w:t>
            </w:r>
          </w:p>
        </w:tc>
        <w:tc>
          <w:tcPr>
            <w:tcW w:w="1472" w:type="dxa"/>
            <w:tcBorders>
              <w:top w:val="single" w:sz="4" w:space="0" w:color="auto"/>
              <w:left w:val="nil"/>
              <w:bottom w:val="single" w:sz="8" w:space="0" w:color="auto"/>
              <w:right w:val="single" w:sz="4" w:space="0" w:color="auto"/>
            </w:tcBorders>
            <w:shd w:val="clear" w:color="auto" w:fill="auto"/>
            <w:noWrap/>
            <w:vAlign w:val="bottom"/>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2014-2015</w:t>
            </w:r>
          </w:p>
        </w:tc>
      </w:tr>
      <w:tr w:rsidR="005476C3" w:rsidRPr="0064697B" w:rsidTr="005476C3">
        <w:trPr>
          <w:trHeight w:val="425"/>
        </w:trPr>
        <w:tc>
          <w:tcPr>
            <w:tcW w:w="5152" w:type="dxa"/>
            <w:tcBorders>
              <w:top w:val="nil"/>
              <w:left w:val="single" w:sz="4" w:space="0" w:color="auto"/>
              <w:bottom w:val="nil"/>
              <w:right w:val="nil"/>
            </w:tcBorders>
            <w:shd w:val="clear" w:color="000000" w:fill="DBE5F1"/>
            <w:noWrap/>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 xml:space="preserve">Nombre de demandes reçues </w:t>
            </w:r>
          </w:p>
        </w:tc>
        <w:tc>
          <w:tcPr>
            <w:tcW w:w="1472" w:type="dxa"/>
            <w:tcBorders>
              <w:top w:val="nil"/>
              <w:left w:val="nil"/>
              <w:bottom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2 197</w:t>
            </w:r>
          </w:p>
        </w:tc>
        <w:tc>
          <w:tcPr>
            <w:tcW w:w="1472" w:type="dxa"/>
            <w:tcBorders>
              <w:top w:val="nil"/>
              <w:left w:val="nil"/>
              <w:bottom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1 091</w:t>
            </w:r>
          </w:p>
        </w:tc>
        <w:tc>
          <w:tcPr>
            <w:tcW w:w="1472" w:type="dxa"/>
            <w:tcBorders>
              <w:top w:val="nil"/>
              <w:left w:val="nil"/>
              <w:bottom w:val="nil"/>
              <w:right w:val="single" w:sz="4" w:space="0" w:color="auto"/>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937</w:t>
            </w:r>
          </w:p>
        </w:tc>
      </w:tr>
      <w:tr w:rsidR="005476C3" w:rsidRPr="0064697B" w:rsidTr="005476C3">
        <w:trPr>
          <w:trHeight w:val="281"/>
        </w:trPr>
        <w:tc>
          <w:tcPr>
            <w:tcW w:w="5152" w:type="dxa"/>
            <w:tcBorders>
              <w:top w:val="nil"/>
              <w:left w:val="single" w:sz="4" w:space="0" w:color="auto"/>
              <w:bottom w:val="nil"/>
              <w:right w:val="nil"/>
            </w:tcBorders>
            <w:shd w:val="clear" w:color="auto" w:fill="auto"/>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Variation annuelle en %</w:t>
            </w:r>
          </w:p>
        </w:tc>
        <w:tc>
          <w:tcPr>
            <w:tcW w:w="1472" w:type="dxa"/>
            <w:tcBorders>
              <w:top w:val="nil"/>
              <w:left w:val="nil"/>
              <w:bottom w:val="nil"/>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w:t>
            </w:r>
          </w:p>
        </w:tc>
        <w:tc>
          <w:tcPr>
            <w:tcW w:w="1472" w:type="dxa"/>
            <w:tcBorders>
              <w:top w:val="nil"/>
              <w:left w:val="nil"/>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-50,3 %</w:t>
            </w:r>
          </w:p>
        </w:tc>
        <w:tc>
          <w:tcPr>
            <w:tcW w:w="1472" w:type="dxa"/>
            <w:tcBorders>
              <w:top w:val="nil"/>
              <w:left w:val="nil"/>
              <w:right w:val="single" w:sz="4" w:space="0" w:color="auto"/>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-14,1 %</w:t>
            </w:r>
          </w:p>
        </w:tc>
      </w:tr>
      <w:tr w:rsidR="005476C3" w:rsidRPr="0064697B" w:rsidTr="005476C3">
        <w:trPr>
          <w:trHeight w:val="441"/>
        </w:trPr>
        <w:tc>
          <w:tcPr>
            <w:tcW w:w="5152" w:type="dxa"/>
            <w:tcBorders>
              <w:top w:val="nil"/>
              <w:left w:val="single" w:sz="4" w:space="0" w:color="auto"/>
              <w:right w:val="nil"/>
            </w:tcBorders>
            <w:shd w:val="clear" w:color="000000" w:fill="DBE5F1"/>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472" w:type="dxa"/>
            <w:tcBorders>
              <w:top w:val="nil"/>
              <w:left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1 419</w:t>
            </w:r>
          </w:p>
        </w:tc>
        <w:tc>
          <w:tcPr>
            <w:tcW w:w="1472" w:type="dxa"/>
            <w:tcBorders>
              <w:top w:val="nil"/>
              <w:left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1 794</w:t>
            </w:r>
          </w:p>
        </w:tc>
        <w:tc>
          <w:tcPr>
            <w:tcW w:w="1472" w:type="dxa"/>
            <w:tcBorders>
              <w:top w:val="nil"/>
              <w:left w:val="nil"/>
              <w:bottom w:val="nil"/>
              <w:right w:val="single" w:sz="4" w:space="0" w:color="auto"/>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1 167</w:t>
            </w:r>
          </w:p>
        </w:tc>
      </w:tr>
      <w:tr w:rsidR="005476C3" w:rsidRPr="0064697B" w:rsidTr="005476C3">
        <w:trPr>
          <w:trHeight w:val="295"/>
        </w:trPr>
        <w:tc>
          <w:tcPr>
            <w:tcW w:w="5152" w:type="dxa"/>
            <w:tcBorders>
              <w:top w:val="nil"/>
              <w:left w:val="single" w:sz="4" w:space="0" w:color="auto"/>
              <w:right w:val="nil"/>
            </w:tcBorders>
            <w:shd w:val="clear" w:color="auto" w:fill="auto"/>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Variation annuelle en %</w:t>
            </w:r>
          </w:p>
        </w:tc>
        <w:tc>
          <w:tcPr>
            <w:tcW w:w="1472" w:type="dxa"/>
            <w:tcBorders>
              <w:top w:val="nil"/>
              <w:left w:val="nil"/>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w:t>
            </w:r>
          </w:p>
        </w:tc>
        <w:tc>
          <w:tcPr>
            <w:tcW w:w="1472" w:type="dxa"/>
            <w:tcBorders>
              <w:top w:val="nil"/>
              <w:left w:val="nil"/>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26,4 %</w:t>
            </w:r>
          </w:p>
        </w:tc>
        <w:tc>
          <w:tcPr>
            <w:tcW w:w="1472" w:type="dxa"/>
            <w:tcBorders>
              <w:top w:val="nil"/>
              <w:left w:val="nil"/>
              <w:right w:val="single" w:sz="4" w:space="0" w:color="auto"/>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-34,9 %</w:t>
            </w:r>
          </w:p>
        </w:tc>
      </w:tr>
      <w:tr w:rsidR="005476C3" w:rsidRPr="0064697B" w:rsidTr="005476C3">
        <w:trPr>
          <w:trHeight w:val="531"/>
        </w:trPr>
        <w:tc>
          <w:tcPr>
            <w:tcW w:w="5152" w:type="dxa"/>
            <w:tcBorders>
              <w:top w:val="nil"/>
              <w:left w:val="single" w:sz="4" w:space="0" w:color="auto"/>
              <w:right w:val="nil"/>
            </w:tcBorders>
            <w:shd w:val="clear" w:color="000000" w:fill="DBE5F1"/>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lastRenderedPageBreak/>
              <w:t>Nombre de demandes de consultation reçues (d’autres institutions fédérales)</w:t>
            </w:r>
          </w:p>
        </w:tc>
        <w:tc>
          <w:tcPr>
            <w:tcW w:w="1472" w:type="dxa"/>
            <w:tcBorders>
              <w:top w:val="nil"/>
              <w:left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265</w:t>
            </w:r>
          </w:p>
        </w:tc>
        <w:tc>
          <w:tcPr>
            <w:tcW w:w="1472" w:type="dxa"/>
            <w:tcBorders>
              <w:top w:val="nil"/>
              <w:left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265</w:t>
            </w:r>
          </w:p>
        </w:tc>
        <w:tc>
          <w:tcPr>
            <w:tcW w:w="1472" w:type="dxa"/>
            <w:tcBorders>
              <w:top w:val="nil"/>
              <w:left w:val="nil"/>
              <w:right w:val="single" w:sz="4" w:space="0" w:color="auto"/>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218</w:t>
            </w:r>
          </w:p>
        </w:tc>
      </w:tr>
      <w:tr w:rsidR="005476C3" w:rsidRPr="0064697B" w:rsidTr="005476C3">
        <w:trPr>
          <w:trHeight w:val="445"/>
        </w:trPr>
        <w:tc>
          <w:tcPr>
            <w:tcW w:w="5152" w:type="dxa"/>
            <w:tcBorders>
              <w:left w:val="single" w:sz="4" w:space="0" w:color="auto"/>
              <w:right w:val="nil"/>
            </w:tcBorders>
            <w:shd w:val="clear" w:color="auto" w:fill="auto"/>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Variation annuelle en %</w:t>
            </w:r>
          </w:p>
        </w:tc>
        <w:tc>
          <w:tcPr>
            <w:tcW w:w="1472" w:type="dxa"/>
            <w:tcBorders>
              <w:left w:val="nil"/>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w:t>
            </w:r>
          </w:p>
        </w:tc>
        <w:tc>
          <w:tcPr>
            <w:tcW w:w="1472" w:type="dxa"/>
            <w:tcBorders>
              <w:left w:val="nil"/>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0,0 %</w:t>
            </w:r>
          </w:p>
        </w:tc>
        <w:tc>
          <w:tcPr>
            <w:tcW w:w="1472" w:type="dxa"/>
            <w:tcBorders>
              <w:left w:val="nil"/>
              <w:right w:val="single" w:sz="4" w:space="0" w:color="auto"/>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-17,7 %</w:t>
            </w:r>
          </w:p>
        </w:tc>
      </w:tr>
      <w:tr w:rsidR="005476C3" w:rsidRPr="0064697B" w:rsidTr="005476C3">
        <w:trPr>
          <w:trHeight w:val="575"/>
        </w:trPr>
        <w:tc>
          <w:tcPr>
            <w:tcW w:w="5152" w:type="dxa"/>
            <w:tcBorders>
              <w:left w:val="single" w:sz="4" w:space="0" w:color="auto"/>
              <w:bottom w:val="nil"/>
              <w:right w:val="nil"/>
            </w:tcBorders>
            <w:shd w:val="clear" w:color="000000" w:fill="DBE5F1"/>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472" w:type="dxa"/>
            <w:tcBorders>
              <w:left w:val="nil"/>
              <w:bottom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104</w:t>
            </w:r>
          </w:p>
        </w:tc>
        <w:tc>
          <w:tcPr>
            <w:tcW w:w="1472" w:type="dxa"/>
            <w:tcBorders>
              <w:left w:val="nil"/>
              <w:bottom w:val="nil"/>
              <w:right w:val="nil"/>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159</w:t>
            </w:r>
          </w:p>
        </w:tc>
        <w:tc>
          <w:tcPr>
            <w:tcW w:w="1472" w:type="dxa"/>
            <w:tcBorders>
              <w:left w:val="nil"/>
              <w:bottom w:val="nil"/>
              <w:right w:val="single" w:sz="4" w:space="0" w:color="auto"/>
            </w:tcBorders>
            <w:shd w:val="clear" w:color="000000" w:fill="DBE5F1"/>
            <w:noWrap/>
            <w:vAlign w:val="center"/>
            <w:hideMark/>
          </w:tcPr>
          <w:p w:rsidR="005476C3" w:rsidRPr="0064697B" w:rsidRDefault="005476C3" w:rsidP="005476C3">
            <w:pPr>
              <w:spacing w:after="0" w:line="240" w:lineRule="auto"/>
              <w:jc w:val="center"/>
              <w:rPr>
                <w:rFonts w:ascii="Calibri" w:eastAsia="Times New Roman" w:hAnsi="Calibri" w:cs="Times New Roman"/>
                <w:b/>
                <w:bCs/>
                <w:color w:val="000000"/>
                <w:lang w:val="fr-CA"/>
              </w:rPr>
            </w:pPr>
            <w:r w:rsidRPr="0064697B">
              <w:rPr>
                <w:rFonts w:ascii="Calibri" w:eastAsia="Times New Roman" w:hAnsi="Calibri" w:cs="Times New Roman"/>
                <w:b/>
                <w:bCs/>
                <w:color w:val="000000"/>
                <w:lang w:val="fr-CA"/>
              </w:rPr>
              <w:t>308</w:t>
            </w:r>
          </w:p>
        </w:tc>
      </w:tr>
      <w:tr w:rsidR="005476C3" w:rsidRPr="0064697B" w:rsidTr="005476C3">
        <w:trPr>
          <w:trHeight w:val="575"/>
        </w:trPr>
        <w:tc>
          <w:tcPr>
            <w:tcW w:w="5152" w:type="dxa"/>
            <w:tcBorders>
              <w:top w:val="nil"/>
              <w:left w:val="single" w:sz="4" w:space="0" w:color="auto"/>
              <w:bottom w:val="single" w:sz="4" w:space="0" w:color="auto"/>
              <w:right w:val="nil"/>
            </w:tcBorders>
            <w:shd w:val="clear" w:color="auto" w:fill="auto"/>
            <w:hideMark/>
          </w:tcPr>
          <w:p w:rsidR="005476C3" w:rsidRPr="0064697B" w:rsidRDefault="005476C3" w:rsidP="005476C3">
            <w:pPr>
              <w:spacing w:after="0" w:line="240" w:lineRule="auto"/>
              <w:rPr>
                <w:rFonts w:ascii="Calibri" w:eastAsia="Times New Roman" w:hAnsi="Calibri" w:cs="Times New Roman"/>
                <w:color w:val="000000"/>
                <w:lang w:val="fr-CA"/>
              </w:rPr>
            </w:pPr>
            <w:r w:rsidRPr="0064697B">
              <w:rPr>
                <w:rFonts w:ascii="Calibri" w:eastAsia="Times New Roman" w:hAnsi="Calibri" w:cs="Times New Roman"/>
                <w:color w:val="000000"/>
                <w:lang w:val="fr-CA"/>
              </w:rPr>
              <w:t>% des demandes pour lesquelles plus de 1 000 pages ont été traitées</w:t>
            </w:r>
          </w:p>
        </w:tc>
        <w:tc>
          <w:tcPr>
            <w:tcW w:w="1472" w:type="dxa"/>
            <w:tcBorders>
              <w:top w:val="nil"/>
              <w:left w:val="nil"/>
              <w:bottom w:val="single" w:sz="4" w:space="0" w:color="auto"/>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2,2 %</w:t>
            </w:r>
          </w:p>
        </w:tc>
        <w:tc>
          <w:tcPr>
            <w:tcW w:w="1472" w:type="dxa"/>
            <w:tcBorders>
              <w:top w:val="nil"/>
              <w:left w:val="nil"/>
              <w:bottom w:val="single" w:sz="4" w:space="0" w:color="auto"/>
              <w:right w:val="nil"/>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2,8 %</w:t>
            </w:r>
          </w:p>
        </w:tc>
        <w:tc>
          <w:tcPr>
            <w:tcW w:w="1472" w:type="dxa"/>
            <w:tcBorders>
              <w:top w:val="nil"/>
              <w:left w:val="nil"/>
              <w:bottom w:val="single" w:sz="4" w:space="0" w:color="auto"/>
              <w:right w:val="single" w:sz="4" w:space="0" w:color="auto"/>
            </w:tcBorders>
            <w:shd w:val="clear" w:color="auto" w:fill="auto"/>
            <w:noWrap/>
            <w:vAlign w:val="center"/>
            <w:hideMark/>
          </w:tcPr>
          <w:p w:rsidR="005476C3" w:rsidRPr="0064697B" w:rsidRDefault="005476C3" w:rsidP="005476C3">
            <w:pPr>
              <w:spacing w:after="0" w:line="240" w:lineRule="auto"/>
              <w:jc w:val="center"/>
              <w:rPr>
                <w:rFonts w:ascii="Calibri" w:eastAsia="Times New Roman" w:hAnsi="Calibri" w:cs="Times New Roman"/>
                <w:color w:val="000000"/>
                <w:lang w:val="fr-CA"/>
              </w:rPr>
            </w:pPr>
            <w:r w:rsidRPr="0064697B">
              <w:rPr>
                <w:rFonts w:ascii="Calibri" w:eastAsia="Times New Roman" w:hAnsi="Calibri" w:cs="Times New Roman"/>
                <w:color w:val="000000"/>
                <w:lang w:val="fr-CA"/>
              </w:rPr>
              <w:t>7,9 %</w:t>
            </w:r>
          </w:p>
        </w:tc>
      </w:tr>
    </w:tbl>
    <w:p w:rsidR="005476C3" w:rsidRPr="0050662F" w:rsidRDefault="005476C3" w:rsidP="005476C3">
      <w:pPr>
        <w:pStyle w:val="Heading2"/>
        <w:spacing w:before="240"/>
      </w:pPr>
      <w:r w:rsidRPr="0050662F">
        <w:t>Délai de traitement</w:t>
      </w:r>
    </w:p>
    <w:p w:rsidR="005476C3" w:rsidRPr="0050662F" w:rsidRDefault="005476C3" w:rsidP="005476C3">
      <w:pPr>
        <w:pStyle w:val="Heading4"/>
      </w:pPr>
      <w:r w:rsidRPr="0050662F">
        <w:t>Rapidité</w:t>
      </w:r>
    </w:p>
    <w:p w:rsidR="005476C3" w:rsidRPr="0064697B" w:rsidRDefault="005476C3" w:rsidP="005476C3">
      <w:pPr>
        <w:jc w:val="both"/>
        <w:rPr>
          <w:lang w:val="fr-CA"/>
        </w:rPr>
      </w:pPr>
      <w:r w:rsidRPr="0064697B">
        <w:rPr>
          <w:lang w:val="fr-CA"/>
        </w:rPr>
        <w:t xml:space="preserve">La figure 1 révèle que 41,3 % des demandes ont été </w:t>
      </w:r>
      <w:r>
        <w:rPr>
          <w:lang w:val="fr-CA"/>
        </w:rPr>
        <w:t>complétées</w:t>
      </w:r>
      <w:r w:rsidRPr="0064697B">
        <w:rPr>
          <w:lang w:val="fr-CA"/>
        </w:rPr>
        <w:t xml:space="preserve"> en 30 jours ou moins, un résultat près de deux fois supérieur à celui observé en 2013</w:t>
      </w:r>
      <w:r>
        <w:rPr>
          <w:lang w:val="fr-CA"/>
        </w:rPr>
        <w:t>-</w:t>
      </w:r>
      <w:r w:rsidRPr="0064697B">
        <w:rPr>
          <w:lang w:val="fr-CA"/>
        </w:rPr>
        <w:t>2014 (24,6 </w:t>
      </w:r>
      <w:r>
        <w:rPr>
          <w:lang w:val="fr-CA"/>
        </w:rPr>
        <w:t>%).</w:t>
      </w:r>
    </w:p>
    <w:p w:rsidR="005476C3" w:rsidRPr="00C90393" w:rsidRDefault="005476C3" w:rsidP="005476C3">
      <w:pPr>
        <w:spacing w:line="240" w:lineRule="auto"/>
        <w:rPr>
          <w:lang w:val="fr-FR"/>
        </w:rPr>
      </w:pPr>
      <w:r w:rsidRPr="005476C3">
        <w:rPr>
          <w:rStyle w:val="Heading3Char"/>
          <w:lang w:val="fr-FR"/>
        </w:rPr>
        <w:t>Figure 1 : Délai de traitement des demandes</w:t>
      </w:r>
      <w:r w:rsidRPr="003F616D">
        <w:rPr>
          <w:noProof/>
        </w:rPr>
        <w:drawing>
          <wp:inline distT="0" distB="0" distL="0" distR="0">
            <wp:extent cx="5947576" cy="3872285"/>
            <wp:effectExtent l="0" t="0" r="15240" b="1397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476C3" w:rsidRPr="0050662F" w:rsidRDefault="005476C3" w:rsidP="005476C3">
      <w:pPr>
        <w:pStyle w:val="Heading4"/>
      </w:pPr>
      <w:r w:rsidRPr="0050662F">
        <w:t>Prorogations</w:t>
      </w:r>
    </w:p>
    <w:p w:rsidR="005476C3" w:rsidRPr="000A776A" w:rsidRDefault="005476C3" w:rsidP="005476C3">
      <w:pPr>
        <w:jc w:val="both"/>
        <w:rPr>
          <w:lang w:val="fr-CA"/>
        </w:rPr>
      </w:pPr>
      <w:r w:rsidRPr="000A776A">
        <w:rPr>
          <w:lang w:val="fr-CA"/>
        </w:rPr>
        <w:t>TC a eu recours à 855 prorogations en 2014-2015 par rapport à 2 322 l’année précédente</w:t>
      </w:r>
      <w:r>
        <w:rPr>
          <w:lang w:val="fr-CA"/>
        </w:rPr>
        <w:t xml:space="preserve">. </w:t>
      </w:r>
      <w:r w:rsidRPr="000A776A">
        <w:rPr>
          <w:lang w:val="fr-CA"/>
        </w:rPr>
        <w:t>L’entrave au fonctionnement de l’institution (53,3 %) était la raison la plus fréquemment invoquée pour demander une prorogation, suivie des avis à des tiers (27,7 %). L’entrave au fonctionnement de l’institution était également le motif le plus fréquemment invoqué en 2013-2014 pour demander une prorogation.</w:t>
      </w:r>
    </w:p>
    <w:p w:rsidR="005476C3" w:rsidRPr="000A776A" w:rsidRDefault="005476C3" w:rsidP="005476C3">
      <w:pPr>
        <w:jc w:val="both"/>
        <w:rPr>
          <w:lang w:val="fr-CA"/>
        </w:rPr>
      </w:pPr>
      <w:r w:rsidRPr="000A776A">
        <w:rPr>
          <w:lang w:val="fr-CA"/>
        </w:rPr>
        <w:lastRenderedPageBreak/>
        <w:t>La figure 2 montre que 36,1 % des prorogations étaient de 30 jours ou moins. Cela est une augmentation considérable par rapport à l’année précédent ou 3,4 % des prorogations avait été de 30 jours ou moins. La figure 2 montre également que le nombre de prorogations de 31 à 60 jours est passé de 4,3 % en 2013-2014 à 19,5 % en 2014-2015.</w:t>
      </w:r>
    </w:p>
    <w:p w:rsidR="005476C3" w:rsidRPr="00AE0D04" w:rsidRDefault="005476C3" w:rsidP="005476C3">
      <w:pPr>
        <w:rPr>
          <w:lang w:val="fr-CA"/>
        </w:rPr>
      </w:pPr>
      <w:r w:rsidRPr="005476C3">
        <w:rPr>
          <w:rStyle w:val="Heading3Char"/>
          <w:lang w:val="fr-FR"/>
        </w:rPr>
        <w:t>Figure 2 : Durée des prorogations</w:t>
      </w:r>
      <w:r w:rsidRPr="00AE0D04">
        <w:rPr>
          <w:noProof/>
        </w:rPr>
        <w:drawing>
          <wp:inline distT="0" distB="0" distL="0" distR="0">
            <wp:extent cx="6098650" cy="4214191"/>
            <wp:effectExtent l="0" t="0" r="16510" b="1524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476C3" w:rsidRPr="0050662F" w:rsidRDefault="005476C3" w:rsidP="005476C3">
      <w:pPr>
        <w:pStyle w:val="Heading4"/>
      </w:pPr>
      <w:r>
        <w:t>Présomptions de refus</w:t>
      </w:r>
    </w:p>
    <w:p w:rsidR="005476C3" w:rsidRPr="000A776A" w:rsidRDefault="005476C3" w:rsidP="005476C3">
      <w:pPr>
        <w:jc w:val="both"/>
        <w:rPr>
          <w:lang w:val="fr-CA"/>
        </w:rPr>
      </w:pPr>
      <w:r w:rsidRPr="000A776A">
        <w:rPr>
          <w:lang w:val="fr-CA"/>
        </w:rPr>
        <w:t>En 2014-2015, 146 demandes ont été fermées après l’échéancier réglementaire, ce qui représente 12,5 % des demandes complétées. Ce résultat représente une note de « C »</w:t>
      </w:r>
      <w:r w:rsidRPr="000A776A">
        <w:rPr>
          <w:rStyle w:val="FootnoteReference"/>
          <w:lang w:val="fr-CA"/>
        </w:rPr>
        <w:t xml:space="preserve"> </w:t>
      </w:r>
      <w:r w:rsidRPr="000A776A">
        <w:rPr>
          <w:rStyle w:val="FootnoteReference"/>
          <w:lang w:val="fr-CA"/>
        </w:rPr>
        <w:footnoteReference w:id="41"/>
      </w:r>
      <w:r w:rsidRPr="000A776A">
        <w:rPr>
          <w:lang w:val="fr-CA"/>
        </w:rPr>
        <w:t xml:space="preserve"> pour TC alors que TC avait une note de « A » lors de l’année précédente. La charge de travail (67,8 %) est le principal motif invoqué pour justifier ces retards au cours de cette période. La figure 3 montre que 37,7 % des demandes échues étaient en retard de 30 jours ou moins.</w:t>
      </w:r>
    </w:p>
    <w:p w:rsidR="005476C3" w:rsidRPr="000D0840" w:rsidRDefault="005476C3" w:rsidP="005476C3">
      <w:pPr>
        <w:rPr>
          <w:sz w:val="24"/>
          <w:szCs w:val="24"/>
          <w:lang w:val="fr-CA"/>
        </w:rPr>
      </w:pPr>
      <w:r w:rsidRPr="005476C3">
        <w:rPr>
          <w:rStyle w:val="Heading3Char"/>
          <w:lang w:val="fr-FR"/>
        </w:rPr>
        <w:lastRenderedPageBreak/>
        <w:t>Figure 3 : Retard des demandes échues</w:t>
      </w:r>
      <w:r w:rsidRPr="00AE0D04">
        <w:rPr>
          <w:noProof/>
        </w:rPr>
        <w:drawing>
          <wp:inline distT="0" distB="0" distL="0" distR="0">
            <wp:extent cx="5860111" cy="4094921"/>
            <wp:effectExtent l="0" t="0" r="26670" b="20320"/>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476C3" w:rsidRPr="0050662F" w:rsidRDefault="005476C3" w:rsidP="005476C3">
      <w:pPr>
        <w:pStyle w:val="Heading2"/>
      </w:pPr>
      <w:r w:rsidRPr="0050662F">
        <w:t>Divulgation</w:t>
      </w:r>
    </w:p>
    <w:p w:rsidR="005476C3" w:rsidRPr="000D0840" w:rsidRDefault="005476C3" w:rsidP="005476C3">
      <w:pPr>
        <w:pStyle w:val="Heading4"/>
      </w:pPr>
      <w:r w:rsidRPr="000D0840">
        <w:t>Pourcentage de demandes pour lesquelle</w:t>
      </w:r>
      <w:r>
        <w:t>s l’information a été divulguée</w:t>
      </w:r>
    </w:p>
    <w:p w:rsidR="005476C3" w:rsidRPr="00AE0D04" w:rsidRDefault="005476C3" w:rsidP="005476C3">
      <w:pPr>
        <w:jc w:val="both"/>
        <w:rPr>
          <w:lang w:val="fr-CA"/>
        </w:rPr>
      </w:pPr>
      <w:r>
        <w:rPr>
          <w:lang w:val="fr-CA"/>
        </w:rPr>
        <w:t>En 2014-</w:t>
      </w:r>
      <w:r w:rsidRPr="00AE0D04">
        <w:rPr>
          <w:lang w:val="fr-CA"/>
        </w:rPr>
        <w:t>2015, 10,5 % de toutes les demandes complétées ont fait l’objet d’une divulgation complète, ce qui se compare aux années précédentes (voir figure 4). La figure 4 montre également que le taux des demandes faisant l’objet d’une divulgation partielle était de 56,6 % en 2014</w:t>
      </w:r>
      <w:r>
        <w:rPr>
          <w:lang w:val="fr-CA"/>
        </w:rPr>
        <w:t>-</w:t>
      </w:r>
      <w:r w:rsidRPr="00AE0D04">
        <w:rPr>
          <w:lang w:val="fr-CA"/>
        </w:rPr>
        <w:t>2015, ce qui représente une augmentation de 14,4 % par ra</w:t>
      </w:r>
      <w:r>
        <w:rPr>
          <w:lang w:val="fr-CA"/>
        </w:rPr>
        <w:t>pport à la période précédente.</w:t>
      </w:r>
    </w:p>
    <w:p w:rsidR="005476C3" w:rsidRPr="000D0840" w:rsidRDefault="005476C3" w:rsidP="005476C3">
      <w:pPr>
        <w:spacing w:line="240" w:lineRule="auto"/>
        <w:rPr>
          <w:lang w:val="fr-CA"/>
        </w:rPr>
      </w:pPr>
      <w:r w:rsidRPr="00957E09">
        <w:rPr>
          <w:rStyle w:val="Heading3Char"/>
          <w:lang w:val="fr-FR"/>
        </w:rPr>
        <w:lastRenderedPageBreak/>
        <w:t>Figure 4 : Niveau de divulgation</w:t>
      </w:r>
      <w:r w:rsidRPr="00AE0D04">
        <w:rPr>
          <w:noProof/>
        </w:rPr>
        <w:drawing>
          <wp:inline distT="0" distB="0" distL="0" distR="0">
            <wp:extent cx="5963478" cy="3999506"/>
            <wp:effectExtent l="0" t="0" r="18415" b="20320"/>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476C3" w:rsidRPr="000D0840" w:rsidRDefault="005476C3" w:rsidP="005476C3">
      <w:pPr>
        <w:pStyle w:val="Heading4"/>
      </w:pPr>
      <w:r>
        <w:t>Exceptions</w:t>
      </w:r>
    </w:p>
    <w:p w:rsidR="005476C3" w:rsidRPr="000A776A" w:rsidRDefault="005476C3" w:rsidP="005476C3">
      <w:pPr>
        <w:jc w:val="both"/>
        <w:rPr>
          <w:lang w:val="fr-CA"/>
        </w:rPr>
      </w:pPr>
      <w:r w:rsidRPr="000A776A">
        <w:rPr>
          <w:lang w:val="fr-CA"/>
        </w:rPr>
        <w:t>Le nombre moyen d’exceptions par demande complétée a augmenté de 1,61 en 2013-2014 à 2,11 en 2014-2015 (voir tableau 2). Les exceptions les plus fréquemment invoquées en 2014-2015 étaient l’article 21 (opérations du gouvernement) (26,8%), l’article 20 (les renseignements de tiers) (24,2 %) et l’article 19 (des renseignements personnels) (20,4 %). Le recours à ces trois dispositions a presque doublé par rapport à la période précédente.</w:t>
      </w:r>
    </w:p>
    <w:p w:rsidR="005476C3" w:rsidRPr="00AE0D04" w:rsidRDefault="005476C3" w:rsidP="00BA2BE8">
      <w:pPr>
        <w:pStyle w:val="Heading3"/>
      </w:pPr>
      <w:r w:rsidRPr="00AE0D04">
        <w:t xml:space="preserve">Tableau </w:t>
      </w:r>
      <w:proofErr w:type="gramStart"/>
      <w:r w:rsidRPr="00AE0D04">
        <w:t>2 :</w:t>
      </w:r>
      <w:proofErr w:type="gramEnd"/>
      <w:r w:rsidRPr="00AE0D04">
        <w:t xml:space="preserve"> Exceptions</w:t>
      </w:r>
    </w:p>
    <w:tbl>
      <w:tblPr>
        <w:tblW w:w="9508" w:type="dxa"/>
        <w:tblInd w:w="98" w:type="dxa"/>
        <w:tblLook w:val="04A0"/>
      </w:tblPr>
      <w:tblGrid>
        <w:gridCol w:w="5255"/>
        <w:gridCol w:w="1559"/>
        <w:gridCol w:w="1418"/>
        <w:gridCol w:w="1276"/>
      </w:tblGrid>
      <w:tr w:rsidR="005476C3" w:rsidRPr="00AE0D04" w:rsidTr="005476C3">
        <w:trPr>
          <w:trHeight w:val="322"/>
        </w:trPr>
        <w:tc>
          <w:tcPr>
            <w:tcW w:w="5255"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AE0D04" w:rsidRDefault="005476C3" w:rsidP="005476C3">
            <w:pPr>
              <w:spacing w:after="0" w:line="240" w:lineRule="auto"/>
              <w:rPr>
                <w:rFonts w:ascii="Calibri" w:eastAsia="Times New Roman" w:hAnsi="Calibri" w:cs="Times New Roman"/>
                <w:color w:val="000000"/>
                <w:lang w:val="fr-CA"/>
              </w:rPr>
            </w:pPr>
            <w:r w:rsidRPr="00AE0D04">
              <w:rPr>
                <w:rFonts w:ascii="Calibri" w:eastAsia="Times New Roman" w:hAnsi="Calibri" w:cs="Times New Roman"/>
                <w:color w:val="000000"/>
                <w:lang w:val="fr-CA"/>
              </w:rPr>
              <w:t xml:space="preserve">Exceptions </w:t>
            </w:r>
          </w:p>
        </w:tc>
        <w:tc>
          <w:tcPr>
            <w:tcW w:w="1559" w:type="dxa"/>
            <w:tcBorders>
              <w:top w:val="single" w:sz="8" w:space="0" w:color="auto"/>
              <w:left w:val="nil"/>
              <w:bottom w:val="single" w:sz="8" w:space="0" w:color="auto"/>
              <w:right w:val="nil"/>
            </w:tcBorders>
            <w:shd w:val="clear" w:color="000000" w:fill="DBE5F1"/>
            <w:noWrap/>
            <w:vAlign w:val="bottom"/>
            <w:hideMark/>
          </w:tcPr>
          <w:p w:rsidR="005476C3" w:rsidRPr="00AE0D04" w:rsidRDefault="005476C3" w:rsidP="005476C3">
            <w:pPr>
              <w:spacing w:after="0" w:line="240" w:lineRule="auto"/>
              <w:jc w:val="center"/>
              <w:rPr>
                <w:rFonts w:ascii="Calibri" w:eastAsia="Times New Roman" w:hAnsi="Calibri" w:cs="Times New Roman"/>
                <w:b/>
                <w:bCs/>
                <w:color w:val="000000"/>
                <w:lang w:val="fr-CA"/>
              </w:rPr>
            </w:pPr>
            <w:r w:rsidRPr="00AE0D04">
              <w:rPr>
                <w:rFonts w:ascii="Calibri" w:eastAsia="Times New Roman" w:hAnsi="Calibri" w:cs="Times New Roman"/>
                <w:b/>
                <w:bCs/>
                <w:color w:val="000000"/>
                <w:lang w:val="fr-CA"/>
              </w:rPr>
              <w:t>2012-2013</w:t>
            </w:r>
          </w:p>
        </w:tc>
        <w:tc>
          <w:tcPr>
            <w:tcW w:w="1418" w:type="dxa"/>
            <w:tcBorders>
              <w:top w:val="single" w:sz="8" w:space="0" w:color="auto"/>
              <w:left w:val="nil"/>
              <w:bottom w:val="single" w:sz="8" w:space="0" w:color="auto"/>
              <w:right w:val="nil"/>
            </w:tcBorders>
            <w:shd w:val="clear" w:color="000000" w:fill="DBE5F1"/>
            <w:noWrap/>
            <w:vAlign w:val="bottom"/>
            <w:hideMark/>
          </w:tcPr>
          <w:p w:rsidR="005476C3" w:rsidRPr="00AE0D04" w:rsidRDefault="005476C3" w:rsidP="005476C3">
            <w:pPr>
              <w:spacing w:after="0" w:line="240" w:lineRule="auto"/>
              <w:jc w:val="center"/>
              <w:rPr>
                <w:rFonts w:ascii="Calibri" w:eastAsia="Times New Roman" w:hAnsi="Calibri" w:cs="Times New Roman"/>
                <w:b/>
                <w:bCs/>
                <w:color w:val="000000"/>
                <w:lang w:val="fr-CA"/>
              </w:rPr>
            </w:pPr>
            <w:r w:rsidRPr="00AE0D04">
              <w:rPr>
                <w:rFonts w:ascii="Calibri" w:eastAsia="Times New Roman" w:hAnsi="Calibri" w:cs="Times New Roman"/>
                <w:b/>
                <w:bCs/>
                <w:color w:val="000000"/>
                <w:lang w:val="fr-CA"/>
              </w:rPr>
              <w:t>2013-2014</w:t>
            </w:r>
          </w:p>
        </w:tc>
        <w:tc>
          <w:tcPr>
            <w:tcW w:w="1276"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AE0D04" w:rsidRDefault="005476C3" w:rsidP="005476C3">
            <w:pPr>
              <w:spacing w:after="0" w:line="240" w:lineRule="auto"/>
              <w:jc w:val="center"/>
              <w:rPr>
                <w:rFonts w:ascii="Calibri" w:eastAsia="Times New Roman" w:hAnsi="Calibri" w:cs="Times New Roman"/>
                <w:b/>
                <w:bCs/>
                <w:color w:val="000000"/>
                <w:lang w:val="fr-CA"/>
              </w:rPr>
            </w:pPr>
            <w:r w:rsidRPr="00AE0D04">
              <w:rPr>
                <w:rFonts w:ascii="Calibri" w:eastAsia="Times New Roman" w:hAnsi="Calibri" w:cs="Times New Roman"/>
                <w:b/>
                <w:bCs/>
                <w:color w:val="000000"/>
                <w:lang w:val="fr-CA"/>
              </w:rPr>
              <w:t>2014-2015</w:t>
            </w:r>
          </w:p>
        </w:tc>
      </w:tr>
      <w:tr w:rsidR="005476C3" w:rsidRPr="00AE0D04" w:rsidTr="005476C3">
        <w:trPr>
          <w:trHeight w:val="307"/>
        </w:trPr>
        <w:tc>
          <w:tcPr>
            <w:tcW w:w="5255" w:type="dxa"/>
            <w:tcBorders>
              <w:top w:val="nil"/>
              <w:left w:val="single" w:sz="8" w:space="0" w:color="auto"/>
              <w:bottom w:val="nil"/>
              <w:right w:val="nil"/>
            </w:tcBorders>
            <w:shd w:val="clear" w:color="auto" w:fill="auto"/>
            <w:noWrap/>
            <w:vAlign w:val="bottom"/>
            <w:hideMark/>
          </w:tcPr>
          <w:p w:rsidR="005476C3" w:rsidRPr="00AE0D04" w:rsidRDefault="005476C3" w:rsidP="005476C3">
            <w:pPr>
              <w:spacing w:after="0" w:line="240" w:lineRule="auto"/>
              <w:rPr>
                <w:rFonts w:ascii="Calibri" w:eastAsia="Times New Roman" w:hAnsi="Calibri" w:cs="Times New Roman"/>
                <w:color w:val="000000"/>
                <w:lang w:val="fr-CA"/>
              </w:rPr>
            </w:pPr>
            <w:r w:rsidRPr="00AE0D04">
              <w:rPr>
                <w:rFonts w:ascii="Calibri" w:eastAsia="Times New Roman" w:hAnsi="Calibri" w:cs="Times New Roman"/>
                <w:color w:val="000000"/>
                <w:lang w:val="fr-CA"/>
              </w:rPr>
              <w:t>Nombre total d’exceptions</w:t>
            </w:r>
          </w:p>
        </w:tc>
        <w:tc>
          <w:tcPr>
            <w:tcW w:w="1559" w:type="dxa"/>
            <w:tcBorders>
              <w:top w:val="nil"/>
              <w:left w:val="nil"/>
              <w:bottom w:val="nil"/>
              <w:right w:val="nil"/>
            </w:tcBorders>
            <w:shd w:val="clear" w:color="auto" w:fill="auto"/>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1 384</w:t>
            </w:r>
          </w:p>
        </w:tc>
        <w:tc>
          <w:tcPr>
            <w:tcW w:w="1418" w:type="dxa"/>
            <w:tcBorders>
              <w:top w:val="nil"/>
              <w:left w:val="nil"/>
              <w:bottom w:val="nil"/>
              <w:right w:val="nil"/>
            </w:tcBorders>
            <w:shd w:val="clear" w:color="auto" w:fill="auto"/>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2 895</w:t>
            </w:r>
          </w:p>
        </w:tc>
        <w:tc>
          <w:tcPr>
            <w:tcW w:w="1276" w:type="dxa"/>
            <w:tcBorders>
              <w:top w:val="nil"/>
              <w:left w:val="nil"/>
              <w:bottom w:val="nil"/>
              <w:right w:val="single" w:sz="8" w:space="0" w:color="auto"/>
            </w:tcBorders>
            <w:shd w:val="clear" w:color="auto" w:fill="auto"/>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2 464</w:t>
            </w:r>
          </w:p>
        </w:tc>
      </w:tr>
      <w:tr w:rsidR="005476C3" w:rsidRPr="00AE0D04" w:rsidTr="005476C3">
        <w:trPr>
          <w:trHeight w:val="307"/>
        </w:trPr>
        <w:tc>
          <w:tcPr>
            <w:tcW w:w="5255" w:type="dxa"/>
            <w:tcBorders>
              <w:top w:val="nil"/>
              <w:left w:val="single" w:sz="8" w:space="0" w:color="auto"/>
              <w:bottom w:val="nil"/>
              <w:right w:val="nil"/>
            </w:tcBorders>
            <w:shd w:val="clear" w:color="auto" w:fill="auto"/>
            <w:noWrap/>
            <w:vAlign w:val="bottom"/>
            <w:hideMark/>
          </w:tcPr>
          <w:p w:rsidR="005476C3" w:rsidRPr="00AE0D04" w:rsidRDefault="005476C3" w:rsidP="005476C3">
            <w:pPr>
              <w:spacing w:after="0" w:line="240" w:lineRule="auto"/>
              <w:rPr>
                <w:rFonts w:ascii="Calibri" w:eastAsia="Times New Roman" w:hAnsi="Calibri" w:cs="Times New Roman"/>
                <w:color w:val="000000"/>
                <w:lang w:val="fr-CA"/>
              </w:rPr>
            </w:pPr>
            <w:r w:rsidRPr="00AE0D04">
              <w:rPr>
                <w:rFonts w:ascii="Calibri" w:eastAsia="Times New Roman" w:hAnsi="Calibri" w:cs="Times New Roman"/>
                <w:color w:val="000000"/>
                <w:lang w:val="fr-CA"/>
              </w:rPr>
              <w:t>Nombre total de demandes complétées</w:t>
            </w:r>
          </w:p>
        </w:tc>
        <w:tc>
          <w:tcPr>
            <w:tcW w:w="1559" w:type="dxa"/>
            <w:tcBorders>
              <w:top w:val="nil"/>
              <w:left w:val="nil"/>
              <w:bottom w:val="nil"/>
              <w:right w:val="nil"/>
            </w:tcBorders>
            <w:shd w:val="clear" w:color="auto" w:fill="auto"/>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1 419</w:t>
            </w:r>
          </w:p>
        </w:tc>
        <w:tc>
          <w:tcPr>
            <w:tcW w:w="1418" w:type="dxa"/>
            <w:tcBorders>
              <w:top w:val="nil"/>
              <w:left w:val="nil"/>
              <w:bottom w:val="nil"/>
              <w:right w:val="nil"/>
            </w:tcBorders>
            <w:shd w:val="clear" w:color="auto" w:fill="auto"/>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1 794</w:t>
            </w:r>
          </w:p>
        </w:tc>
        <w:tc>
          <w:tcPr>
            <w:tcW w:w="1276" w:type="dxa"/>
            <w:tcBorders>
              <w:top w:val="nil"/>
              <w:left w:val="nil"/>
              <w:bottom w:val="nil"/>
              <w:right w:val="single" w:sz="8" w:space="0" w:color="auto"/>
            </w:tcBorders>
            <w:shd w:val="clear" w:color="auto" w:fill="auto"/>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1 167</w:t>
            </w:r>
          </w:p>
        </w:tc>
      </w:tr>
      <w:tr w:rsidR="005476C3" w:rsidRPr="00AE0D04" w:rsidTr="005476C3">
        <w:trPr>
          <w:trHeight w:val="322"/>
        </w:trPr>
        <w:tc>
          <w:tcPr>
            <w:tcW w:w="5255" w:type="dxa"/>
            <w:tcBorders>
              <w:top w:val="nil"/>
              <w:left w:val="single" w:sz="8" w:space="0" w:color="auto"/>
              <w:bottom w:val="single" w:sz="8" w:space="0" w:color="auto"/>
              <w:right w:val="nil"/>
            </w:tcBorders>
            <w:shd w:val="clear" w:color="000000" w:fill="DBE5F1"/>
            <w:noWrap/>
            <w:vAlign w:val="bottom"/>
            <w:hideMark/>
          </w:tcPr>
          <w:p w:rsidR="005476C3" w:rsidRPr="00AE0D04" w:rsidRDefault="005476C3" w:rsidP="005476C3">
            <w:pPr>
              <w:spacing w:after="0" w:line="240" w:lineRule="auto"/>
              <w:rPr>
                <w:rFonts w:ascii="Calibri" w:eastAsia="Times New Roman" w:hAnsi="Calibri" w:cs="Times New Roman"/>
                <w:color w:val="000000"/>
                <w:lang w:val="fr-CA"/>
              </w:rPr>
            </w:pPr>
            <w:r w:rsidRPr="00AE0D04">
              <w:rPr>
                <w:rFonts w:ascii="Calibri" w:eastAsia="Times New Roman" w:hAnsi="Calibri" w:cs="Times New Roman"/>
                <w:color w:val="000000"/>
                <w:lang w:val="fr-CA"/>
              </w:rPr>
              <w:t>Nombre moyen d’exceptions par demande complété</w:t>
            </w:r>
          </w:p>
        </w:tc>
        <w:tc>
          <w:tcPr>
            <w:tcW w:w="1559" w:type="dxa"/>
            <w:tcBorders>
              <w:top w:val="nil"/>
              <w:left w:val="nil"/>
              <w:bottom w:val="single" w:sz="8" w:space="0" w:color="auto"/>
              <w:right w:val="nil"/>
            </w:tcBorders>
            <w:shd w:val="clear" w:color="000000" w:fill="DBE5F1"/>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0,98</w:t>
            </w:r>
          </w:p>
        </w:tc>
        <w:tc>
          <w:tcPr>
            <w:tcW w:w="1418" w:type="dxa"/>
            <w:tcBorders>
              <w:top w:val="nil"/>
              <w:left w:val="nil"/>
              <w:bottom w:val="single" w:sz="8" w:space="0" w:color="auto"/>
              <w:right w:val="nil"/>
            </w:tcBorders>
            <w:shd w:val="clear" w:color="000000" w:fill="DBE5F1"/>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1,61</w:t>
            </w:r>
          </w:p>
        </w:tc>
        <w:tc>
          <w:tcPr>
            <w:tcW w:w="1276" w:type="dxa"/>
            <w:tcBorders>
              <w:top w:val="nil"/>
              <w:left w:val="nil"/>
              <w:bottom w:val="single" w:sz="8" w:space="0" w:color="auto"/>
              <w:right w:val="single" w:sz="8" w:space="0" w:color="auto"/>
            </w:tcBorders>
            <w:shd w:val="clear" w:color="000000" w:fill="DBE5F1"/>
            <w:noWrap/>
            <w:vAlign w:val="bottom"/>
            <w:hideMark/>
          </w:tcPr>
          <w:p w:rsidR="005476C3" w:rsidRPr="00AE0D04" w:rsidRDefault="005476C3" w:rsidP="005476C3">
            <w:pPr>
              <w:spacing w:after="0" w:line="240" w:lineRule="auto"/>
              <w:jc w:val="center"/>
              <w:rPr>
                <w:rFonts w:ascii="Calibri" w:eastAsia="Times New Roman" w:hAnsi="Calibri" w:cs="Times New Roman"/>
                <w:color w:val="000000"/>
                <w:lang w:val="fr-CA"/>
              </w:rPr>
            </w:pPr>
            <w:r w:rsidRPr="00AE0D04">
              <w:rPr>
                <w:rFonts w:ascii="Calibri" w:eastAsia="Times New Roman" w:hAnsi="Calibri" w:cs="Times New Roman"/>
                <w:color w:val="000000"/>
                <w:lang w:val="fr-CA"/>
              </w:rPr>
              <w:t>2,11</w:t>
            </w:r>
          </w:p>
        </w:tc>
      </w:tr>
    </w:tbl>
    <w:p w:rsidR="005476C3" w:rsidRPr="000D0840" w:rsidRDefault="005476C3" w:rsidP="005476C3">
      <w:pPr>
        <w:pStyle w:val="Heading2"/>
        <w:spacing w:before="240"/>
      </w:pPr>
      <w:r w:rsidRPr="000D0840">
        <w:t>Plaintes au Commissariat à l’information</w:t>
      </w:r>
    </w:p>
    <w:p w:rsidR="005476C3" w:rsidRDefault="005476C3" w:rsidP="005476C3">
      <w:pPr>
        <w:jc w:val="both"/>
        <w:rPr>
          <w:lang w:val="fr-CA"/>
        </w:rPr>
      </w:pPr>
      <w:r>
        <w:rPr>
          <w:lang w:val="fr-CA"/>
        </w:rPr>
        <w:lastRenderedPageBreak/>
        <w:t>En 2014-</w:t>
      </w:r>
      <w:r w:rsidRPr="00AE0D04">
        <w:rPr>
          <w:lang w:val="fr-CA"/>
        </w:rPr>
        <w:t>2015, l</w:t>
      </w:r>
      <w:r>
        <w:rPr>
          <w:lang w:val="fr-CA"/>
        </w:rPr>
        <w:t>e Commissariat</w:t>
      </w:r>
      <w:r w:rsidRPr="00AE0D04">
        <w:rPr>
          <w:lang w:val="fr-CA"/>
        </w:rPr>
        <w:t xml:space="preserve"> a reçu 87 plaintes</w:t>
      </w:r>
      <w:r>
        <w:rPr>
          <w:rStyle w:val="FootnoteReference"/>
          <w:lang w:val="fr-CA"/>
        </w:rPr>
        <w:footnoteReference w:id="42"/>
      </w:r>
      <w:r w:rsidRPr="00AE0D04">
        <w:rPr>
          <w:lang w:val="fr-CA"/>
        </w:rPr>
        <w:t xml:space="preserve"> concernant TC, soit une légère augmentation par rapport aux 83 plaintes reçues pour la période précédente. La majeure partie des plaintes étaient attribuables à des refus. La différence entre les plaintes de nature administrative et les plaintes pour refus démontre une augmentation marquée par rapport à l’année précédente (38 plaintes de nature administrative et 45 plaintes pour refus en 2013</w:t>
      </w:r>
      <w:r>
        <w:rPr>
          <w:lang w:val="fr-CA"/>
        </w:rPr>
        <w:t>-</w:t>
      </w:r>
      <w:r w:rsidRPr="00AE0D04">
        <w:rPr>
          <w:lang w:val="fr-CA"/>
        </w:rPr>
        <w:t>2014 par rapport à 16 plaintes de nature administrative et 71 plaintes pour refus en 2014</w:t>
      </w:r>
      <w:r>
        <w:rPr>
          <w:lang w:val="fr-CA"/>
        </w:rPr>
        <w:t>-2015).</w:t>
      </w:r>
    </w:p>
    <w:p w:rsidR="005476C3" w:rsidRPr="0064697B" w:rsidRDefault="005476C3" w:rsidP="005476C3">
      <w:pPr>
        <w:jc w:val="both"/>
        <w:rPr>
          <w:lang w:val="fr-CA"/>
        </w:rPr>
      </w:pPr>
      <w:r w:rsidRPr="00AE0D04">
        <w:rPr>
          <w:lang w:val="fr-CA"/>
        </w:rPr>
        <w:t>Au cours de cette période de référence, 3 plaintes n’étaient pas fondées, 16 étaient fondées et ont été réglées, 38 plaintes ont été abandonnées et 29 </w:t>
      </w:r>
      <w:r>
        <w:rPr>
          <w:lang w:val="fr-CA"/>
        </w:rPr>
        <w:t>étaient encore</w:t>
      </w:r>
      <w:r w:rsidRPr="00AE0D04">
        <w:rPr>
          <w:lang w:val="fr-CA"/>
        </w:rPr>
        <w:t xml:space="preserve"> en suspens.</w:t>
      </w:r>
    </w:p>
    <w:p w:rsidR="005476C3" w:rsidRDefault="005476C3">
      <w:pPr>
        <w:rPr>
          <w:lang w:val="fr-CA"/>
        </w:rPr>
      </w:pPr>
      <w:r>
        <w:rPr>
          <w:lang w:val="fr-CA"/>
        </w:rPr>
        <w:br w:type="page"/>
      </w:r>
    </w:p>
    <w:p w:rsidR="005476C3" w:rsidRPr="00642280" w:rsidRDefault="005476C3" w:rsidP="005476C3">
      <w:pPr>
        <w:pStyle w:val="Heading1"/>
      </w:pPr>
      <w:r w:rsidRPr="00642280">
        <w:lastRenderedPageBreak/>
        <w:t>Infrastructure Canada</w:t>
      </w:r>
    </w:p>
    <w:p w:rsidR="005476C3" w:rsidRPr="00642280" w:rsidRDefault="005476C3" w:rsidP="005476C3">
      <w:pPr>
        <w:jc w:val="both"/>
        <w:rPr>
          <w:b/>
          <w:lang w:val="fr-CA"/>
        </w:rPr>
      </w:pPr>
      <w:r w:rsidRPr="00642280">
        <w:rPr>
          <w:rStyle w:val="Heading2Char"/>
        </w:rPr>
        <w:t>Rendement global</w:t>
      </w:r>
      <w:r w:rsidRPr="00AD3491">
        <w:rPr>
          <w:rStyle w:val="FootnoteReference"/>
          <w:b/>
          <w:lang w:val="fr-CA"/>
        </w:rPr>
        <w:footnoteReference w:id="43"/>
      </w:r>
    </w:p>
    <w:p w:rsidR="005476C3" w:rsidRPr="00FC6296" w:rsidRDefault="005476C3" w:rsidP="005476C3">
      <w:pPr>
        <w:jc w:val="both"/>
        <w:rPr>
          <w:lang w:val="fr-CA"/>
        </w:rPr>
      </w:pPr>
      <w:r w:rsidRPr="00FC6296">
        <w:rPr>
          <w:lang w:val="fr-CA"/>
        </w:rPr>
        <w:t>Infrastructure Canada (INFC) a amélioré son nombre de demandes complétées en 30 jours et moins de 51,4 % malgré une forte augmentation de 2318,4 %</w:t>
      </w:r>
      <w:r>
        <w:rPr>
          <w:rStyle w:val="FootnoteReference"/>
          <w:lang w:val="fr-CA"/>
        </w:rPr>
        <w:footnoteReference w:id="44"/>
      </w:r>
      <w:r w:rsidRPr="00FC6296">
        <w:rPr>
          <w:lang w:val="fr-CA"/>
        </w:rPr>
        <w:t xml:space="preserve"> du nombre de demandes reçues</w:t>
      </w:r>
      <w:r>
        <w:rPr>
          <w:lang w:val="fr-CA"/>
        </w:rPr>
        <w:t xml:space="preserve"> (de 38 à 919)</w:t>
      </w:r>
      <w:r w:rsidRPr="00FC6296">
        <w:rPr>
          <w:lang w:val="fr-CA"/>
        </w:rPr>
        <w:t>. Le présent rapport contient des statistiques comparatives pour les trois dernières périodes (2012 à 2015).</w:t>
      </w:r>
    </w:p>
    <w:p w:rsidR="005476C3" w:rsidRPr="00642280" w:rsidRDefault="005476C3" w:rsidP="005476C3">
      <w:pPr>
        <w:pStyle w:val="Heading2"/>
      </w:pPr>
      <w:r w:rsidRPr="00642280">
        <w:t>Charge de travail</w:t>
      </w:r>
    </w:p>
    <w:p w:rsidR="005476C3" w:rsidRPr="00FC6296" w:rsidRDefault="005476C3" w:rsidP="005476C3">
      <w:pPr>
        <w:jc w:val="both"/>
        <w:rPr>
          <w:lang w:val="fr-CA"/>
        </w:rPr>
      </w:pPr>
      <w:r w:rsidRPr="00FC6296">
        <w:rPr>
          <w:lang w:val="fr-CA"/>
        </w:rPr>
        <w:t xml:space="preserve">INFC a reçu 919 demandes en vertu de la </w:t>
      </w:r>
      <w:r w:rsidRPr="00FC6296">
        <w:rPr>
          <w:i/>
          <w:lang w:val="fr-CA"/>
        </w:rPr>
        <w:t>Loi sur l’accès à l‘information</w:t>
      </w:r>
      <w:r w:rsidRPr="00FC6296">
        <w:rPr>
          <w:lang w:val="fr-CA"/>
        </w:rPr>
        <w:t xml:space="preserve"> (la </w:t>
      </w:r>
      <w:r w:rsidRPr="00FC6296">
        <w:rPr>
          <w:i/>
          <w:lang w:val="fr-CA"/>
        </w:rPr>
        <w:t>Loi</w:t>
      </w:r>
      <w:r w:rsidRPr="00FC6296">
        <w:rPr>
          <w:lang w:val="fr-CA"/>
        </w:rPr>
        <w:t xml:space="preserve">), représentant </w:t>
      </w:r>
      <w:r>
        <w:rPr>
          <w:lang w:val="fr-CA"/>
        </w:rPr>
        <w:t>1,4</w:t>
      </w:r>
      <w:r w:rsidRPr="00FC6296">
        <w:rPr>
          <w:lang w:val="fr-CA"/>
        </w:rPr>
        <w:t> % du nombre total de demandes reçues à l’échelle du gouvernement en 2014</w:t>
      </w:r>
      <w:r>
        <w:rPr>
          <w:lang w:val="fr-CA"/>
        </w:rPr>
        <w:t>-</w:t>
      </w:r>
      <w:r w:rsidRPr="00FC6296">
        <w:rPr>
          <w:lang w:val="fr-CA"/>
        </w:rPr>
        <w:t xml:space="preserve">2015. </w:t>
      </w:r>
      <w:r>
        <w:rPr>
          <w:lang w:val="fr-CA"/>
        </w:rPr>
        <w:t>En 2013-</w:t>
      </w:r>
      <w:r w:rsidRPr="00FC6296">
        <w:rPr>
          <w:lang w:val="fr-CA"/>
        </w:rPr>
        <w:t>2014, INFC a reçu 38 demandes. La majorité des demandes reçues par INFC en 2014</w:t>
      </w:r>
      <w:r>
        <w:rPr>
          <w:lang w:val="fr-CA"/>
        </w:rPr>
        <w:t>-</w:t>
      </w:r>
      <w:r w:rsidRPr="00FC6296">
        <w:rPr>
          <w:lang w:val="fr-CA"/>
        </w:rPr>
        <w:t>2015 provenaient des médias (87,7 %). Nous constatons que le nombre de demandes reçues des médias est passé de 12 en 2013-2014 à 806 en 2014-2015.</w:t>
      </w:r>
    </w:p>
    <w:p w:rsidR="005476C3" w:rsidRPr="00FC6296" w:rsidRDefault="005476C3" w:rsidP="005476C3">
      <w:pPr>
        <w:jc w:val="both"/>
        <w:rPr>
          <w:lang w:val="fr-CA"/>
        </w:rPr>
      </w:pPr>
      <w:r w:rsidRPr="00FC6296">
        <w:rPr>
          <w:lang w:val="fr-CA"/>
        </w:rPr>
        <w:t>INFC a complété 831 demandes pour cette période de référence. Le taux d’achèvement</w:t>
      </w:r>
      <w:r w:rsidRPr="00FC6296">
        <w:rPr>
          <w:rStyle w:val="FootnoteReference"/>
          <w:lang w:val="fr-CA"/>
        </w:rPr>
        <w:footnoteReference w:id="45"/>
      </w:r>
      <w:r w:rsidRPr="00FC6296">
        <w:rPr>
          <w:lang w:val="fr-CA"/>
        </w:rPr>
        <w:t xml:space="preserve"> était de 89,2 %, soit supérieur à celui rapporté pour l’ensemble du gouvernement qui lui était de 85,1 %. En 2013</w:t>
      </w:r>
      <w:r>
        <w:rPr>
          <w:lang w:val="fr-CA"/>
        </w:rPr>
        <w:t>-</w:t>
      </w:r>
      <w:r w:rsidRPr="00FC6296">
        <w:rPr>
          <w:lang w:val="fr-CA"/>
        </w:rPr>
        <w:t>2014, le taux d’achèvement pour INFC était de 79</w:t>
      </w:r>
      <w:r>
        <w:rPr>
          <w:lang w:val="fr-CA"/>
        </w:rPr>
        <w:t>,4</w:t>
      </w:r>
      <w:r w:rsidRPr="00FC6296">
        <w:rPr>
          <w:lang w:val="fr-CA"/>
        </w:rPr>
        <w:t> %. INFC a aussi reçu 19 demandes informelles</w:t>
      </w:r>
      <w:r>
        <w:rPr>
          <w:lang w:val="fr-CA"/>
        </w:rPr>
        <w:t xml:space="preserve"> en 2014-</w:t>
      </w:r>
      <w:r w:rsidRPr="00FC6296">
        <w:rPr>
          <w:lang w:val="fr-CA"/>
        </w:rPr>
        <w:t>2015, qui ont toutes été complétées en 30 jours ou moins. Le nombre de demandes de consultation reçues par INFC en provenance d’autres institutions fédérales a diminué de 82 à 27, ce qui représente une bais</w:t>
      </w:r>
      <w:r>
        <w:rPr>
          <w:lang w:val="fr-CA"/>
        </w:rPr>
        <w:t>se de 67,1 % par rapport à 2013-</w:t>
      </w:r>
      <w:r w:rsidRPr="00FC6296">
        <w:rPr>
          <w:lang w:val="fr-CA"/>
        </w:rPr>
        <w:t>2014.</w:t>
      </w:r>
    </w:p>
    <w:p w:rsidR="005476C3" w:rsidRPr="00FC6296" w:rsidRDefault="005476C3" w:rsidP="005476C3">
      <w:pPr>
        <w:jc w:val="both"/>
        <w:rPr>
          <w:lang w:val="fr-CA"/>
        </w:rPr>
      </w:pPr>
      <w:r w:rsidRPr="00FC6296">
        <w:rPr>
          <w:lang w:val="fr-CA"/>
        </w:rPr>
        <w:t xml:space="preserve">Le nombre total de pages traitées pour la période de référence actuelle était de </w:t>
      </w:r>
      <w:r>
        <w:rPr>
          <w:lang w:val="fr-CA"/>
        </w:rPr>
        <w:t>326 696</w:t>
      </w:r>
      <w:r w:rsidRPr="00FC6296">
        <w:rPr>
          <w:lang w:val="fr-CA"/>
        </w:rPr>
        <w:t> pages, une forte augmentation par rapport au</w:t>
      </w:r>
      <w:r>
        <w:rPr>
          <w:lang w:val="fr-CA"/>
        </w:rPr>
        <w:t>x 15 430 pages traitées en 2013-</w:t>
      </w:r>
      <w:r w:rsidRPr="00FC6296">
        <w:rPr>
          <w:lang w:val="fr-CA"/>
        </w:rPr>
        <w:t xml:space="preserve">2014. Le nombre moyen de pages traitées par demande complétée a augmenté, passant de </w:t>
      </w:r>
      <w:r>
        <w:rPr>
          <w:lang w:val="fr-CA"/>
        </w:rPr>
        <w:t>417</w:t>
      </w:r>
      <w:r w:rsidRPr="00FC6296">
        <w:rPr>
          <w:lang w:val="fr-CA"/>
        </w:rPr>
        <w:t xml:space="preserve"> en 2013</w:t>
      </w:r>
      <w:r>
        <w:rPr>
          <w:lang w:val="fr-CA"/>
        </w:rPr>
        <w:t>-</w:t>
      </w:r>
      <w:r w:rsidRPr="00FC6296">
        <w:rPr>
          <w:lang w:val="fr-CA"/>
        </w:rPr>
        <w:t xml:space="preserve">2014 à </w:t>
      </w:r>
      <w:r>
        <w:rPr>
          <w:lang w:val="fr-CA"/>
        </w:rPr>
        <w:t>4 083 en 2014-2015.</w:t>
      </w:r>
    </w:p>
    <w:p w:rsidR="005476C3" w:rsidRPr="00FC6296" w:rsidRDefault="005476C3" w:rsidP="005476C3">
      <w:pPr>
        <w:jc w:val="both"/>
        <w:rPr>
          <w:lang w:val="fr-CA"/>
        </w:rPr>
      </w:pPr>
      <w:r w:rsidRPr="00FC6296">
        <w:rPr>
          <w:lang w:val="fr-CA"/>
        </w:rPr>
        <w:t>L’information diffusée par INFC était majoritairement en format papier : 50 demandes en format papier par rapport à 23 demandes en format électronique. En 2013</w:t>
      </w:r>
      <w:r>
        <w:rPr>
          <w:lang w:val="fr-CA"/>
        </w:rPr>
        <w:t>-</w:t>
      </w:r>
      <w:r w:rsidRPr="00FC6296">
        <w:rPr>
          <w:lang w:val="fr-CA"/>
        </w:rPr>
        <w:t>2014, 36 demandes ont reçues une réponse en format papier et aucune demande n’a été répondue en format électronique.</w:t>
      </w:r>
    </w:p>
    <w:p w:rsidR="005476C3" w:rsidRPr="00642280" w:rsidRDefault="005476C3" w:rsidP="00BA2BE8">
      <w:pPr>
        <w:pStyle w:val="Heading3"/>
      </w:pPr>
      <w:r w:rsidRPr="00642280">
        <w:t xml:space="preserve">Tableau </w:t>
      </w:r>
      <w:proofErr w:type="gramStart"/>
      <w:r w:rsidRPr="00642280">
        <w:t>1 :</w:t>
      </w:r>
      <w:proofErr w:type="gramEnd"/>
      <w:r w:rsidRPr="00642280">
        <w:t xml:space="preserve"> Charge de travail</w:t>
      </w:r>
    </w:p>
    <w:tbl>
      <w:tblPr>
        <w:tblW w:w="9471" w:type="dxa"/>
        <w:tblInd w:w="98" w:type="dxa"/>
        <w:tblLook w:val="04A0"/>
      </w:tblPr>
      <w:tblGrid>
        <w:gridCol w:w="5455"/>
        <w:gridCol w:w="1330"/>
        <w:gridCol w:w="1330"/>
        <w:gridCol w:w="1356"/>
      </w:tblGrid>
      <w:tr w:rsidR="005476C3" w:rsidRPr="00FC6296" w:rsidTr="005476C3">
        <w:trPr>
          <w:trHeight w:val="452"/>
        </w:trPr>
        <w:tc>
          <w:tcPr>
            <w:tcW w:w="5455" w:type="dxa"/>
            <w:tcBorders>
              <w:top w:val="single" w:sz="4" w:space="0" w:color="auto"/>
              <w:left w:val="single" w:sz="4" w:space="0" w:color="auto"/>
              <w:bottom w:val="single" w:sz="8" w:space="0" w:color="auto"/>
              <w:right w:val="nil"/>
            </w:tcBorders>
            <w:shd w:val="clear" w:color="auto" w:fill="auto"/>
            <w:noWrap/>
            <w:vAlign w:val="bottom"/>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 xml:space="preserve">Mesures </w:t>
            </w:r>
          </w:p>
        </w:tc>
        <w:tc>
          <w:tcPr>
            <w:tcW w:w="1330" w:type="dxa"/>
            <w:tcBorders>
              <w:top w:val="single" w:sz="4" w:space="0" w:color="auto"/>
              <w:left w:val="nil"/>
              <w:bottom w:val="single" w:sz="8" w:space="0" w:color="auto"/>
              <w:right w:val="nil"/>
            </w:tcBorders>
            <w:shd w:val="clear" w:color="auto" w:fill="auto"/>
            <w:noWrap/>
            <w:vAlign w:val="bottom"/>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2012-2013</w:t>
            </w:r>
          </w:p>
        </w:tc>
        <w:tc>
          <w:tcPr>
            <w:tcW w:w="1330" w:type="dxa"/>
            <w:tcBorders>
              <w:top w:val="single" w:sz="4" w:space="0" w:color="auto"/>
              <w:left w:val="nil"/>
              <w:bottom w:val="single" w:sz="8" w:space="0" w:color="auto"/>
              <w:right w:val="nil"/>
            </w:tcBorders>
            <w:shd w:val="clear" w:color="auto" w:fill="auto"/>
            <w:noWrap/>
            <w:vAlign w:val="bottom"/>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2013-2014</w:t>
            </w:r>
          </w:p>
        </w:tc>
        <w:tc>
          <w:tcPr>
            <w:tcW w:w="1356" w:type="dxa"/>
            <w:tcBorders>
              <w:top w:val="single" w:sz="4" w:space="0" w:color="auto"/>
              <w:left w:val="nil"/>
              <w:bottom w:val="single" w:sz="8" w:space="0" w:color="auto"/>
              <w:right w:val="single" w:sz="4" w:space="0" w:color="auto"/>
            </w:tcBorders>
            <w:shd w:val="clear" w:color="auto" w:fill="auto"/>
            <w:noWrap/>
            <w:vAlign w:val="bottom"/>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2014-2015</w:t>
            </w:r>
          </w:p>
        </w:tc>
      </w:tr>
      <w:tr w:rsidR="005476C3" w:rsidRPr="00FC6296" w:rsidTr="005476C3">
        <w:trPr>
          <w:trHeight w:val="291"/>
        </w:trPr>
        <w:tc>
          <w:tcPr>
            <w:tcW w:w="5455" w:type="dxa"/>
            <w:tcBorders>
              <w:top w:val="nil"/>
              <w:left w:val="single" w:sz="4" w:space="0" w:color="auto"/>
              <w:bottom w:val="nil"/>
              <w:right w:val="nil"/>
            </w:tcBorders>
            <w:shd w:val="clear" w:color="000000" w:fill="DBE5F1"/>
            <w:noWrap/>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 xml:space="preserve">Nombre de demandes reçues </w:t>
            </w:r>
          </w:p>
        </w:tc>
        <w:tc>
          <w:tcPr>
            <w:tcW w:w="1330" w:type="dxa"/>
            <w:tcBorders>
              <w:top w:val="nil"/>
              <w:left w:val="nil"/>
              <w:bottom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59</w:t>
            </w:r>
          </w:p>
        </w:tc>
        <w:tc>
          <w:tcPr>
            <w:tcW w:w="1330" w:type="dxa"/>
            <w:tcBorders>
              <w:top w:val="nil"/>
              <w:left w:val="nil"/>
              <w:bottom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38</w:t>
            </w:r>
          </w:p>
        </w:tc>
        <w:tc>
          <w:tcPr>
            <w:tcW w:w="1356" w:type="dxa"/>
            <w:tcBorders>
              <w:top w:val="nil"/>
              <w:left w:val="nil"/>
              <w:bottom w:val="nil"/>
              <w:right w:val="single" w:sz="4" w:space="0" w:color="auto"/>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919</w:t>
            </w:r>
          </w:p>
        </w:tc>
      </w:tr>
      <w:tr w:rsidR="005476C3" w:rsidRPr="00FC6296" w:rsidTr="005476C3">
        <w:trPr>
          <w:trHeight w:val="291"/>
        </w:trPr>
        <w:tc>
          <w:tcPr>
            <w:tcW w:w="5455" w:type="dxa"/>
            <w:tcBorders>
              <w:top w:val="nil"/>
              <w:left w:val="single" w:sz="4" w:space="0" w:color="auto"/>
              <w:bottom w:val="nil"/>
              <w:right w:val="nil"/>
            </w:tcBorders>
            <w:shd w:val="clear" w:color="auto" w:fill="auto"/>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Variation annuelle en %</w:t>
            </w:r>
          </w:p>
        </w:tc>
        <w:tc>
          <w:tcPr>
            <w:tcW w:w="1330" w:type="dxa"/>
            <w:tcBorders>
              <w:top w:val="nil"/>
              <w:left w:val="nil"/>
              <w:bottom w:val="nil"/>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w:t>
            </w:r>
          </w:p>
        </w:tc>
        <w:tc>
          <w:tcPr>
            <w:tcW w:w="1330" w:type="dxa"/>
            <w:tcBorders>
              <w:top w:val="nil"/>
              <w:left w:val="nil"/>
              <w:bottom w:val="nil"/>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-35,6 %</w:t>
            </w:r>
          </w:p>
        </w:tc>
        <w:tc>
          <w:tcPr>
            <w:tcW w:w="1356" w:type="dxa"/>
            <w:tcBorders>
              <w:top w:val="nil"/>
              <w:left w:val="nil"/>
              <w:bottom w:val="nil"/>
              <w:right w:val="single" w:sz="4" w:space="0" w:color="auto"/>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2 318,4 %</w:t>
            </w:r>
          </w:p>
        </w:tc>
      </w:tr>
      <w:tr w:rsidR="005476C3" w:rsidRPr="00FC6296" w:rsidTr="005476C3">
        <w:trPr>
          <w:trHeight w:val="291"/>
        </w:trPr>
        <w:tc>
          <w:tcPr>
            <w:tcW w:w="5455" w:type="dxa"/>
            <w:tcBorders>
              <w:top w:val="nil"/>
              <w:left w:val="single" w:sz="4" w:space="0" w:color="auto"/>
              <w:right w:val="nil"/>
            </w:tcBorders>
            <w:shd w:val="clear" w:color="000000" w:fill="DBE5F1"/>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Demandes complétées</w:t>
            </w:r>
          </w:p>
        </w:tc>
        <w:tc>
          <w:tcPr>
            <w:tcW w:w="1330" w:type="dxa"/>
            <w:tcBorders>
              <w:top w:val="nil"/>
              <w:left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56</w:t>
            </w:r>
          </w:p>
        </w:tc>
        <w:tc>
          <w:tcPr>
            <w:tcW w:w="1330" w:type="dxa"/>
            <w:tcBorders>
              <w:top w:val="nil"/>
              <w:left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50</w:t>
            </w:r>
          </w:p>
        </w:tc>
        <w:tc>
          <w:tcPr>
            <w:tcW w:w="1356" w:type="dxa"/>
            <w:tcBorders>
              <w:top w:val="nil"/>
              <w:left w:val="nil"/>
              <w:right w:val="single" w:sz="4" w:space="0" w:color="auto"/>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831</w:t>
            </w:r>
          </w:p>
        </w:tc>
      </w:tr>
      <w:tr w:rsidR="005476C3" w:rsidRPr="00FC6296" w:rsidTr="005476C3">
        <w:trPr>
          <w:trHeight w:val="305"/>
        </w:trPr>
        <w:tc>
          <w:tcPr>
            <w:tcW w:w="5455" w:type="dxa"/>
            <w:tcBorders>
              <w:top w:val="nil"/>
              <w:left w:val="single" w:sz="4" w:space="0" w:color="auto"/>
              <w:right w:val="nil"/>
            </w:tcBorders>
            <w:shd w:val="clear" w:color="auto" w:fill="auto"/>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Variation annuelle en %</w:t>
            </w:r>
          </w:p>
        </w:tc>
        <w:tc>
          <w:tcPr>
            <w:tcW w:w="1330" w:type="dxa"/>
            <w:tcBorders>
              <w:top w:val="nil"/>
              <w:left w:val="nil"/>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w:t>
            </w:r>
          </w:p>
        </w:tc>
        <w:tc>
          <w:tcPr>
            <w:tcW w:w="1330" w:type="dxa"/>
            <w:tcBorders>
              <w:top w:val="nil"/>
              <w:left w:val="nil"/>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-10,7 %</w:t>
            </w:r>
          </w:p>
        </w:tc>
        <w:tc>
          <w:tcPr>
            <w:tcW w:w="1356" w:type="dxa"/>
            <w:tcBorders>
              <w:top w:val="nil"/>
              <w:left w:val="nil"/>
              <w:right w:val="single" w:sz="4" w:space="0" w:color="auto"/>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1 562,0 %</w:t>
            </w:r>
          </w:p>
        </w:tc>
      </w:tr>
      <w:tr w:rsidR="005476C3" w:rsidRPr="00FC6296" w:rsidTr="005476C3">
        <w:trPr>
          <w:trHeight w:val="595"/>
        </w:trPr>
        <w:tc>
          <w:tcPr>
            <w:tcW w:w="5455" w:type="dxa"/>
            <w:tcBorders>
              <w:top w:val="nil"/>
              <w:left w:val="single" w:sz="4" w:space="0" w:color="auto"/>
              <w:right w:val="nil"/>
            </w:tcBorders>
            <w:shd w:val="clear" w:color="000000" w:fill="DBE5F1"/>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lastRenderedPageBreak/>
              <w:t>Nombre de demandes de consultation reçues (d’autres institutions fédérales)</w:t>
            </w:r>
          </w:p>
        </w:tc>
        <w:tc>
          <w:tcPr>
            <w:tcW w:w="1330" w:type="dxa"/>
            <w:tcBorders>
              <w:top w:val="nil"/>
              <w:left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26</w:t>
            </w:r>
          </w:p>
        </w:tc>
        <w:tc>
          <w:tcPr>
            <w:tcW w:w="1330" w:type="dxa"/>
            <w:tcBorders>
              <w:top w:val="nil"/>
              <w:left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82</w:t>
            </w:r>
          </w:p>
        </w:tc>
        <w:tc>
          <w:tcPr>
            <w:tcW w:w="1356" w:type="dxa"/>
            <w:tcBorders>
              <w:top w:val="nil"/>
              <w:left w:val="nil"/>
              <w:right w:val="single" w:sz="4" w:space="0" w:color="auto"/>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sidRPr="00FC6296">
              <w:rPr>
                <w:rFonts w:ascii="Calibri" w:eastAsia="Times New Roman" w:hAnsi="Calibri" w:cs="Times New Roman"/>
                <w:b/>
                <w:bCs/>
                <w:color w:val="000000"/>
                <w:lang w:val="fr-CA"/>
              </w:rPr>
              <w:t>27</w:t>
            </w:r>
          </w:p>
        </w:tc>
      </w:tr>
      <w:tr w:rsidR="005476C3" w:rsidRPr="00FC6296" w:rsidTr="005476C3">
        <w:trPr>
          <w:trHeight w:val="305"/>
        </w:trPr>
        <w:tc>
          <w:tcPr>
            <w:tcW w:w="5455" w:type="dxa"/>
            <w:tcBorders>
              <w:left w:val="single" w:sz="4" w:space="0" w:color="auto"/>
              <w:right w:val="nil"/>
            </w:tcBorders>
            <w:shd w:val="clear" w:color="auto" w:fill="auto"/>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Variation annuelle en %</w:t>
            </w:r>
          </w:p>
        </w:tc>
        <w:tc>
          <w:tcPr>
            <w:tcW w:w="1330" w:type="dxa"/>
            <w:tcBorders>
              <w:left w:val="nil"/>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w:t>
            </w:r>
          </w:p>
        </w:tc>
        <w:tc>
          <w:tcPr>
            <w:tcW w:w="1330" w:type="dxa"/>
            <w:tcBorders>
              <w:left w:val="nil"/>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215,4 %</w:t>
            </w:r>
          </w:p>
        </w:tc>
        <w:tc>
          <w:tcPr>
            <w:tcW w:w="1356" w:type="dxa"/>
            <w:tcBorders>
              <w:left w:val="nil"/>
              <w:right w:val="single" w:sz="4" w:space="0" w:color="auto"/>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-67,1 %</w:t>
            </w:r>
          </w:p>
        </w:tc>
      </w:tr>
      <w:tr w:rsidR="005476C3" w:rsidRPr="00FC6296" w:rsidTr="005476C3">
        <w:trPr>
          <w:trHeight w:val="595"/>
        </w:trPr>
        <w:tc>
          <w:tcPr>
            <w:tcW w:w="5455" w:type="dxa"/>
            <w:tcBorders>
              <w:top w:val="nil"/>
              <w:left w:val="single" w:sz="4" w:space="0" w:color="auto"/>
              <w:bottom w:val="nil"/>
              <w:right w:val="nil"/>
            </w:tcBorders>
            <w:shd w:val="clear" w:color="000000" w:fill="DBE5F1"/>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Nombre moyen de pages traitées par demande complétée</w:t>
            </w:r>
          </w:p>
        </w:tc>
        <w:tc>
          <w:tcPr>
            <w:tcW w:w="1330" w:type="dxa"/>
            <w:tcBorders>
              <w:top w:val="nil"/>
              <w:left w:val="nil"/>
              <w:bottom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Pr>
                <w:rFonts w:ascii="Calibri" w:eastAsia="Times New Roman" w:hAnsi="Calibri" w:cs="Times New Roman"/>
                <w:b/>
                <w:bCs/>
                <w:color w:val="000000"/>
                <w:lang w:val="fr-CA"/>
              </w:rPr>
              <w:t>39</w:t>
            </w:r>
            <w:r w:rsidRPr="00FC6296">
              <w:rPr>
                <w:rFonts w:ascii="Calibri" w:eastAsia="Times New Roman" w:hAnsi="Calibri" w:cs="Times New Roman"/>
                <w:b/>
                <w:bCs/>
                <w:color w:val="000000"/>
                <w:lang w:val="fr-CA"/>
              </w:rPr>
              <w:t>3</w:t>
            </w:r>
          </w:p>
        </w:tc>
        <w:tc>
          <w:tcPr>
            <w:tcW w:w="1330" w:type="dxa"/>
            <w:tcBorders>
              <w:top w:val="nil"/>
              <w:left w:val="nil"/>
              <w:bottom w:val="nil"/>
              <w:right w:val="nil"/>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Pr>
                <w:rFonts w:ascii="Calibri" w:eastAsia="Times New Roman" w:hAnsi="Calibri" w:cs="Times New Roman"/>
                <w:b/>
                <w:bCs/>
                <w:color w:val="000000"/>
                <w:lang w:val="fr-CA"/>
              </w:rPr>
              <w:t>417</w:t>
            </w:r>
          </w:p>
        </w:tc>
        <w:tc>
          <w:tcPr>
            <w:tcW w:w="1356" w:type="dxa"/>
            <w:tcBorders>
              <w:top w:val="nil"/>
              <w:left w:val="nil"/>
              <w:bottom w:val="nil"/>
              <w:right w:val="single" w:sz="4" w:space="0" w:color="auto"/>
            </w:tcBorders>
            <w:shd w:val="clear" w:color="000000" w:fill="DBE5F1"/>
            <w:noWrap/>
            <w:vAlign w:val="center"/>
            <w:hideMark/>
          </w:tcPr>
          <w:p w:rsidR="005476C3" w:rsidRPr="00FC6296" w:rsidRDefault="005476C3" w:rsidP="005476C3">
            <w:pPr>
              <w:spacing w:after="0" w:line="240" w:lineRule="auto"/>
              <w:jc w:val="center"/>
              <w:rPr>
                <w:rFonts w:ascii="Calibri" w:eastAsia="Times New Roman" w:hAnsi="Calibri" w:cs="Times New Roman"/>
                <w:b/>
                <w:bCs/>
                <w:color w:val="000000"/>
                <w:lang w:val="fr-CA"/>
              </w:rPr>
            </w:pPr>
            <w:r>
              <w:rPr>
                <w:rFonts w:ascii="Calibri" w:eastAsia="Times New Roman" w:hAnsi="Calibri" w:cs="Times New Roman"/>
                <w:b/>
                <w:bCs/>
                <w:color w:val="000000"/>
                <w:lang w:val="fr-CA"/>
              </w:rPr>
              <w:t>4083</w:t>
            </w:r>
          </w:p>
        </w:tc>
      </w:tr>
      <w:tr w:rsidR="005476C3" w:rsidRPr="00FC6296" w:rsidTr="005476C3">
        <w:trPr>
          <w:trHeight w:val="595"/>
        </w:trPr>
        <w:tc>
          <w:tcPr>
            <w:tcW w:w="5455" w:type="dxa"/>
            <w:tcBorders>
              <w:top w:val="nil"/>
              <w:left w:val="single" w:sz="4" w:space="0" w:color="auto"/>
              <w:bottom w:val="single" w:sz="4" w:space="0" w:color="auto"/>
              <w:right w:val="nil"/>
            </w:tcBorders>
            <w:shd w:val="clear" w:color="auto" w:fill="auto"/>
            <w:hideMark/>
          </w:tcPr>
          <w:p w:rsidR="005476C3" w:rsidRPr="00FC6296" w:rsidRDefault="005476C3" w:rsidP="005476C3">
            <w:pPr>
              <w:spacing w:after="0" w:line="240" w:lineRule="auto"/>
              <w:rPr>
                <w:rFonts w:ascii="Calibri" w:eastAsia="Times New Roman" w:hAnsi="Calibri" w:cs="Times New Roman"/>
                <w:color w:val="000000"/>
                <w:lang w:val="fr-CA"/>
              </w:rPr>
            </w:pPr>
            <w:r w:rsidRPr="00FC6296">
              <w:rPr>
                <w:rFonts w:ascii="Calibri" w:eastAsia="Times New Roman" w:hAnsi="Calibri" w:cs="Times New Roman"/>
                <w:color w:val="000000"/>
                <w:lang w:val="fr-CA"/>
              </w:rPr>
              <w:t>% des demandes pour lesquelles plus de 1 000 pages ont été traitées</w:t>
            </w:r>
          </w:p>
        </w:tc>
        <w:tc>
          <w:tcPr>
            <w:tcW w:w="1330" w:type="dxa"/>
            <w:tcBorders>
              <w:top w:val="nil"/>
              <w:left w:val="nil"/>
              <w:bottom w:val="single" w:sz="4" w:space="0" w:color="auto"/>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6,4 %</w:t>
            </w:r>
          </w:p>
        </w:tc>
        <w:tc>
          <w:tcPr>
            <w:tcW w:w="1330" w:type="dxa"/>
            <w:tcBorders>
              <w:top w:val="nil"/>
              <w:left w:val="nil"/>
              <w:bottom w:val="single" w:sz="4" w:space="0" w:color="auto"/>
              <w:right w:val="nil"/>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10,8 %</w:t>
            </w:r>
          </w:p>
        </w:tc>
        <w:tc>
          <w:tcPr>
            <w:tcW w:w="1356" w:type="dxa"/>
            <w:tcBorders>
              <w:top w:val="nil"/>
              <w:left w:val="nil"/>
              <w:bottom w:val="single" w:sz="4" w:space="0" w:color="auto"/>
              <w:right w:val="single" w:sz="4" w:space="0" w:color="auto"/>
            </w:tcBorders>
            <w:shd w:val="clear" w:color="auto" w:fill="auto"/>
            <w:noWrap/>
            <w:vAlign w:val="center"/>
            <w:hideMark/>
          </w:tcPr>
          <w:p w:rsidR="005476C3" w:rsidRPr="00FC6296" w:rsidRDefault="005476C3" w:rsidP="005476C3">
            <w:pPr>
              <w:spacing w:after="0" w:line="240" w:lineRule="auto"/>
              <w:jc w:val="center"/>
              <w:rPr>
                <w:rFonts w:ascii="Calibri" w:eastAsia="Times New Roman" w:hAnsi="Calibri" w:cs="Times New Roman"/>
                <w:color w:val="000000"/>
                <w:lang w:val="fr-CA"/>
              </w:rPr>
            </w:pPr>
            <w:r w:rsidRPr="00FC6296">
              <w:rPr>
                <w:rFonts w:ascii="Calibri" w:eastAsia="Times New Roman" w:hAnsi="Calibri" w:cs="Times New Roman"/>
                <w:color w:val="000000"/>
                <w:lang w:val="fr-CA"/>
              </w:rPr>
              <w:t>32,5 %</w:t>
            </w:r>
          </w:p>
        </w:tc>
      </w:tr>
    </w:tbl>
    <w:p w:rsidR="005476C3" w:rsidRPr="00642280" w:rsidRDefault="005476C3" w:rsidP="005476C3">
      <w:pPr>
        <w:pStyle w:val="Heading2"/>
        <w:spacing w:before="240"/>
      </w:pPr>
      <w:r w:rsidRPr="00642280">
        <w:t>Délai de traitement des demandes</w:t>
      </w:r>
    </w:p>
    <w:p w:rsidR="005476C3" w:rsidRPr="00642280" w:rsidRDefault="005476C3" w:rsidP="005476C3">
      <w:pPr>
        <w:pStyle w:val="Heading4"/>
      </w:pPr>
      <w:r w:rsidRPr="00642280">
        <w:t>Rapidité</w:t>
      </w:r>
    </w:p>
    <w:p w:rsidR="005476C3" w:rsidRPr="00FC6296" w:rsidRDefault="005476C3" w:rsidP="005476C3">
      <w:pPr>
        <w:jc w:val="both"/>
        <w:rPr>
          <w:lang w:val="fr-CA"/>
        </w:rPr>
      </w:pPr>
      <w:r w:rsidRPr="00FC6296">
        <w:rPr>
          <w:lang w:val="fr-CA"/>
        </w:rPr>
        <w:t>La figure 1 révèle que 93,4 % des demandes ont été complétées en 30 jours ou moins, un résultat 51,4 % supérieur à celui observé en 2013</w:t>
      </w:r>
      <w:r>
        <w:rPr>
          <w:lang w:val="fr-CA"/>
        </w:rPr>
        <w:t>-</w:t>
      </w:r>
      <w:r w:rsidRPr="00FC6296">
        <w:rPr>
          <w:lang w:val="fr-CA"/>
        </w:rPr>
        <w:t>2014. On observe qu’en 2014</w:t>
      </w:r>
      <w:r>
        <w:rPr>
          <w:lang w:val="fr-CA"/>
        </w:rPr>
        <w:t>-</w:t>
      </w:r>
      <w:r w:rsidRPr="00FC6296">
        <w:rPr>
          <w:lang w:val="fr-CA"/>
        </w:rPr>
        <w:t>2015, 90,1 % des demandes complétées avaient une réponse « aucun documents n’existe », ce qui explique le fort pourcentage de demandes complétées en 30 jours ou moins.</w:t>
      </w:r>
    </w:p>
    <w:p w:rsidR="005476C3" w:rsidRPr="00642280" w:rsidRDefault="005476C3" w:rsidP="005476C3">
      <w:pPr>
        <w:spacing w:line="240" w:lineRule="auto"/>
        <w:rPr>
          <w:sz w:val="24"/>
          <w:szCs w:val="24"/>
          <w:lang w:val="fr-CA"/>
        </w:rPr>
      </w:pPr>
      <w:r w:rsidRPr="005476C3">
        <w:rPr>
          <w:rStyle w:val="Heading3Char"/>
          <w:lang w:val="fr-FR"/>
        </w:rPr>
        <w:t>Figure 1 : Délai de traitement des demandes</w:t>
      </w:r>
      <w:r w:rsidRPr="00FC6296">
        <w:rPr>
          <w:noProof/>
        </w:rPr>
        <w:drawing>
          <wp:inline distT="0" distB="0" distL="0" distR="0">
            <wp:extent cx="5947576" cy="4055165"/>
            <wp:effectExtent l="0" t="0" r="15240" b="2159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476C3" w:rsidRDefault="005476C3">
      <w:pPr>
        <w:rPr>
          <w:lang w:val="fr-CA"/>
        </w:rPr>
      </w:pPr>
      <w:r w:rsidRPr="00957E09">
        <w:rPr>
          <w:lang w:val="fr-FR"/>
        </w:rPr>
        <w:br w:type="page"/>
      </w:r>
    </w:p>
    <w:p w:rsidR="005476C3" w:rsidRPr="00642280" w:rsidRDefault="005476C3" w:rsidP="005476C3">
      <w:pPr>
        <w:pStyle w:val="Heading4"/>
      </w:pPr>
      <w:r w:rsidRPr="00642280">
        <w:lastRenderedPageBreak/>
        <w:t>Prorogations</w:t>
      </w:r>
    </w:p>
    <w:p w:rsidR="005476C3" w:rsidRPr="00CF29CB" w:rsidRDefault="005476C3" w:rsidP="005476C3">
      <w:pPr>
        <w:jc w:val="both"/>
        <w:rPr>
          <w:lang w:val="fr-CA"/>
        </w:rPr>
      </w:pPr>
      <w:r w:rsidRPr="00CF29CB">
        <w:rPr>
          <w:lang w:val="fr-CA"/>
        </w:rPr>
        <w:t>INFC a eu recours à 43 prorogations en 2014-2015 par rapport à 44 en 2013-2014. Les avis à des tiers (46,5 %) étaient la raison la plus fréquemment invoquée pour demander une prorogation, suivis des demandes de consultation (39,5 %).</w:t>
      </w:r>
    </w:p>
    <w:p w:rsidR="005476C3" w:rsidRPr="00CF29CB" w:rsidRDefault="005476C3" w:rsidP="005476C3">
      <w:pPr>
        <w:jc w:val="both"/>
        <w:rPr>
          <w:lang w:val="fr-CA"/>
        </w:rPr>
      </w:pPr>
      <w:r w:rsidRPr="00CF29CB">
        <w:rPr>
          <w:lang w:val="fr-CA"/>
        </w:rPr>
        <w:t>La figure 2 montre que toutes les prorogations en 2014-2015 étaient de plus de 30 jours : 27,9 % de ces prorogations étaient de 31 à 60 jours, soit 2,9 % de plus que lors de l’année précédente; 32,6 % étaient de 61 à 120 jours, soit 5,3 % de plus qu’en 2013-2014.</w:t>
      </w:r>
    </w:p>
    <w:p w:rsidR="005476C3" w:rsidRPr="00E0165F" w:rsidRDefault="005476C3" w:rsidP="005476C3">
      <w:pPr>
        <w:rPr>
          <w:lang w:val="fr-CA"/>
        </w:rPr>
      </w:pPr>
      <w:r w:rsidRPr="00642280">
        <w:rPr>
          <w:rStyle w:val="Heading2Char"/>
        </w:rPr>
        <w:t>Figure 2 : Duré</w:t>
      </w:r>
      <w:r>
        <w:rPr>
          <w:rStyle w:val="Heading2Char"/>
        </w:rPr>
        <w:t>e des prorogations</w:t>
      </w:r>
      <w:r w:rsidRPr="00E0165F">
        <w:rPr>
          <w:noProof/>
        </w:rPr>
        <w:drawing>
          <wp:inline distT="0" distB="0" distL="0" distR="0">
            <wp:extent cx="5909094" cy="4011283"/>
            <wp:effectExtent l="0" t="0" r="15875" b="27940"/>
            <wp:docPr id="3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476C3" w:rsidRPr="00642280" w:rsidRDefault="005476C3" w:rsidP="005476C3">
      <w:pPr>
        <w:pStyle w:val="Heading4"/>
      </w:pPr>
      <w:r>
        <w:t>Présomptions de refus</w:t>
      </w:r>
    </w:p>
    <w:p w:rsidR="005476C3" w:rsidRPr="00CF29CB" w:rsidRDefault="005476C3" w:rsidP="005476C3">
      <w:pPr>
        <w:jc w:val="both"/>
        <w:rPr>
          <w:lang w:val="fr-FR"/>
        </w:rPr>
      </w:pPr>
      <w:r w:rsidRPr="00CF29CB">
        <w:rPr>
          <w:lang w:val="fr-CA"/>
        </w:rPr>
        <w:t>En 2014-2015, 13 demandes ont été fermées après l’échéancier réglementaire</w:t>
      </w:r>
      <w:r w:rsidRPr="00CF29CB">
        <w:rPr>
          <w:rStyle w:val="FootnoteReference"/>
          <w:lang w:val="fr-CA"/>
        </w:rPr>
        <w:footnoteReference w:id="46"/>
      </w:r>
      <w:r w:rsidRPr="00CF29CB">
        <w:rPr>
          <w:lang w:val="fr-CA"/>
        </w:rPr>
        <w:t>, ce qui représente 1,6 % des demandes complétées. Ce résultat procure à INFC la note de « A »</w:t>
      </w:r>
      <w:r w:rsidRPr="00CF29CB">
        <w:rPr>
          <w:rStyle w:val="FootnoteReference"/>
          <w:lang w:val="fr-CA"/>
        </w:rPr>
        <w:footnoteReference w:id="47"/>
      </w:r>
      <w:r w:rsidRPr="00CF29CB">
        <w:rPr>
          <w:lang w:val="fr-CA"/>
        </w:rPr>
        <w:t>. La charge de travail était l’unique raison invoquée pour justifier ces retards.</w:t>
      </w:r>
    </w:p>
    <w:p w:rsidR="005476C3" w:rsidRDefault="005476C3">
      <w:pPr>
        <w:rPr>
          <w:b/>
          <w:lang w:val="fr-CA"/>
        </w:rPr>
      </w:pPr>
      <w:r w:rsidRPr="00957E09">
        <w:rPr>
          <w:lang w:val="fr-FR"/>
        </w:rPr>
        <w:br w:type="page"/>
      </w:r>
    </w:p>
    <w:p w:rsidR="005476C3" w:rsidRPr="00642280" w:rsidRDefault="005476C3" w:rsidP="005476C3">
      <w:pPr>
        <w:pStyle w:val="Heading2"/>
      </w:pPr>
      <w:r w:rsidRPr="00642280">
        <w:lastRenderedPageBreak/>
        <w:t>Divulgation</w:t>
      </w:r>
    </w:p>
    <w:p w:rsidR="005476C3" w:rsidRPr="00642280" w:rsidRDefault="005476C3" w:rsidP="005476C3">
      <w:pPr>
        <w:pStyle w:val="Heading4"/>
      </w:pPr>
      <w:r w:rsidRPr="00642280">
        <w:t>Pourcentage de demandes pour lesquelle</w:t>
      </w:r>
      <w:r>
        <w:t>s l’information a été divulguée</w:t>
      </w:r>
    </w:p>
    <w:p w:rsidR="005476C3" w:rsidRPr="00AD3491" w:rsidRDefault="005476C3" w:rsidP="005476C3">
      <w:pPr>
        <w:jc w:val="both"/>
        <w:rPr>
          <w:lang w:val="fr-CA"/>
        </w:rPr>
      </w:pPr>
      <w:r>
        <w:rPr>
          <w:lang w:val="fr-CA"/>
        </w:rPr>
        <w:t>En 2014-</w:t>
      </w:r>
      <w:r w:rsidRPr="00AD3491">
        <w:rPr>
          <w:lang w:val="fr-CA"/>
        </w:rPr>
        <w:t xml:space="preserve">2015, 2,4 % de toutes les demandes </w:t>
      </w:r>
      <w:r>
        <w:rPr>
          <w:lang w:val="fr-CA"/>
        </w:rPr>
        <w:t>complétées</w:t>
      </w:r>
      <w:r w:rsidRPr="00AD3491">
        <w:rPr>
          <w:lang w:val="fr-CA"/>
        </w:rPr>
        <w:t xml:space="preserve"> ont fait l’objet d’une divulgation complète, ce qu</w:t>
      </w:r>
      <w:r>
        <w:rPr>
          <w:lang w:val="fr-CA"/>
        </w:rPr>
        <w:t>i représente une diminution de 9,6</w:t>
      </w:r>
      <w:r w:rsidRPr="00AD3491">
        <w:rPr>
          <w:lang w:val="fr-CA"/>
        </w:rPr>
        <w:t xml:space="preserve"> % par rapport </w:t>
      </w:r>
      <w:r>
        <w:rPr>
          <w:lang w:val="fr-CA"/>
        </w:rPr>
        <w:t>à 2013-</w:t>
      </w:r>
      <w:r w:rsidRPr="00AD3491">
        <w:rPr>
          <w:lang w:val="fr-CA"/>
        </w:rPr>
        <w:t>2014 (voir figure </w:t>
      </w:r>
      <w:r>
        <w:rPr>
          <w:lang w:val="fr-CA"/>
        </w:rPr>
        <w:t>3</w:t>
      </w:r>
      <w:r w:rsidRPr="00AD3491">
        <w:rPr>
          <w:lang w:val="fr-CA"/>
        </w:rPr>
        <w:t xml:space="preserve">). La figure 4 </w:t>
      </w:r>
      <w:r>
        <w:rPr>
          <w:lang w:val="fr-CA"/>
        </w:rPr>
        <w:t>montre également que le taux de</w:t>
      </w:r>
      <w:r w:rsidRPr="00AD3491">
        <w:rPr>
          <w:lang w:val="fr-CA"/>
        </w:rPr>
        <w:t xml:space="preserve"> demandes faisant l’objet d’une divulgation partielle était de 6</w:t>
      </w:r>
      <w:r>
        <w:rPr>
          <w:lang w:val="fr-CA"/>
        </w:rPr>
        <w:t>,4</w:t>
      </w:r>
      <w:r w:rsidRPr="00AD3491">
        <w:rPr>
          <w:lang w:val="fr-CA"/>
        </w:rPr>
        <w:t> % en 2014</w:t>
      </w:r>
      <w:r>
        <w:rPr>
          <w:lang w:val="fr-CA"/>
        </w:rPr>
        <w:t>-</w:t>
      </w:r>
      <w:r w:rsidRPr="00AD3491">
        <w:rPr>
          <w:lang w:val="fr-CA"/>
        </w:rPr>
        <w:t>2015 par rapport à 60</w:t>
      </w:r>
      <w:r>
        <w:rPr>
          <w:lang w:val="fr-CA"/>
        </w:rPr>
        <w:t>,0</w:t>
      </w:r>
      <w:r w:rsidRPr="00AD3491">
        <w:rPr>
          <w:lang w:val="fr-CA"/>
        </w:rPr>
        <w:t xml:space="preserve"> % </w:t>
      </w:r>
      <w:r>
        <w:rPr>
          <w:lang w:val="fr-CA"/>
        </w:rPr>
        <w:t>pour</w:t>
      </w:r>
      <w:r w:rsidRPr="00AD3491">
        <w:rPr>
          <w:lang w:val="fr-CA"/>
        </w:rPr>
        <w:t xml:space="preserve"> la période précédente</w:t>
      </w:r>
      <w:r>
        <w:rPr>
          <w:lang w:val="fr-CA"/>
        </w:rPr>
        <w:t>. Ceci est dû à la forte proportion de demandes pour lesquelles aucun document n’existait (90,1 %) en 2014-2015.</w:t>
      </w:r>
    </w:p>
    <w:p w:rsidR="005476C3" w:rsidRPr="00AD3491" w:rsidRDefault="005476C3" w:rsidP="005476C3">
      <w:pPr>
        <w:spacing w:line="240" w:lineRule="auto"/>
        <w:rPr>
          <w:lang w:val="fr-CA"/>
        </w:rPr>
      </w:pPr>
      <w:r w:rsidRPr="00957E09">
        <w:rPr>
          <w:rStyle w:val="Heading3Char"/>
          <w:lang w:val="fr-FR"/>
        </w:rPr>
        <w:t>Figure 3 : Niveau de divulgation</w:t>
      </w:r>
      <w:r w:rsidRPr="00E0165F">
        <w:rPr>
          <w:noProof/>
        </w:rPr>
        <w:drawing>
          <wp:inline distT="0" distB="0" distL="0" distR="0">
            <wp:extent cx="6021238" cy="3968151"/>
            <wp:effectExtent l="0" t="0" r="17780" b="13335"/>
            <wp:docPr id="3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476C3" w:rsidRPr="00642280" w:rsidRDefault="005476C3" w:rsidP="005476C3">
      <w:pPr>
        <w:pStyle w:val="Heading4"/>
      </w:pPr>
      <w:r>
        <w:t>Exceptions</w:t>
      </w:r>
    </w:p>
    <w:p w:rsidR="005476C3" w:rsidRPr="00CF29CB" w:rsidRDefault="005476C3" w:rsidP="005476C3">
      <w:pPr>
        <w:jc w:val="both"/>
        <w:rPr>
          <w:lang w:val="fr-CA"/>
        </w:rPr>
      </w:pPr>
      <w:r w:rsidRPr="00CF29CB">
        <w:rPr>
          <w:lang w:val="fr-CA"/>
        </w:rPr>
        <w:t>Le nombre moyen d’exceptions par demande complétée était de 0,30 en 2014-2015 par rapport à 4,62 l’année précédente. Cependant, notons que le nombre moyen d’exceptions en 2014-2015 n’est peut-être pas le meilleur indicateur en raison du nombre de demandes pour lesquelles, il n’y avait aucun document (voir tableau 2).</w:t>
      </w:r>
    </w:p>
    <w:p w:rsidR="005476C3" w:rsidRPr="00CF29CB" w:rsidRDefault="005476C3" w:rsidP="005476C3">
      <w:pPr>
        <w:jc w:val="both"/>
        <w:rPr>
          <w:lang w:val="fr-CA"/>
        </w:rPr>
      </w:pPr>
      <w:r w:rsidRPr="00CF29CB">
        <w:rPr>
          <w:lang w:val="fr-CA"/>
        </w:rPr>
        <w:t>Les exceptions les plus fréquemment invoquées en 2014</w:t>
      </w:r>
      <w:r w:rsidRPr="00CF29CB">
        <w:rPr>
          <w:lang w:val="fr-CA"/>
        </w:rPr>
        <w:noBreakHyphen/>
        <w:t>2015 étaient l’article 18 (les intérêts économiques du Canada) (25,3 %), l’article 21 (les activités du gouvernement) (20,9 %), suivies de l’article 20 (les renseignements de tiers) (12,0 %) et de l’article 13 (les renseignements obtenus à titre confidentiel) (11,2 %). Le nombre d’exceptions appliquées en vertu de toutes ces lois a augmenté par rapport à l’année précédente.</w:t>
      </w:r>
    </w:p>
    <w:p w:rsidR="005476C3" w:rsidRPr="00AD3491" w:rsidRDefault="005476C3" w:rsidP="00BA2BE8">
      <w:pPr>
        <w:pStyle w:val="Heading3"/>
      </w:pPr>
      <w:r w:rsidRPr="00AD3491">
        <w:lastRenderedPageBreak/>
        <w:t xml:space="preserve">Tableau </w:t>
      </w:r>
      <w:proofErr w:type="gramStart"/>
      <w:r w:rsidRPr="00AD3491">
        <w:t>2 :</w:t>
      </w:r>
      <w:proofErr w:type="gramEnd"/>
      <w:r w:rsidRPr="00AD3491">
        <w:t xml:space="preserve"> Exceptions</w:t>
      </w:r>
    </w:p>
    <w:tbl>
      <w:tblPr>
        <w:tblW w:w="9556" w:type="dxa"/>
        <w:tblInd w:w="98" w:type="dxa"/>
        <w:tblLook w:val="04A0"/>
      </w:tblPr>
      <w:tblGrid>
        <w:gridCol w:w="5518"/>
        <w:gridCol w:w="1346"/>
        <w:gridCol w:w="1346"/>
        <w:gridCol w:w="1346"/>
      </w:tblGrid>
      <w:tr w:rsidR="005476C3" w:rsidRPr="00AD3491" w:rsidTr="005476C3">
        <w:trPr>
          <w:trHeight w:val="325"/>
        </w:trPr>
        <w:tc>
          <w:tcPr>
            <w:tcW w:w="5518"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AD3491" w:rsidRDefault="005476C3" w:rsidP="005476C3">
            <w:pPr>
              <w:spacing w:after="0" w:line="240" w:lineRule="auto"/>
              <w:rPr>
                <w:rFonts w:ascii="Calibri" w:eastAsia="Times New Roman" w:hAnsi="Calibri" w:cs="Times New Roman"/>
                <w:color w:val="000000"/>
                <w:lang w:val="fr-CA"/>
              </w:rPr>
            </w:pPr>
            <w:r w:rsidRPr="00AD3491">
              <w:rPr>
                <w:rFonts w:ascii="Calibri" w:eastAsia="Times New Roman" w:hAnsi="Calibri" w:cs="Times New Roman"/>
                <w:color w:val="000000"/>
                <w:lang w:val="fr-CA"/>
              </w:rPr>
              <w:t xml:space="preserve">Exceptions </w:t>
            </w:r>
          </w:p>
        </w:tc>
        <w:tc>
          <w:tcPr>
            <w:tcW w:w="1346" w:type="dxa"/>
            <w:tcBorders>
              <w:top w:val="single" w:sz="8" w:space="0" w:color="auto"/>
              <w:left w:val="nil"/>
              <w:bottom w:val="single" w:sz="8" w:space="0" w:color="auto"/>
              <w:right w:val="nil"/>
            </w:tcBorders>
            <w:shd w:val="clear" w:color="000000" w:fill="DBE5F1"/>
            <w:noWrap/>
            <w:vAlign w:val="bottom"/>
            <w:hideMark/>
          </w:tcPr>
          <w:p w:rsidR="005476C3" w:rsidRPr="00AD3491" w:rsidRDefault="005476C3" w:rsidP="005476C3">
            <w:pPr>
              <w:spacing w:after="0" w:line="240" w:lineRule="auto"/>
              <w:jc w:val="center"/>
              <w:rPr>
                <w:rFonts w:ascii="Calibri" w:eastAsia="Times New Roman" w:hAnsi="Calibri" w:cs="Times New Roman"/>
                <w:b/>
                <w:bCs/>
                <w:color w:val="000000"/>
                <w:lang w:val="fr-CA"/>
              </w:rPr>
            </w:pPr>
            <w:r w:rsidRPr="00AD3491">
              <w:rPr>
                <w:rFonts w:ascii="Calibri" w:eastAsia="Times New Roman" w:hAnsi="Calibri" w:cs="Times New Roman"/>
                <w:b/>
                <w:bCs/>
                <w:color w:val="000000"/>
                <w:lang w:val="fr-CA"/>
              </w:rPr>
              <w:t>2012-2013</w:t>
            </w:r>
          </w:p>
        </w:tc>
        <w:tc>
          <w:tcPr>
            <w:tcW w:w="1346" w:type="dxa"/>
            <w:tcBorders>
              <w:top w:val="single" w:sz="8" w:space="0" w:color="auto"/>
              <w:left w:val="nil"/>
              <w:bottom w:val="single" w:sz="8" w:space="0" w:color="auto"/>
              <w:right w:val="nil"/>
            </w:tcBorders>
            <w:shd w:val="clear" w:color="000000" w:fill="DBE5F1"/>
            <w:noWrap/>
            <w:vAlign w:val="bottom"/>
            <w:hideMark/>
          </w:tcPr>
          <w:p w:rsidR="005476C3" w:rsidRPr="00AD3491" w:rsidRDefault="005476C3" w:rsidP="005476C3">
            <w:pPr>
              <w:spacing w:after="0" w:line="240" w:lineRule="auto"/>
              <w:jc w:val="center"/>
              <w:rPr>
                <w:rFonts w:ascii="Calibri" w:eastAsia="Times New Roman" w:hAnsi="Calibri" w:cs="Times New Roman"/>
                <w:b/>
                <w:bCs/>
                <w:color w:val="000000"/>
                <w:lang w:val="fr-CA"/>
              </w:rPr>
            </w:pPr>
            <w:r w:rsidRPr="00AD3491">
              <w:rPr>
                <w:rFonts w:ascii="Calibri" w:eastAsia="Times New Roman" w:hAnsi="Calibri" w:cs="Times New Roman"/>
                <w:b/>
                <w:bCs/>
                <w:color w:val="000000"/>
                <w:lang w:val="fr-CA"/>
              </w:rPr>
              <w:t>2013-2014</w:t>
            </w:r>
          </w:p>
        </w:tc>
        <w:tc>
          <w:tcPr>
            <w:tcW w:w="1346"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AD3491" w:rsidRDefault="005476C3" w:rsidP="005476C3">
            <w:pPr>
              <w:spacing w:after="0" w:line="240" w:lineRule="auto"/>
              <w:jc w:val="center"/>
              <w:rPr>
                <w:rFonts w:ascii="Calibri" w:eastAsia="Times New Roman" w:hAnsi="Calibri" w:cs="Times New Roman"/>
                <w:b/>
                <w:bCs/>
                <w:color w:val="000000"/>
                <w:lang w:val="fr-CA"/>
              </w:rPr>
            </w:pPr>
            <w:r w:rsidRPr="00AD3491">
              <w:rPr>
                <w:rFonts w:ascii="Calibri" w:eastAsia="Times New Roman" w:hAnsi="Calibri" w:cs="Times New Roman"/>
                <w:b/>
                <w:bCs/>
                <w:color w:val="000000"/>
                <w:lang w:val="fr-CA"/>
              </w:rPr>
              <w:t>2014-2015</w:t>
            </w:r>
          </w:p>
        </w:tc>
      </w:tr>
      <w:tr w:rsidR="005476C3" w:rsidRPr="00AD3491" w:rsidTr="005476C3">
        <w:trPr>
          <w:trHeight w:val="309"/>
        </w:trPr>
        <w:tc>
          <w:tcPr>
            <w:tcW w:w="5518" w:type="dxa"/>
            <w:tcBorders>
              <w:top w:val="nil"/>
              <w:left w:val="single" w:sz="8" w:space="0" w:color="auto"/>
              <w:bottom w:val="nil"/>
              <w:right w:val="nil"/>
            </w:tcBorders>
            <w:shd w:val="clear" w:color="auto" w:fill="auto"/>
            <w:noWrap/>
            <w:vAlign w:val="bottom"/>
            <w:hideMark/>
          </w:tcPr>
          <w:p w:rsidR="005476C3" w:rsidRPr="00AD3491" w:rsidRDefault="005476C3" w:rsidP="005476C3">
            <w:pPr>
              <w:spacing w:after="0" w:line="240" w:lineRule="auto"/>
              <w:rPr>
                <w:rFonts w:ascii="Calibri" w:eastAsia="Times New Roman" w:hAnsi="Calibri" w:cs="Times New Roman"/>
                <w:color w:val="000000"/>
                <w:lang w:val="fr-CA"/>
              </w:rPr>
            </w:pPr>
            <w:r w:rsidRPr="00AD3491">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346" w:type="dxa"/>
            <w:tcBorders>
              <w:top w:val="nil"/>
              <w:left w:val="nil"/>
              <w:bottom w:val="nil"/>
              <w:right w:val="nil"/>
            </w:tcBorders>
            <w:shd w:val="clear" w:color="auto" w:fill="auto"/>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70</w:t>
            </w:r>
          </w:p>
        </w:tc>
        <w:tc>
          <w:tcPr>
            <w:tcW w:w="1346" w:type="dxa"/>
            <w:tcBorders>
              <w:top w:val="nil"/>
              <w:left w:val="nil"/>
              <w:bottom w:val="nil"/>
              <w:right w:val="nil"/>
            </w:tcBorders>
            <w:shd w:val="clear" w:color="auto" w:fill="auto"/>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231</w:t>
            </w:r>
          </w:p>
        </w:tc>
        <w:tc>
          <w:tcPr>
            <w:tcW w:w="1346" w:type="dxa"/>
            <w:tcBorders>
              <w:top w:val="nil"/>
              <w:left w:val="nil"/>
              <w:bottom w:val="nil"/>
              <w:right w:val="single" w:sz="8" w:space="0" w:color="auto"/>
            </w:tcBorders>
            <w:shd w:val="clear" w:color="auto" w:fill="auto"/>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249</w:t>
            </w:r>
          </w:p>
        </w:tc>
      </w:tr>
      <w:tr w:rsidR="005476C3" w:rsidRPr="00AD3491" w:rsidTr="005476C3">
        <w:trPr>
          <w:trHeight w:val="309"/>
        </w:trPr>
        <w:tc>
          <w:tcPr>
            <w:tcW w:w="5518" w:type="dxa"/>
            <w:tcBorders>
              <w:top w:val="nil"/>
              <w:left w:val="single" w:sz="8" w:space="0" w:color="auto"/>
              <w:bottom w:val="nil"/>
              <w:right w:val="nil"/>
            </w:tcBorders>
            <w:shd w:val="clear" w:color="auto" w:fill="auto"/>
            <w:noWrap/>
            <w:vAlign w:val="bottom"/>
            <w:hideMark/>
          </w:tcPr>
          <w:p w:rsidR="005476C3" w:rsidRPr="00AD3491" w:rsidRDefault="005476C3" w:rsidP="005476C3">
            <w:pPr>
              <w:spacing w:after="0" w:line="240" w:lineRule="auto"/>
              <w:rPr>
                <w:rFonts w:ascii="Calibri" w:eastAsia="Times New Roman" w:hAnsi="Calibri" w:cs="Times New Roman"/>
                <w:color w:val="000000"/>
                <w:lang w:val="fr-CA"/>
              </w:rPr>
            </w:pPr>
            <w:r w:rsidRPr="00AD3491">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346" w:type="dxa"/>
            <w:tcBorders>
              <w:top w:val="nil"/>
              <w:left w:val="nil"/>
              <w:bottom w:val="nil"/>
              <w:right w:val="nil"/>
            </w:tcBorders>
            <w:shd w:val="clear" w:color="auto" w:fill="auto"/>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56</w:t>
            </w:r>
          </w:p>
        </w:tc>
        <w:tc>
          <w:tcPr>
            <w:tcW w:w="1346" w:type="dxa"/>
            <w:tcBorders>
              <w:top w:val="nil"/>
              <w:left w:val="nil"/>
              <w:bottom w:val="nil"/>
              <w:right w:val="nil"/>
            </w:tcBorders>
            <w:shd w:val="clear" w:color="auto" w:fill="auto"/>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50</w:t>
            </w:r>
          </w:p>
        </w:tc>
        <w:tc>
          <w:tcPr>
            <w:tcW w:w="1346" w:type="dxa"/>
            <w:tcBorders>
              <w:top w:val="nil"/>
              <w:left w:val="nil"/>
              <w:bottom w:val="nil"/>
              <w:right w:val="single" w:sz="8" w:space="0" w:color="auto"/>
            </w:tcBorders>
            <w:shd w:val="clear" w:color="auto" w:fill="auto"/>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831</w:t>
            </w:r>
          </w:p>
        </w:tc>
      </w:tr>
      <w:tr w:rsidR="005476C3" w:rsidRPr="00AD3491" w:rsidTr="005476C3">
        <w:trPr>
          <w:trHeight w:val="325"/>
        </w:trPr>
        <w:tc>
          <w:tcPr>
            <w:tcW w:w="5518" w:type="dxa"/>
            <w:tcBorders>
              <w:top w:val="nil"/>
              <w:left w:val="single" w:sz="8" w:space="0" w:color="auto"/>
              <w:bottom w:val="single" w:sz="8" w:space="0" w:color="auto"/>
              <w:right w:val="nil"/>
            </w:tcBorders>
            <w:shd w:val="clear" w:color="000000" w:fill="DBE5F1"/>
            <w:noWrap/>
            <w:vAlign w:val="bottom"/>
            <w:hideMark/>
          </w:tcPr>
          <w:p w:rsidR="005476C3" w:rsidRPr="00AD3491" w:rsidRDefault="005476C3" w:rsidP="005476C3">
            <w:pPr>
              <w:spacing w:after="0" w:line="240" w:lineRule="auto"/>
              <w:rPr>
                <w:rFonts w:ascii="Calibri" w:eastAsia="Times New Roman" w:hAnsi="Calibri" w:cs="Times New Roman"/>
                <w:color w:val="000000"/>
                <w:lang w:val="fr-CA"/>
              </w:rPr>
            </w:pPr>
            <w:r w:rsidRPr="00AD3491">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346" w:type="dxa"/>
            <w:tcBorders>
              <w:top w:val="nil"/>
              <w:left w:val="nil"/>
              <w:bottom w:val="single" w:sz="8" w:space="0" w:color="auto"/>
              <w:right w:val="nil"/>
            </w:tcBorders>
            <w:shd w:val="clear" w:color="000000" w:fill="DBE5F1"/>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1,</w:t>
            </w:r>
            <w:r>
              <w:rPr>
                <w:rFonts w:ascii="Calibri" w:eastAsia="Times New Roman" w:hAnsi="Calibri" w:cs="Times New Roman"/>
                <w:color w:val="000000"/>
                <w:lang w:val="fr-CA"/>
              </w:rPr>
              <w:t>25</w:t>
            </w:r>
          </w:p>
        </w:tc>
        <w:tc>
          <w:tcPr>
            <w:tcW w:w="1346" w:type="dxa"/>
            <w:tcBorders>
              <w:top w:val="nil"/>
              <w:left w:val="nil"/>
              <w:bottom w:val="single" w:sz="8" w:space="0" w:color="auto"/>
              <w:right w:val="nil"/>
            </w:tcBorders>
            <w:shd w:val="clear" w:color="000000" w:fill="DBE5F1"/>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4,6</w:t>
            </w:r>
            <w:r>
              <w:rPr>
                <w:rFonts w:ascii="Calibri" w:eastAsia="Times New Roman" w:hAnsi="Calibri" w:cs="Times New Roman"/>
                <w:color w:val="000000"/>
                <w:lang w:val="fr-CA"/>
              </w:rPr>
              <w:t>2</w:t>
            </w:r>
          </w:p>
        </w:tc>
        <w:tc>
          <w:tcPr>
            <w:tcW w:w="1346" w:type="dxa"/>
            <w:tcBorders>
              <w:top w:val="nil"/>
              <w:left w:val="nil"/>
              <w:bottom w:val="single" w:sz="8" w:space="0" w:color="auto"/>
              <w:right w:val="single" w:sz="8" w:space="0" w:color="auto"/>
            </w:tcBorders>
            <w:shd w:val="clear" w:color="000000" w:fill="DBE5F1"/>
            <w:noWrap/>
            <w:vAlign w:val="bottom"/>
            <w:hideMark/>
          </w:tcPr>
          <w:p w:rsidR="005476C3" w:rsidRPr="00AD3491" w:rsidRDefault="005476C3" w:rsidP="005476C3">
            <w:pPr>
              <w:spacing w:after="0" w:line="240" w:lineRule="auto"/>
              <w:jc w:val="center"/>
              <w:rPr>
                <w:rFonts w:ascii="Calibri" w:eastAsia="Times New Roman" w:hAnsi="Calibri" w:cs="Times New Roman"/>
                <w:color w:val="000000"/>
                <w:lang w:val="fr-CA"/>
              </w:rPr>
            </w:pPr>
            <w:r w:rsidRPr="00AD3491">
              <w:rPr>
                <w:rFonts w:ascii="Calibri" w:eastAsia="Times New Roman" w:hAnsi="Calibri" w:cs="Times New Roman"/>
                <w:color w:val="000000"/>
                <w:lang w:val="fr-CA"/>
              </w:rPr>
              <w:t>0,3</w:t>
            </w:r>
            <w:r>
              <w:rPr>
                <w:rFonts w:ascii="Calibri" w:eastAsia="Times New Roman" w:hAnsi="Calibri" w:cs="Times New Roman"/>
                <w:color w:val="000000"/>
                <w:lang w:val="fr-CA"/>
              </w:rPr>
              <w:t>0</w:t>
            </w:r>
          </w:p>
        </w:tc>
      </w:tr>
    </w:tbl>
    <w:p w:rsidR="005476C3" w:rsidRPr="00642280" w:rsidRDefault="005476C3" w:rsidP="005476C3">
      <w:pPr>
        <w:pStyle w:val="Heading2"/>
        <w:spacing w:before="240"/>
      </w:pPr>
      <w:r w:rsidRPr="00642280">
        <w:t>Plaintes au Commissariat à l’information</w:t>
      </w:r>
    </w:p>
    <w:p w:rsidR="005476C3" w:rsidRPr="00AD3491" w:rsidRDefault="005476C3" w:rsidP="005476C3">
      <w:pPr>
        <w:jc w:val="both"/>
        <w:rPr>
          <w:lang w:val="fr-CA"/>
        </w:rPr>
      </w:pPr>
      <w:r>
        <w:rPr>
          <w:lang w:val="fr-CA"/>
        </w:rPr>
        <w:t>En 2014-2015, le Commissariat à l’information du Canada</w:t>
      </w:r>
      <w:r w:rsidRPr="00AD3491">
        <w:rPr>
          <w:lang w:val="fr-CA"/>
        </w:rPr>
        <w:t xml:space="preserve"> a reçu 8 plaintes</w:t>
      </w:r>
      <w:r>
        <w:rPr>
          <w:rStyle w:val="FootnoteReference"/>
          <w:lang w:val="fr-CA"/>
        </w:rPr>
        <w:footnoteReference w:id="48"/>
      </w:r>
      <w:r w:rsidRPr="00AD3491">
        <w:rPr>
          <w:lang w:val="fr-CA"/>
        </w:rPr>
        <w:t xml:space="preserve"> concernant INFC : 6 étai</w:t>
      </w:r>
      <w:r>
        <w:rPr>
          <w:lang w:val="fr-CA"/>
        </w:rPr>
        <w:t xml:space="preserve">ent de nature administrative et </w:t>
      </w:r>
      <w:r w:rsidRPr="00AD3491">
        <w:rPr>
          <w:lang w:val="fr-CA"/>
        </w:rPr>
        <w:t xml:space="preserve">2 étaient attribuables à </w:t>
      </w:r>
      <w:r>
        <w:rPr>
          <w:lang w:val="fr-CA"/>
        </w:rPr>
        <w:t>des refus,</w:t>
      </w:r>
      <w:r w:rsidRPr="00AD3491">
        <w:rPr>
          <w:lang w:val="fr-CA"/>
        </w:rPr>
        <w:t xml:space="preserve"> 1 plainte n’était pa</w:t>
      </w:r>
      <w:r>
        <w:rPr>
          <w:lang w:val="fr-CA"/>
        </w:rPr>
        <w:t>s fondée et 5 ont été abandonnées.</w:t>
      </w:r>
    </w:p>
    <w:p w:rsidR="005476C3" w:rsidRDefault="005476C3">
      <w:pPr>
        <w:rPr>
          <w:lang w:val="fr-CA"/>
        </w:rPr>
      </w:pPr>
      <w:r>
        <w:rPr>
          <w:lang w:val="fr-CA"/>
        </w:rPr>
        <w:br w:type="page"/>
      </w:r>
    </w:p>
    <w:p w:rsidR="005476C3" w:rsidRPr="00111A3C" w:rsidRDefault="005476C3" w:rsidP="005476C3">
      <w:pPr>
        <w:pStyle w:val="Heading1"/>
      </w:pPr>
      <w:r w:rsidRPr="00111A3C">
        <w:lastRenderedPageBreak/>
        <w:t>Affaires mondiales Canada</w:t>
      </w:r>
      <w:r w:rsidRPr="00111A3C">
        <w:rPr>
          <w:rStyle w:val="FootnoteReference"/>
        </w:rPr>
        <w:footnoteReference w:id="49"/>
      </w:r>
    </w:p>
    <w:p w:rsidR="005476C3" w:rsidRPr="00111A3C" w:rsidRDefault="005476C3" w:rsidP="005476C3">
      <w:pPr>
        <w:jc w:val="both"/>
        <w:rPr>
          <w:b/>
          <w:color w:val="000000" w:themeColor="text1"/>
          <w:lang w:val="fr-CA"/>
        </w:rPr>
      </w:pPr>
      <w:r w:rsidRPr="00111A3C">
        <w:rPr>
          <w:rStyle w:val="Heading2Char"/>
        </w:rPr>
        <w:t>Rendement global</w:t>
      </w:r>
      <w:r w:rsidRPr="00BF170F">
        <w:rPr>
          <w:rStyle w:val="FootnoteReference"/>
          <w:b/>
          <w:color w:val="000000" w:themeColor="text1"/>
          <w:lang w:val="fr-CA"/>
        </w:rPr>
        <w:footnoteReference w:id="50"/>
      </w:r>
    </w:p>
    <w:p w:rsidR="005476C3" w:rsidRPr="00BF170F" w:rsidRDefault="005476C3" w:rsidP="005476C3">
      <w:pPr>
        <w:jc w:val="both"/>
        <w:rPr>
          <w:color w:val="000000" w:themeColor="text1"/>
          <w:lang w:val="fr-CA"/>
        </w:rPr>
      </w:pPr>
      <w:r>
        <w:rPr>
          <w:color w:val="000000" w:themeColor="text1"/>
          <w:lang w:val="fr-CA"/>
        </w:rPr>
        <w:t xml:space="preserve">En 2014-2015, </w:t>
      </w:r>
      <w:r w:rsidRPr="003674DB">
        <w:rPr>
          <w:color w:val="000000" w:themeColor="text1"/>
          <w:lang w:val="fr-CA"/>
        </w:rPr>
        <w:t>Affaires mondiales Canada (AMC)</w:t>
      </w:r>
      <w:r w:rsidRPr="003674DB">
        <w:rPr>
          <w:rStyle w:val="FootnoteReference"/>
          <w:b/>
          <w:lang w:val="fr-CA"/>
        </w:rPr>
        <w:footnoteReference w:id="51"/>
      </w:r>
      <w:r w:rsidRPr="003674DB">
        <w:rPr>
          <w:color w:val="000000" w:themeColor="text1"/>
          <w:lang w:val="fr-CA"/>
        </w:rPr>
        <w:t xml:space="preserve"> a </w:t>
      </w:r>
      <w:r>
        <w:rPr>
          <w:color w:val="000000" w:themeColor="text1"/>
          <w:lang w:val="fr-CA"/>
        </w:rPr>
        <w:t xml:space="preserve">reçu </w:t>
      </w:r>
      <w:r w:rsidRPr="003674DB">
        <w:rPr>
          <w:color w:val="000000" w:themeColor="text1"/>
          <w:lang w:val="fr-CA"/>
        </w:rPr>
        <w:t xml:space="preserve">24,9 % </w:t>
      </w:r>
      <w:r>
        <w:rPr>
          <w:color w:val="000000" w:themeColor="text1"/>
          <w:lang w:val="fr-CA"/>
        </w:rPr>
        <w:t xml:space="preserve">moins </w:t>
      </w:r>
      <w:r w:rsidRPr="003674DB">
        <w:rPr>
          <w:color w:val="000000" w:themeColor="text1"/>
          <w:lang w:val="fr-CA"/>
        </w:rPr>
        <w:t>de demandes</w:t>
      </w:r>
      <w:r>
        <w:rPr>
          <w:color w:val="000000" w:themeColor="text1"/>
          <w:lang w:val="fr-CA"/>
        </w:rPr>
        <w:t>. Le</w:t>
      </w:r>
      <w:r w:rsidRPr="003674DB">
        <w:rPr>
          <w:color w:val="000000" w:themeColor="text1"/>
          <w:lang w:val="fr-CA"/>
        </w:rPr>
        <w:t xml:space="preserve"> pourcentage de demandes complétées en 30 jours ou moins </w:t>
      </w:r>
      <w:r>
        <w:rPr>
          <w:color w:val="000000" w:themeColor="text1"/>
          <w:lang w:val="fr-CA"/>
        </w:rPr>
        <w:t>a diminué de 0,1 %.</w:t>
      </w:r>
      <w:r w:rsidRPr="003674DB">
        <w:rPr>
          <w:color w:val="000000" w:themeColor="text1"/>
          <w:lang w:val="fr-CA"/>
        </w:rPr>
        <w:t xml:space="preserve"> Le présent rapport contient des statistiques comparatives pour les trois dernières périodes (2012 à 2015).</w:t>
      </w:r>
    </w:p>
    <w:p w:rsidR="005476C3" w:rsidRPr="00111A3C" w:rsidRDefault="005476C3" w:rsidP="005476C3">
      <w:pPr>
        <w:pStyle w:val="Heading2"/>
      </w:pPr>
      <w:r w:rsidRPr="00111A3C">
        <w:t>Charge de travail</w:t>
      </w:r>
    </w:p>
    <w:p w:rsidR="005476C3" w:rsidRPr="00BF170F" w:rsidRDefault="005476C3" w:rsidP="005476C3">
      <w:pPr>
        <w:jc w:val="both"/>
        <w:rPr>
          <w:color w:val="000000" w:themeColor="text1"/>
          <w:lang w:val="fr-CA"/>
        </w:rPr>
      </w:pPr>
      <w:r w:rsidRPr="00BF170F">
        <w:rPr>
          <w:color w:val="000000" w:themeColor="text1"/>
          <w:lang w:val="fr-CA"/>
        </w:rPr>
        <w:t xml:space="preserve">AMC a reçu 871 demandes en vertu de la </w:t>
      </w:r>
      <w:r w:rsidRPr="00BF170F">
        <w:rPr>
          <w:i/>
          <w:color w:val="000000" w:themeColor="text1"/>
          <w:lang w:val="fr-CA"/>
        </w:rPr>
        <w:t>Loi sur l’accès à l‘information</w:t>
      </w:r>
      <w:r w:rsidRPr="00BF170F">
        <w:rPr>
          <w:color w:val="000000" w:themeColor="text1"/>
          <w:lang w:val="fr-CA"/>
        </w:rPr>
        <w:t xml:space="preserve"> (la </w:t>
      </w:r>
      <w:r w:rsidRPr="00BF170F">
        <w:rPr>
          <w:i/>
          <w:color w:val="000000" w:themeColor="text1"/>
          <w:lang w:val="fr-CA"/>
        </w:rPr>
        <w:t>Loi</w:t>
      </w:r>
      <w:r w:rsidRPr="00BF170F">
        <w:rPr>
          <w:color w:val="000000" w:themeColor="text1"/>
          <w:lang w:val="fr-CA"/>
        </w:rPr>
        <w:t xml:space="preserve">), représentant </w:t>
      </w:r>
      <w:r>
        <w:rPr>
          <w:color w:val="000000" w:themeColor="text1"/>
          <w:lang w:val="fr-CA"/>
        </w:rPr>
        <w:t>1,3</w:t>
      </w:r>
      <w:r w:rsidRPr="00BF170F">
        <w:rPr>
          <w:color w:val="000000" w:themeColor="text1"/>
          <w:lang w:val="fr-CA"/>
        </w:rPr>
        <w:t> % du nombre total de demandes reçues à l’échelle du gouvernement en 2014</w:t>
      </w:r>
      <w:r>
        <w:rPr>
          <w:color w:val="000000" w:themeColor="text1"/>
          <w:lang w:val="fr-CA"/>
        </w:rPr>
        <w:t>-</w:t>
      </w:r>
      <w:r w:rsidRPr="00BF170F">
        <w:rPr>
          <w:color w:val="000000" w:themeColor="text1"/>
          <w:lang w:val="fr-CA"/>
        </w:rPr>
        <w:t>2015. La majorité des demandes reçues provenaient des médias (</w:t>
      </w:r>
      <w:r>
        <w:rPr>
          <w:color w:val="000000" w:themeColor="text1"/>
          <w:lang w:val="fr-CA"/>
        </w:rPr>
        <w:t>54,8</w:t>
      </w:r>
      <w:r w:rsidRPr="00BF170F">
        <w:rPr>
          <w:color w:val="000000" w:themeColor="text1"/>
          <w:lang w:val="fr-CA"/>
        </w:rPr>
        <w:t> %</w:t>
      </w:r>
      <w:r>
        <w:rPr>
          <w:color w:val="000000" w:themeColor="text1"/>
          <w:lang w:val="fr-CA"/>
        </w:rPr>
        <w:t xml:space="preserve">) et du public (21,0 %). Le nombre de </w:t>
      </w:r>
      <w:r w:rsidRPr="00BF170F">
        <w:rPr>
          <w:color w:val="000000" w:themeColor="text1"/>
          <w:lang w:val="fr-CA"/>
        </w:rPr>
        <w:t xml:space="preserve">demandes reçues des organisations </w:t>
      </w:r>
      <w:r>
        <w:rPr>
          <w:color w:val="000000" w:themeColor="text1"/>
          <w:lang w:val="fr-CA"/>
        </w:rPr>
        <w:t>ont</w:t>
      </w:r>
      <w:r w:rsidRPr="00BF170F">
        <w:rPr>
          <w:color w:val="000000" w:themeColor="text1"/>
          <w:lang w:val="fr-CA"/>
        </w:rPr>
        <w:t xml:space="preserve"> chuté de </w:t>
      </w:r>
      <w:r>
        <w:rPr>
          <w:color w:val="000000" w:themeColor="text1"/>
          <w:lang w:val="fr-CA"/>
        </w:rPr>
        <w:t>45,2</w:t>
      </w:r>
      <w:r w:rsidRPr="00BF170F">
        <w:rPr>
          <w:color w:val="000000" w:themeColor="text1"/>
          <w:lang w:val="fr-CA"/>
        </w:rPr>
        <w:t> % par ra</w:t>
      </w:r>
      <w:r>
        <w:rPr>
          <w:color w:val="000000" w:themeColor="text1"/>
          <w:lang w:val="fr-CA"/>
        </w:rPr>
        <w:t>pport à la période précédente.</w:t>
      </w:r>
    </w:p>
    <w:p w:rsidR="005476C3" w:rsidRPr="007155A5" w:rsidRDefault="005476C3" w:rsidP="005476C3">
      <w:pPr>
        <w:jc w:val="both"/>
        <w:rPr>
          <w:lang w:val="fr-CA"/>
        </w:rPr>
      </w:pPr>
      <w:r w:rsidRPr="00BF170F">
        <w:rPr>
          <w:color w:val="000000" w:themeColor="text1"/>
          <w:lang w:val="fr-CA"/>
        </w:rPr>
        <w:t xml:space="preserve">AMC </w:t>
      </w:r>
      <w:r>
        <w:rPr>
          <w:color w:val="000000" w:themeColor="text1"/>
          <w:lang w:val="fr-CA"/>
        </w:rPr>
        <w:t>a complété 98</w:t>
      </w:r>
      <w:r w:rsidRPr="00BF170F">
        <w:rPr>
          <w:color w:val="000000" w:themeColor="text1"/>
          <w:lang w:val="fr-CA"/>
        </w:rPr>
        <w:t xml:space="preserve">4 demandes pour la période de référence </w:t>
      </w:r>
      <w:r>
        <w:rPr>
          <w:color w:val="000000" w:themeColor="text1"/>
          <w:lang w:val="fr-CA"/>
        </w:rPr>
        <w:t>actuelle</w:t>
      </w:r>
      <w:r w:rsidRPr="00BF170F">
        <w:rPr>
          <w:color w:val="000000" w:themeColor="text1"/>
          <w:lang w:val="fr-CA"/>
        </w:rPr>
        <w:t xml:space="preserve">, soit </w:t>
      </w:r>
      <w:r>
        <w:rPr>
          <w:color w:val="000000" w:themeColor="text1"/>
          <w:lang w:val="fr-CA"/>
        </w:rPr>
        <w:t>un peu plus</w:t>
      </w:r>
      <w:r w:rsidRPr="00BF170F">
        <w:rPr>
          <w:color w:val="000000" w:themeColor="text1"/>
          <w:lang w:val="fr-CA"/>
        </w:rPr>
        <w:t xml:space="preserve"> que le nombre de demandes reçues. Le taux d’achèvement</w:t>
      </w:r>
      <w:r>
        <w:rPr>
          <w:rStyle w:val="FootnoteReference"/>
          <w:color w:val="000000" w:themeColor="text1"/>
          <w:lang w:val="fr-CA"/>
        </w:rPr>
        <w:footnoteReference w:id="52"/>
      </w:r>
      <w:r w:rsidRPr="00BF170F">
        <w:rPr>
          <w:color w:val="000000" w:themeColor="text1"/>
          <w:lang w:val="fr-CA"/>
        </w:rPr>
        <w:t xml:space="preserve"> était de 71,9 %, soit inférieur à celui rapporté pour l’ensemble du gouvernement</w:t>
      </w:r>
      <w:r>
        <w:rPr>
          <w:color w:val="000000" w:themeColor="text1"/>
          <w:lang w:val="fr-CA"/>
        </w:rPr>
        <w:t xml:space="preserve"> qui lui, était de 85,1 %</w:t>
      </w:r>
      <w:r w:rsidRPr="00BF170F">
        <w:rPr>
          <w:color w:val="000000" w:themeColor="text1"/>
          <w:lang w:val="fr-CA"/>
        </w:rPr>
        <w:t>. En 2013</w:t>
      </w:r>
      <w:r>
        <w:rPr>
          <w:color w:val="000000" w:themeColor="text1"/>
          <w:lang w:val="fr-CA"/>
        </w:rPr>
        <w:t>-</w:t>
      </w:r>
      <w:r w:rsidRPr="00BF170F">
        <w:rPr>
          <w:color w:val="000000" w:themeColor="text1"/>
          <w:lang w:val="fr-CA"/>
        </w:rPr>
        <w:t xml:space="preserve">2014, le taux d’achèvement pour AMC était de </w:t>
      </w:r>
      <w:r>
        <w:rPr>
          <w:color w:val="000000" w:themeColor="text1"/>
          <w:lang w:val="fr-CA"/>
        </w:rPr>
        <w:t>54,7</w:t>
      </w:r>
      <w:r w:rsidRPr="00BF170F">
        <w:rPr>
          <w:color w:val="000000" w:themeColor="text1"/>
          <w:lang w:val="fr-CA"/>
        </w:rPr>
        <w:t> %. AMC a</w:t>
      </w:r>
      <w:r>
        <w:rPr>
          <w:color w:val="000000" w:themeColor="text1"/>
          <w:lang w:val="fr-CA"/>
        </w:rPr>
        <w:t xml:space="preserve"> aussi</w:t>
      </w:r>
      <w:r w:rsidRPr="00BF170F">
        <w:rPr>
          <w:color w:val="000000" w:themeColor="text1"/>
          <w:lang w:val="fr-CA"/>
        </w:rPr>
        <w:t xml:space="preserve"> reçu 744 demandes informelles en 2014</w:t>
      </w:r>
      <w:r>
        <w:rPr>
          <w:color w:val="000000" w:themeColor="text1"/>
          <w:lang w:val="fr-CA"/>
        </w:rPr>
        <w:t>-</w:t>
      </w:r>
      <w:r w:rsidRPr="00BF170F">
        <w:rPr>
          <w:color w:val="000000" w:themeColor="text1"/>
          <w:lang w:val="fr-CA"/>
        </w:rPr>
        <w:t xml:space="preserve">2015, dont 42,2 % </w:t>
      </w:r>
      <w:r>
        <w:rPr>
          <w:color w:val="000000" w:themeColor="text1"/>
          <w:lang w:val="fr-CA"/>
        </w:rPr>
        <w:t xml:space="preserve">qui </w:t>
      </w:r>
      <w:r w:rsidRPr="00BF170F">
        <w:rPr>
          <w:color w:val="000000" w:themeColor="text1"/>
          <w:lang w:val="fr-CA"/>
        </w:rPr>
        <w:t>ont été traitées en 30 </w:t>
      </w:r>
      <w:r w:rsidRPr="007155A5">
        <w:rPr>
          <w:color w:val="000000" w:themeColor="text1"/>
          <w:lang w:val="fr-CA"/>
        </w:rPr>
        <w:t xml:space="preserve">jours ou moins. </w:t>
      </w:r>
      <w:r w:rsidRPr="007155A5">
        <w:rPr>
          <w:lang w:val="fr-CA"/>
        </w:rPr>
        <w:t xml:space="preserve">Le nombre de demandes de consultation reçues par AMC en provenance d’autres institutions fédérales a diminué de 898 à 645, ce qui représente une baisse de </w:t>
      </w:r>
      <w:r>
        <w:rPr>
          <w:lang w:val="fr-CA"/>
        </w:rPr>
        <w:t>28,2 % par rapport à 2013-</w:t>
      </w:r>
      <w:r w:rsidRPr="007155A5">
        <w:rPr>
          <w:lang w:val="fr-CA"/>
        </w:rPr>
        <w:t>2014.</w:t>
      </w:r>
    </w:p>
    <w:p w:rsidR="005476C3" w:rsidRPr="007155A5" w:rsidRDefault="005476C3" w:rsidP="005476C3">
      <w:pPr>
        <w:jc w:val="both"/>
        <w:rPr>
          <w:color w:val="000000" w:themeColor="text1"/>
          <w:lang w:val="fr-CA"/>
        </w:rPr>
      </w:pPr>
      <w:r w:rsidRPr="007155A5">
        <w:rPr>
          <w:color w:val="000000" w:themeColor="text1"/>
          <w:lang w:val="fr-CA"/>
        </w:rPr>
        <w:t xml:space="preserve">AMC a traité 156 160 pages lors de cette période. Le nombre moyen de pages traitées par demande </w:t>
      </w:r>
      <w:r>
        <w:rPr>
          <w:color w:val="000000" w:themeColor="text1"/>
          <w:lang w:val="fr-CA"/>
        </w:rPr>
        <w:t>complétée</w:t>
      </w:r>
      <w:r w:rsidRPr="007155A5">
        <w:rPr>
          <w:color w:val="000000" w:themeColor="text1"/>
          <w:lang w:val="fr-CA"/>
        </w:rPr>
        <w:t xml:space="preserve"> a augmenté, passant </w:t>
      </w:r>
      <w:r>
        <w:rPr>
          <w:color w:val="000000" w:themeColor="text1"/>
          <w:lang w:val="fr-CA"/>
        </w:rPr>
        <w:t>de 162</w:t>
      </w:r>
      <w:r w:rsidRPr="007155A5">
        <w:rPr>
          <w:color w:val="000000" w:themeColor="text1"/>
          <w:lang w:val="fr-CA"/>
        </w:rPr>
        <w:t xml:space="preserve"> en 2013</w:t>
      </w:r>
      <w:r>
        <w:rPr>
          <w:color w:val="000000" w:themeColor="text1"/>
          <w:lang w:val="fr-CA"/>
        </w:rPr>
        <w:t>-</w:t>
      </w:r>
      <w:r w:rsidRPr="007155A5">
        <w:rPr>
          <w:color w:val="000000" w:themeColor="text1"/>
          <w:lang w:val="fr-CA"/>
        </w:rPr>
        <w:t>2014 à 183 en 2014</w:t>
      </w:r>
      <w:r>
        <w:rPr>
          <w:color w:val="000000" w:themeColor="text1"/>
          <w:lang w:val="fr-CA"/>
        </w:rPr>
        <w:t>-2015.</w:t>
      </w:r>
    </w:p>
    <w:p w:rsidR="005476C3" w:rsidRPr="00111A3C" w:rsidRDefault="005476C3" w:rsidP="005476C3">
      <w:pPr>
        <w:jc w:val="both"/>
        <w:rPr>
          <w:color w:val="000000" w:themeColor="text1"/>
          <w:lang w:val="fr-CA"/>
        </w:rPr>
      </w:pPr>
      <w:r w:rsidRPr="007155A5">
        <w:rPr>
          <w:color w:val="000000" w:themeColor="text1"/>
          <w:lang w:val="fr-CA"/>
        </w:rPr>
        <w:t xml:space="preserve">L’information diffusée par AMC était </w:t>
      </w:r>
      <w:r w:rsidRPr="007155A5">
        <w:rPr>
          <w:lang w:val="fr-CA"/>
        </w:rPr>
        <w:t>majoritairement</w:t>
      </w:r>
      <w:r w:rsidRPr="007155A5">
        <w:rPr>
          <w:color w:val="000000" w:themeColor="text1"/>
          <w:lang w:val="fr-CA"/>
        </w:rPr>
        <w:t xml:space="preserve"> en format papier: 382 en format papier par rapport à 253 en format électronique.</w:t>
      </w:r>
    </w:p>
    <w:p w:rsidR="005476C3" w:rsidRPr="00111A3C" w:rsidRDefault="005476C3" w:rsidP="00BA2BE8">
      <w:pPr>
        <w:pStyle w:val="Heading3"/>
      </w:pPr>
      <w:r w:rsidRPr="00111A3C">
        <w:t xml:space="preserve">Tableau </w:t>
      </w:r>
      <w:proofErr w:type="gramStart"/>
      <w:r w:rsidRPr="00111A3C">
        <w:t>1 :</w:t>
      </w:r>
      <w:proofErr w:type="gramEnd"/>
      <w:r w:rsidRPr="00111A3C">
        <w:t xml:space="preserve"> Charge de travail</w:t>
      </w:r>
    </w:p>
    <w:tbl>
      <w:tblPr>
        <w:tblW w:w="4943" w:type="pct"/>
        <w:tblInd w:w="108" w:type="dxa"/>
        <w:tblLook w:val="04A0"/>
      </w:tblPr>
      <w:tblGrid>
        <w:gridCol w:w="5882"/>
        <w:gridCol w:w="1199"/>
        <w:gridCol w:w="1199"/>
        <w:gridCol w:w="1187"/>
      </w:tblGrid>
      <w:tr w:rsidR="005476C3" w:rsidRPr="00BF170F" w:rsidTr="005476C3">
        <w:trPr>
          <w:trHeight w:val="229"/>
        </w:trPr>
        <w:tc>
          <w:tcPr>
            <w:tcW w:w="3106" w:type="pct"/>
            <w:tcBorders>
              <w:top w:val="single" w:sz="4" w:space="0" w:color="auto"/>
              <w:left w:val="single" w:sz="4" w:space="0" w:color="auto"/>
              <w:right w:val="nil"/>
            </w:tcBorders>
            <w:shd w:val="clear" w:color="auto" w:fill="auto"/>
            <w:noWrap/>
            <w:vAlign w:val="bottom"/>
            <w:hideMark/>
          </w:tcPr>
          <w:p w:rsidR="005476C3" w:rsidRPr="00BF170F" w:rsidRDefault="005476C3" w:rsidP="005476C3">
            <w:pPr>
              <w:spacing w:after="0" w:line="240" w:lineRule="auto"/>
              <w:rPr>
                <w:rFonts w:ascii="Calibri" w:eastAsia="Times New Roman" w:hAnsi="Calibri" w:cs="Times New Roman"/>
                <w:color w:val="000000"/>
                <w:lang w:val="fr-CA"/>
              </w:rPr>
            </w:pPr>
            <w:r w:rsidRPr="00BF170F">
              <w:rPr>
                <w:rFonts w:ascii="Calibri" w:eastAsia="Times New Roman" w:hAnsi="Calibri" w:cs="Times New Roman"/>
                <w:color w:val="000000"/>
                <w:lang w:val="fr-CA"/>
              </w:rPr>
              <w:t xml:space="preserve">Mesures </w:t>
            </w:r>
          </w:p>
        </w:tc>
        <w:tc>
          <w:tcPr>
            <w:tcW w:w="633" w:type="pct"/>
            <w:tcBorders>
              <w:top w:val="single" w:sz="4" w:space="0" w:color="auto"/>
              <w:left w:val="nil"/>
              <w:right w:val="nil"/>
            </w:tcBorders>
            <w:vAlign w:val="bottom"/>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2012</w:t>
            </w:r>
            <w:r w:rsidRPr="00BF170F">
              <w:rPr>
                <w:rFonts w:ascii="Calibri" w:eastAsia="Times New Roman" w:hAnsi="Calibri" w:cs="Times New Roman"/>
                <w:color w:val="000000"/>
                <w:lang w:val="fr-CA"/>
              </w:rPr>
              <w:t>-201</w:t>
            </w:r>
            <w:r>
              <w:rPr>
                <w:rFonts w:ascii="Calibri" w:eastAsia="Times New Roman" w:hAnsi="Calibri" w:cs="Times New Roman"/>
                <w:color w:val="000000"/>
                <w:lang w:val="fr-CA"/>
              </w:rPr>
              <w:t>3</w:t>
            </w:r>
          </w:p>
        </w:tc>
        <w:tc>
          <w:tcPr>
            <w:tcW w:w="633" w:type="pct"/>
            <w:tcBorders>
              <w:top w:val="single" w:sz="4" w:space="0" w:color="auto"/>
              <w:left w:val="nil"/>
              <w:right w:val="nil"/>
            </w:tcBorders>
            <w:shd w:val="clear" w:color="auto" w:fill="auto"/>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sidRPr="00BF170F">
              <w:rPr>
                <w:rFonts w:ascii="Calibri" w:eastAsia="Times New Roman" w:hAnsi="Calibri" w:cs="Times New Roman"/>
                <w:color w:val="000000"/>
                <w:lang w:val="fr-CA"/>
              </w:rPr>
              <w:t>2013-2014</w:t>
            </w:r>
          </w:p>
        </w:tc>
        <w:tc>
          <w:tcPr>
            <w:tcW w:w="627" w:type="pct"/>
            <w:tcBorders>
              <w:top w:val="single" w:sz="4" w:space="0" w:color="auto"/>
              <w:left w:val="nil"/>
              <w:right w:val="single" w:sz="4" w:space="0" w:color="auto"/>
            </w:tcBorders>
            <w:shd w:val="clear" w:color="auto" w:fill="auto"/>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sidRPr="00BF170F">
              <w:rPr>
                <w:rFonts w:ascii="Calibri" w:eastAsia="Times New Roman" w:hAnsi="Calibri" w:cs="Times New Roman"/>
                <w:color w:val="000000"/>
                <w:lang w:val="fr-CA"/>
              </w:rPr>
              <w:t>2014-2015</w:t>
            </w:r>
          </w:p>
        </w:tc>
      </w:tr>
      <w:tr w:rsidR="005476C3" w:rsidRPr="00BF170F" w:rsidTr="005476C3">
        <w:trPr>
          <w:trHeight w:val="329"/>
        </w:trPr>
        <w:tc>
          <w:tcPr>
            <w:tcW w:w="3106" w:type="pct"/>
            <w:tcBorders>
              <w:top w:val="nil"/>
              <w:left w:val="single" w:sz="4" w:space="0" w:color="auto"/>
              <w:bottom w:val="nil"/>
              <w:right w:val="nil"/>
            </w:tcBorders>
            <w:shd w:val="clear" w:color="000000" w:fill="DBE5F1"/>
            <w:noWrap/>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t xml:space="preserve">Nombre de demandes reçues </w:t>
            </w:r>
          </w:p>
        </w:tc>
        <w:tc>
          <w:tcPr>
            <w:tcW w:w="633" w:type="pct"/>
            <w:tcBorders>
              <w:top w:val="nil"/>
              <w:left w:val="nil"/>
              <w:bottom w:val="nil"/>
              <w:right w:val="nil"/>
            </w:tcBorders>
            <w:shd w:val="clear" w:color="000000" w:fill="DBE5F1"/>
            <w:vAlign w:val="center"/>
          </w:tcPr>
          <w:p w:rsidR="005476C3" w:rsidRPr="003674DB" w:rsidRDefault="005476C3" w:rsidP="005476C3">
            <w:pPr>
              <w:spacing w:after="0" w:line="240" w:lineRule="auto"/>
              <w:jc w:val="center"/>
              <w:rPr>
                <w:rFonts w:ascii="Calibri" w:eastAsia="Times New Roman" w:hAnsi="Calibri" w:cs="Times New Roman"/>
                <w:b/>
                <w:bCs/>
                <w:color w:val="000000"/>
                <w:lang w:val="fr-CA"/>
              </w:rPr>
            </w:pPr>
            <w:r w:rsidRPr="003674DB">
              <w:rPr>
                <w:rFonts w:ascii="Calibri" w:eastAsia="Times New Roman" w:hAnsi="Calibri" w:cs="Times New Roman"/>
                <w:b/>
                <w:bCs/>
                <w:color w:val="000000"/>
                <w:lang w:val="fr-CA"/>
              </w:rPr>
              <w:t>1</w:t>
            </w:r>
            <w:r>
              <w:rPr>
                <w:rFonts w:ascii="Calibri" w:eastAsia="Times New Roman" w:hAnsi="Calibri" w:cs="Times New Roman"/>
                <w:b/>
                <w:bCs/>
                <w:color w:val="000000"/>
                <w:lang w:val="fr-CA"/>
              </w:rPr>
              <w:t xml:space="preserve"> </w:t>
            </w:r>
            <w:r w:rsidRPr="003674DB">
              <w:rPr>
                <w:rFonts w:ascii="Calibri" w:eastAsia="Times New Roman" w:hAnsi="Calibri" w:cs="Times New Roman"/>
                <w:b/>
                <w:bCs/>
                <w:color w:val="000000"/>
                <w:lang w:val="fr-CA"/>
              </w:rPr>
              <w:t>148</w:t>
            </w:r>
          </w:p>
        </w:tc>
        <w:tc>
          <w:tcPr>
            <w:tcW w:w="633" w:type="pct"/>
            <w:tcBorders>
              <w:top w:val="nil"/>
              <w:left w:val="nil"/>
              <w:bottom w:val="nil"/>
              <w:right w:val="nil"/>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Pr>
                <w:rFonts w:ascii="Calibri" w:eastAsia="Times New Roman" w:hAnsi="Calibri" w:cs="Times New Roman"/>
                <w:b/>
                <w:bCs/>
                <w:color w:val="000000"/>
                <w:lang w:val="fr-CA"/>
              </w:rPr>
              <w:t>1 159</w:t>
            </w:r>
          </w:p>
        </w:tc>
        <w:tc>
          <w:tcPr>
            <w:tcW w:w="627" w:type="pct"/>
            <w:tcBorders>
              <w:top w:val="nil"/>
              <w:left w:val="nil"/>
              <w:bottom w:val="nil"/>
              <w:right w:val="single" w:sz="4" w:space="0" w:color="auto"/>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sidRPr="00BF170F">
              <w:rPr>
                <w:rFonts w:ascii="Calibri" w:eastAsia="Times New Roman" w:hAnsi="Calibri" w:cs="Times New Roman"/>
                <w:b/>
                <w:bCs/>
                <w:color w:val="000000"/>
                <w:lang w:val="fr-CA"/>
              </w:rPr>
              <w:t>871</w:t>
            </w:r>
          </w:p>
        </w:tc>
      </w:tr>
      <w:tr w:rsidR="005476C3" w:rsidRPr="00BF170F" w:rsidTr="005476C3">
        <w:trPr>
          <w:trHeight w:val="241"/>
        </w:trPr>
        <w:tc>
          <w:tcPr>
            <w:tcW w:w="3106" w:type="pct"/>
            <w:tcBorders>
              <w:top w:val="nil"/>
              <w:left w:val="single" w:sz="4" w:space="0" w:color="auto"/>
              <w:bottom w:val="nil"/>
              <w:right w:val="nil"/>
            </w:tcBorders>
            <w:shd w:val="clear" w:color="auto" w:fill="auto"/>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t>Variation annuelle en %</w:t>
            </w:r>
          </w:p>
        </w:tc>
        <w:tc>
          <w:tcPr>
            <w:tcW w:w="633" w:type="pct"/>
            <w:tcBorders>
              <w:top w:val="nil"/>
              <w:left w:val="nil"/>
              <w:bottom w:val="nil"/>
              <w:right w:val="nil"/>
            </w:tcBorders>
            <w:vAlign w:val="center"/>
          </w:tcPr>
          <w:p w:rsidR="005476C3" w:rsidRPr="003674DB" w:rsidRDefault="005476C3" w:rsidP="005476C3">
            <w:pPr>
              <w:spacing w:after="0" w:line="240" w:lineRule="auto"/>
              <w:jc w:val="center"/>
              <w:rPr>
                <w:rFonts w:ascii="Calibri" w:eastAsia="Times New Roman" w:hAnsi="Calibri" w:cs="Times New Roman"/>
                <w:color w:val="000000"/>
                <w:lang w:val="fr-CA"/>
              </w:rPr>
            </w:pPr>
            <w:r w:rsidRPr="003674DB">
              <w:rPr>
                <w:rFonts w:ascii="Calibri" w:eastAsia="Times New Roman" w:hAnsi="Calibri" w:cs="Times New Roman"/>
                <w:color w:val="000000"/>
                <w:lang w:val="fr-CA"/>
              </w:rPr>
              <w:t>-</w:t>
            </w:r>
          </w:p>
        </w:tc>
        <w:tc>
          <w:tcPr>
            <w:tcW w:w="633" w:type="pct"/>
            <w:tcBorders>
              <w:top w:val="nil"/>
              <w:left w:val="nil"/>
              <w:bottom w:val="nil"/>
              <w:right w:val="nil"/>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 xml:space="preserve">1,0 </w:t>
            </w:r>
            <w:r w:rsidRPr="00BF170F">
              <w:rPr>
                <w:rFonts w:ascii="Calibri" w:eastAsia="Times New Roman" w:hAnsi="Calibri" w:cs="Times New Roman"/>
                <w:color w:val="000000"/>
                <w:lang w:val="fr-CA"/>
              </w:rPr>
              <w:t>%</w:t>
            </w:r>
          </w:p>
        </w:tc>
        <w:tc>
          <w:tcPr>
            <w:tcW w:w="627" w:type="pct"/>
            <w:tcBorders>
              <w:top w:val="nil"/>
              <w:left w:val="nil"/>
              <w:bottom w:val="nil"/>
              <w:right w:val="single" w:sz="4" w:space="0" w:color="auto"/>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-24,8 </w:t>
            </w:r>
            <w:r w:rsidRPr="00BF170F">
              <w:rPr>
                <w:rFonts w:ascii="Calibri" w:eastAsia="Times New Roman" w:hAnsi="Calibri" w:cs="Times New Roman"/>
                <w:color w:val="000000"/>
                <w:lang w:val="fr-CA"/>
              </w:rPr>
              <w:t>%</w:t>
            </w:r>
          </w:p>
        </w:tc>
      </w:tr>
      <w:tr w:rsidR="005476C3" w:rsidRPr="00BF170F" w:rsidTr="005476C3">
        <w:trPr>
          <w:trHeight w:val="219"/>
        </w:trPr>
        <w:tc>
          <w:tcPr>
            <w:tcW w:w="3106" w:type="pct"/>
            <w:tcBorders>
              <w:top w:val="nil"/>
              <w:left w:val="single" w:sz="4" w:space="0" w:color="auto"/>
              <w:bottom w:val="nil"/>
              <w:right w:val="nil"/>
            </w:tcBorders>
            <w:shd w:val="clear" w:color="000000" w:fill="DBE5F1"/>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t>Demandes complétées</w:t>
            </w:r>
          </w:p>
        </w:tc>
        <w:tc>
          <w:tcPr>
            <w:tcW w:w="633" w:type="pct"/>
            <w:tcBorders>
              <w:top w:val="nil"/>
              <w:left w:val="nil"/>
              <w:bottom w:val="nil"/>
              <w:right w:val="nil"/>
            </w:tcBorders>
            <w:shd w:val="clear" w:color="000000" w:fill="DBE5F1"/>
            <w:vAlign w:val="center"/>
          </w:tcPr>
          <w:p w:rsidR="005476C3" w:rsidRPr="003674DB" w:rsidRDefault="005476C3" w:rsidP="005476C3">
            <w:pPr>
              <w:spacing w:after="0" w:line="240" w:lineRule="auto"/>
              <w:jc w:val="center"/>
              <w:rPr>
                <w:rFonts w:ascii="Calibri" w:eastAsia="Times New Roman" w:hAnsi="Calibri" w:cs="Times New Roman"/>
                <w:b/>
                <w:bCs/>
                <w:color w:val="000000"/>
                <w:lang w:val="fr-CA"/>
              </w:rPr>
            </w:pPr>
            <w:r w:rsidRPr="003674DB">
              <w:rPr>
                <w:rFonts w:ascii="Calibri" w:eastAsia="Times New Roman" w:hAnsi="Calibri" w:cs="Times New Roman"/>
                <w:b/>
                <w:bCs/>
                <w:color w:val="000000"/>
                <w:lang w:val="fr-CA"/>
              </w:rPr>
              <w:t>1</w:t>
            </w:r>
            <w:r>
              <w:rPr>
                <w:rFonts w:ascii="Calibri" w:eastAsia="Times New Roman" w:hAnsi="Calibri" w:cs="Times New Roman"/>
                <w:b/>
                <w:bCs/>
                <w:color w:val="000000"/>
                <w:lang w:val="fr-CA"/>
              </w:rPr>
              <w:t xml:space="preserve"> </w:t>
            </w:r>
            <w:r w:rsidRPr="003674DB">
              <w:rPr>
                <w:rFonts w:ascii="Calibri" w:eastAsia="Times New Roman" w:hAnsi="Calibri" w:cs="Times New Roman"/>
                <w:b/>
                <w:bCs/>
                <w:color w:val="000000"/>
                <w:lang w:val="fr-CA"/>
              </w:rPr>
              <w:t>033</w:t>
            </w:r>
          </w:p>
        </w:tc>
        <w:tc>
          <w:tcPr>
            <w:tcW w:w="633" w:type="pct"/>
            <w:tcBorders>
              <w:top w:val="nil"/>
              <w:left w:val="nil"/>
              <w:bottom w:val="nil"/>
              <w:right w:val="nil"/>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Pr>
                <w:rFonts w:ascii="Calibri" w:eastAsia="Times New Roman" w:hAnsi="Calibri" w:cs="Times New Roman"/>
                <w:b/>
                <w:bCs/>
                <w:color w:val="000000"/>
                <w:lang w:val="fr-CA"/>
              </w:rPr>
              <w:t>1 290</w:t>
            </w:r>
          </w:p>
        </w:tc>
        <w:tc>
          <w:tcPr>
            <w:tcW w:w="627" w:type="pct"/>
            <w:tcBorders>
              <w:top w:val="nil"/>
              <w:left w:val="nil"/>
              <w:bottom w:val="nil"/>
              <w:right w:val="single" w:sz="4" w:space="0" w:color="auto"/>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sidRPr="00BF170F">
              <w:rPr>
                <w:rFonts w:ascii="Calibri" w:eastAsia="Times New Roman" w:hAnsi="Calibri" w:cs="Times New Roman"/>
                <w:b/>
                <w:bCs/>
                <w:color w:val="000000"/>
                <w:lang w:val="fr-CA"/>
              </w:rPr>
              <w:t>984</w:t>
            </w:r>
          </w:p>
        </w:tc>
      </w:tr>
      <w:tr w:rsidR="005476C3" w:rsidRPr="00BF170F" w:rsidTr="005476C3">
        <w:trPr>
          <w:trHeight w:val="229"/>
        </w:trPr>
        <w:tc>
          <w:tcPr>
            <w:tcW w:w="3106" w:type="pct"/>
            <w:tcBorders>
              <w:top w:val="nil"/>
              <w:left w:val="single" w:sz="4" w:space="0" w:color="auto"/>
              <w:right w:val="nil"/>
            </w:tcBorders>
            <w:shd w:val="clear" w:color="auto" w:fill="auto"/>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t>Variation annuelle en %</w:t>
            </w:r>
          </w:p>
        </w:tc>
        <w:tc>
          <w:tcPr>
            <w:tcW w:w="633" w:type="pct"/>
            <w:tcBorders>
              <w:top w:val="nil"/>
              <w:left w:val="nil"/>
              <w:right w:val="nil"/>
            </w:tcBorders>
            <w:vAlign w:val="center"/>
          </w:tcPr>
          <w:p w:rsidR="005476C3" w:rsidRPr="003674DB" w:rsidRDefault="005476C3" w:rsidP="005476C3">
            <w:pPr>
              <w:spacing w:after="0" w:line="240" w:lineRule="auto"/>
              <w:jc w:val="center"/>
              <w:rPr>
                <w:rFonts w:ascii="Calibri" w:eastAsia="Times New Roman" w:hAnsi="Calibri" w:cs="Times New Roman"/>
                <w:color w:val="000000"/>
                <w:lang w:val="fr-CA"/>
              </w:rPr>
            </w:pPr>
            <w:r w:rsidRPr="003674DB">
              <w:rPr>
                <w:rFonts w:ascii="Calibri" w:eastAsia="Times New Roman" w:hAnsi="Calibri" w:cs="Times New Roman"/>
                <w:color w:val="000000"/>
                <w:lang w:val="fr-CA"/>
              </w:rPr>
              <w:t>-</w:t>
            </w:r>
          </w:p>
        </w:tc>
        <w:tc>
          <w:tcPr>
            <w:tcW w:w="633" w:type="pct"/>
            <w:tcBorders>
              <w:top w:val="nil"/>
              <w:left w:val="nil"/>
              <w:right w:val="nil"/>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24,9 </w:t>
            </w:r>
            <w:r w:rsidRPr="00BF170F">
              <w:rPr>
                <w:rFonts w:ascii="Calibri" w:eastAsia="Times New Roman" w:hAnsi="Calibri" w:cs="Times New Roman"/>
                <w:color w:val="000000"/>
                <w:lang w:val="fr-CA"/>
              </w:rPr>
              <w:t>%</w:t>
            </w:r>
          </w:p>
        </w:tc>
        <w:tc>
          <w:tcPr>
            <w:tcW w:w="627" w:type="pct"/>
            <w:tcBorders>
              <w:top w:val="nil"/>
              <w:left w:val="nil"/>
              <w:right w:val="single" w:sz="4" w:space="0" w:color="auto"/>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-23,7 </w:t>
            </w:r>
            <w:r w:rsidRPr="00BF170F">
              <w:rPr>
                <w:rFonts w:ascii="Calibri" w:eastAsia="Times New Roman" w:hAnsi="Calibri" w:cs="Times New Roman"/>
                <w:color w:val="000000"/>
                <w:lang w:val="fr-CA"/>
              </w:rPr>
              <w:t>%</w:t>
            </w:r>
          </w:p>
        </w:tc>
      </w:tr>
      <w:tr w:rsidR="005476C3" w:rsidRPr="00BF170F" w:rsidTr="005476C3">
        <w:trPr>
          <w:trHeight w:val="380"/>
        </w:trPr>
        <w:tc>
          <w:tcPr>
            <w:tcW w:w="3106" w:type="pct"/>
            <w:tcBorders>
              <w:top w:val="nil"/>
              <w:left w:val="single" w:sz="4" w:space="0" w:color="auto"/>
              <w:right w:val="nil"/>
            </w:tcBorders>
            <w:shd w:val="clear" w:color="000000" w:fill="DBE5F1"/>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t xml:space="preserve">Nombre de demandes de consultation reçues (d’autres </w:t>
            </w:r>
            <w:r w:rsidRPr="003674DB">
              <w:rPr>
                <w:rFonts w:ascii="Calibri" w:eastAsia="Times New Roman" w:hAnsi="Calibri" w:cs="Times New Roman"/>
                <w:color w:val="000000"/>
                <w:lang w:val="fr-CA"/>
              </w:rPr>
              <w:lastRenderedPageBreak/>
              <w:t>institutions fédérales)</w:t>
            </w:r>
          </w:p>
        </w:tc>
        <w:tc>
          <w:tcPr>
            <w:tcW w:w="633" w:type="pct"/>
            <w:tcBorders>
              <w:top w:val="nil"/>
              <w:left w:val="nil"/>
              <w:right w:val="nil"/>
            </w:tcBorders>
            <w:shd w:val="clear" w:color="000000" w:fill="DBE5F1"/>
            <w:vAlign w:val="center"/>
          </w:tcPr>
          <w:p w:rsidR="005476C3" w:rsidRPr="003674DB" w:rsidRDefault="005476C3" w:rsidP="005476C3">
            <w:pPr>
              <w:spacing w:after="0" w:line="240" w:lineRule="auto"/>
              <w:jc w:val="center"/>
              <w:rPr>
                <w:rFonts w:ascii="Calibri" w:eastAsia="Times New Roman" w:hAnsi="Calibri" w:cs="Times New Roman"/>
                <w:b/>
                <w:bCs/>
                <w:color w:val="000000"/>
                <w:lang w:val="fr-CA"/>
              </w:rPr>
            </w:pPr>
            <w:r w:rsidRPr="003674DB">
              <w:rPr>
                <w:rFonts w:ascii="Calibri" w:eastAsia="Times New Roman" w:hAnsi="Calibri" w:cs="Times New Roman"/>
                <w:b/>
                <w:bCs/>
                <w:color w:val="000000"/>
                <w:lang w:val="fr-CA"/>
              </w:rPr>
              <w:lastRenderedPageBreak/>
              <w:t>1</w:t>
            </w:r>
            <w:r>
              <w:rPr>
                <w:rFonts w:ascii="Calibri" w:eastAsia="Times New Roman" w:hAnsi="Calibri" w:cs="Times New Roman"/>
                <w:b/>
                <w:bCs/>
                <w:color w:val="000000"/>
                <w:lang w:val="fr-CA"/>
              </w:rPr>
              <w:t xml:space="preserve"> </w:t>
            </w:r>
            <w:r w:rsidRPr="003674DB">
              <w:rPr>
                <w:rFonts w:ascii="Calibri" w:eastAsia="Times New Roman" w:hAnsi="Calibri" w:cs="Times New Roman"/>
                <w:b/>
                <w:bCs/>
                <w:color w:val="000000"/>
                <w:lang w:val="fr-CA"/>
              </w:rPr>
              <w:t>057</w:t>
            </w:r>
          </w:p>
        </w:tc>
        <w:tc>
          <w:tcPr>
            <w:tcW w:w="633" w:type="pct"/>
            <w:tcBorders>
              <w:top w:val="nil"/>
              <w:left w:val="nil"/>
              <w:right w:val="nil"/>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Pr>
                <w:rFonts w:ascii="Calibri" w:eastAsia="Times New Roman" w:hAnsi="Calibri" w:cs="Times New Roman"/>
                <w:b/>
                <w:bCs/>
                <w:color w:val="000000"/>
                <w:lang w:val="fr-CA"/>
              </w:rPr>
              <w:t>898</w:t>
            </w:r>
          </w:p>
        </w:tc>
        <w:tc>
          <w:tcPr>
            <w:tcW w:w="627" w:type="pct"/>
            <w:tcBorders>
              <w:top w:val="nil"/>
              <w:left w:val="nil"/>
              <w:right w:val="single" w:sz="4" w:space="0" w:color="auto"/>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sidRPr="00BF170F">
              <w:rPr>
                <w:rFonts w:ascii="Calibri" w:eastAsia="Times New Roman" w:hAnsi="Calibri" w:cs="Times New Roman"/>
                <w:b/>
                <w:bCs/>
                <w:color w:val="000000"/>
                <w:lang w:val="fr-CA"/>
              </w:rPr>
              <w:t>645</w:t>
            </w:r>
          </w:p>
        </w:tc>
      </w:tr>
      <w:tr w:rsidR="005476C3" w:rsidRPr="00BF170F" w:rsidTr="005476C3">
        <w:trPr>
          <w:trHeight w:val="229"/>
        </w:trPr>
        <w:tc>
          <w:tcPr>
            <w:tcW w:w="3106" w:type="pct"/>
            <w:tcBorders>
              <w:top w:val="nil"/>
              <w:left w:val="single" w:sz="4" w:space="0" w:color="auto"/>
              <w:right w:val="nil"/>
            </w:tcBorders>
            <w:shd w:val="clear" w:color="auto" w:fill="auto"/>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lastRenderedPageBreak/>
              <w:t>Variation annuelle en %</w:t>
            </w:r>
          </w:p>
        </w:tc>
        <w:tc>
          <w:tcPr>
            <w:tcW w:w="633" w:type="pct"/>
            <w:tcBorders>
              <w:top w:val="nil"/>
              <w:left w:val="nil"/>
              <w:right w:val="nil"/>
            </w:tcBorders>
            <w:vAlign w:val="center"/>
          </w:tcPr>
          <w:p w:rsidR="005476C3" w:rsidRPr="003674DB" w:rsidRDefault="005476C3" w:rsidP="005476C3">
            <w:pPr>
              <w:spacing w:after="0" w:line="240" w:lineRule="auto"/>
              <w:jc w:val="center"/>
              <w:rPr>
                <w:rFonts w:ascii="Calibri" w:eastAsia="Times New Roman" w:hAnsi="Calibri" w:cs="Times New Roman"/>
                <w:color w:val="000000"/>
                <w:lang w:val="fr-CA"/>
              </w:rPr>
            </w:pPr>
            <w:r w:rsidRPr="003674DB">
              <w:rPr>
                <w:rFonts w:ascii="Calibri" w:eastAsia="Times New Roman" w:hAnsi="Calibri" w:cs="Times New Roman"/>
                <w:color w:val="000000"/>
                <w:lang w:val="fr-CA"/>
              </w:rPr>
              <w:t>-</w:t>
            </w:r>
          </w:p>
        </w:tc>
        <w:tc>
          <w:tcPr>
            <w:tcW w:w="633" w:type="pct"/>
            <w:tcBorders>
              <w:top w:val="nil"/>
              <w:left w:val="nil"/>
              <w:right w:val="nil"/>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-15,0 </w:t>
            </w:r>
            <w:r w:rsidRPr="00BF170F">
              <w:rPr>
                <w:rFonts w:ascii="Calibri" w:eastAsia="Times New Roman" w:hAnsi="Calibri" w:cs="Times New Roman"/>
                <w:color w:val="000000"/>
                <w:lang w:val="fr-CA"/>
              </w:rPr>
              <w:t>%</w:t>
            </w:r>
          </w:p>
        </w:tc>
        <w:tc>
          <w:tcPr>
            <w:tcW w:w="627" w:type="pct"/>
            <w:tcBorders>
              <w:top w:val="nil"/>
              <w:left w:val="nil"/>
              <w:right w:val="single" w:sz="4" w:space="0" w:color="auto"/>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-28,2 </w:t>
            </w:r>
            <w:r w:rsidRPr="00BF170F">
              <w:rPr>
                <w:rFonts w:ascii="Calibri" w:eastAsia="Times New Roman" w:hAnsi="Calibri" w:cs="Times New Roman"/>
                <w:color w:val="000000"/>
                <w:lang w:val="fr-CA"/>
              </w:rPr>
              <w:t>%</w:t>
            </w:r>
          </w:p>
        </w:tc>
      </w:tr>
      <w:tr w:rsidR="005476C3" w:rsidRPr="00BF170F" w:rsidTr="005476C3">
        <w:trPr>
          <w:trHeight w:val="355"/>
        </w:trPr>
        <w:tc>
          <w:tcPr>
            <w:tcW w:w="3106" w:type="pct"/>
            <w:tcBorders>
              <w:left w:val="single" w:sz="4" w:space="0" w:color="auto"/>
              <w:bottom w:val="nil"/>
              <w:right w:val="nil"/>
            </w:tcBorders>
            <w:shd w:val="clear" w:color="000000" w:fill="DBE5F1"/>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t>Nombre moyen de pages traitées par demande complétée</w:t>
            </w:r>
          </w:p>
        </w:tc>
        <w:tc>
          <w:tcPr>
            <w:tcW w:w="633" w:type="pct"/>
            <w:tcBorders>
              <w:left w:val="nil"/>
              <w:bottom w:val="nil"/>
              <w:right w:val="nil"/>
            </w:tcBorders>
            <w:shd w:val="clear" w:color="000000" w:fill="DBE5F1"/>
            <w:vAlign w:val="center"/>
          </w:tcPr>
          <w:p w:rsidR="005476C3" w:rsidRPr="003674DB" w:rsidRDefault="005476C3" w:rsidP="005476C3">
            <w:pPr>
              <w:spacing w:after="0" w:line="240" w:lineRule="auto"/>
              <w:jc w:val="center"/>
              <w:rPr>
                <w:rFonts w:ascii="Calibri" w:eastAsia="Times New Roman" w:hAnsi="Calibri" w:cs="Times New Roman"/>
                <w:b/>
                <w:bCs/>
                <w:color w:val="000000"/>
                <w:lang w:val="fr-CA"/>
              </w:rPr>
            </w:pPr>
            <w:r w:rsidRPr="003674DB">
              <w:rPr>
                <w:rFonts w:ascii="Calibri" w:eastAsia="Times New Roman" w:hAnsi="Calibri" w:cs="Times New Roman"/>
                <w:b/>
                <w:bCs/>
                <w:color w:val="000000"/>
                <w:lang w:val="fr-CA"/>
              </w:rPr>
              <w:t>-</w:t>
            </w:r>
          </w:p>
        </w:tc>
        <w:tc>
          <w:tcPr>
            <w:tcW w:w="633" w:type="pct"/>
            <w:tcBorders>
              <w:left w:val="nil"/>
              <w:bottom w:val="nil"/>
              <w:right w:val="nil"/>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sidRPr="00BF170F">
              <w:rPr>
                <w:rFonts w:ascii="Calibri" w:eastAsia="Times New Roman" w:hAnsi="Calibri" w:cs="Times New Roman"/>
                <w:b/>
                <w:bCs/>
                <w:color w:val="000000"/>
                <w:lang w:val="fr-CA"/>
              </w:rPr>
              <w:t>1</w:t>
            </w:r>
            <w:r>
              <w:rPr>
                <w:rFonts w:ascii="Calibri" w:eastAsia="Times New Roman" w:hAnsi="Calibri" w:cs="Times New Roman"/>
                <w:b/>
                <w:bCs/>
                <w:color w:val="000000"/>
                <w:lang w:val="fr-CA"/>
              </w:rPr>
              <w:t>62</w:t>
            </w:r>
          </w:p>
        </w:tc>
        <w:tc>
          <w:tcPr>
            <w:tcW w:w="627" w:type="pct"/>
            <w:tcBorders>
              <w:left w:val="nil"/>
              <w:bottom w:val="nil"/>
              <w:right w:val="single" w:sz="4" w:space="0" w:color="auto"/>
            </w:tcBorders>
            <w:shd w:val="clear" w:color="000000" w:fill="DBE5F1"/>
            <w:noWrap/>
            <w:vAlign w:val="center"/>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sidRPr="00BF170F">
              <w:rPr>
                <w:rFonts w:ascii="Calibri" w:eastAsia="Times New Roman" w:hAnsi="Calibri" w:cs="Times New Roman"/>
                <w:b/>
                <w:bCs/>
                <w:color w:val="000000"/>
                <w:lang w:val="fr-CA"/>
              </w:rPr>
              <w:t>183</w:t>
            </w:r>
          </w:p>
        </w:tc>
      </w:tr>
      <w:tr w:rsidR="005476C3" w:rsidRPr="00BF170F" w:rsidTr="005476C3">
        <w:trPr>
          <w:trHeight w:val="377"/>
        </w:trPr>
        <w:tc>
          <w:tcPr>
            <w:tcW w:w="3106" w:type="pct"/>
            <w:tcBorders>
              <w:top w:val="nil"/>
              <w:left w:val="single" w:sz="4" w:space="0" w:color="auto"/>
              <w:bottom w:val="single" w:sz="4" w:space="0" w:color="auto"/>
              <w:right w:val="nil"/>
            </w:tcBorders>
            <w:shd w:val="clear" w:color="auto" w:fill="auto"/>
            <w:hideMark/>
          </w:tcPr>
          <w:p w:rsidR="005476C3" w:rsidRPr="003674DB" w:rsidRDefault="005476C3" w:rsidP="005476C3">
            <w:pPr>
              <w:spacing w:after="0" w:line="240" w:lineRule="auto"/>
              <w:rPr>
                <w:rFonts w:ascii="Calibri" w:eastAsia="Times New Roman" w:hAnsi="Calibri" w:cs="Times New Roman"/>
                <w:color w:val="000000"/>
                <w:lang w:val="fr-CA"/>
              </w:rPr>
            </w:pPr>
            <w:r w:rsidRPr="003674DB">
              <w:rPr>
                <w:rFonts w:ascii="Calibri" w:eastAsia="Times New Roman" w:hAnsi="Calibri" w:cs="Times New Roman"/>
                <w:color w:val="000000"/>
                <w:lang w:val="fr-CA"/>
              </w:rPr>
              <w:t>% des demandes pour lesquelles plus de 1 000 pages ont été traitées</w:t>
            </w:r>
          </w:p>
        </w:tc>
        <w:tc>
          <w:tcPr>
            <w:tcW w:w="633" w:type="pct"/>
            <w:tcBorders>
              <w:top w:val="nil"/>
              <w:left w:val="nil"/>
              <w:bottom w:val="single" w:sz="4" w:space="0" w:color="auto"/>
              <w:right w:val="nil"/>
            </w:tcBorders>
            <w:shd w:val="clear" w:color="auto" w:fill="auto"/>
            <w:vAlign w:val="center"/>
          </w:tcPr>
          <w:p w:rsidR="005476C3" w:rsidRPr="003674DB" w:rsidRDefault="005476C3" w:rsidP="005476C3">
            <w:pPr>
              <w:spacing w:after="0" w:line="240" w:lineRule="auto"/>
              <w:jc w:val="center"/>
              <w:rPr>
                <w:rFonts w:ascii="Calibri" w:eastAsia="Times New Roman" w:hAnsi="Calibri" w:cs="Times New Roman"/>
                <w:color w:val="000000"/>
                <w:lang w:val="fr-CA"/>
              </w:rPr>
            </w:pPr>
            <w:r w:rsidRPr="003674DB">
              <w:rPr>
                <w:rFonts w:ascii="Calibri" w:eastAsia="Times New Roman" w:hAnsi="Calibri" w:cs="Times New Roman"/>
                <w:color w:val="000000"/>
                <w:lang w:val="fr-CA"/>
              </w:rPr>
              <w:t>2,0 %</w:t>
            </w:r>
          </w:p>
        </w:tc>
        <w:tc>
          <w:tcPr>
            <w:tcW w:w="633" w:type="pct"/>
            <w:tcBorders>
              <w:top w:val="nil"/>
              <w:left w:val="nil"/>
              <w:bottom w:val="single" w:sz="4" w:space="0" w:color="auto"/>
              <w:right w:val="nil"/>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3,5 </w:t>
            </w:r>
            <w:r w:rsidRPr="00BF170F">
              <w:rPr>
                <w:rFonts w:ascii="Calibri" w:eastAsia="Times New Roman" w:hAnsi="Calibri" w:cs="Times New Roman"/>
                <w:color w:val="000000"/>
                <w:lang w:val="fr-CA"/>
              </w:rPr>
              <w:t>%</w:t>
            </w:r>
          </w:p>
        </w:tc>
        <w:tc>
          <w:tcPr>
            <w:tcW w:w="627" w:type="pct"/>
            <w:tcBorders>
              <w:top w:val="nil"/>
              <w:left w:val="nil"/>
              <w:bottom w:val="single" w:sz="4" w:space="0" w:color="auto"/>
              <w:right w:val="single" w:sz="4" w:space="0" w:color="auto"/>
            </w:tcBorders>
            <w:shd w:val="clear" w:color="auto" w:fill="auto"/>
            <w:noWrap/>
            <w:vAlign w:val="center"/>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3,6 </w:t>
            </w:r>
            <w:r w:rsidRPr="00BF170F">
              <w:rPr>
                <w:rFonts w:ascii="Calibri" w:eastAsia="Times New Roman" w:hAnsi="Calibri" w:cs="Times New Roman"/>
                <w:color w:val="000000"/>
                <w:lang w:val="fr-CA"/>
              </w:rPr>
              <w:t>%</w:t>
            </w:r>
          </w:p>
        </w:tc>
      </w:tr>
    </w:tbl>
    <w:p w:rsidR="005476C3" w:rsidRPr="00111A3C" w:rsidRDefault="005476C3" w:rsidP="005476C3">
      <w:pPr>
        <w:pStyle w:val="Heading2"/>
        <w:spacing w:before="240"/>
      </w:pPr>
      <w:r w:rsidRPr="00111A3C">
        <w:t>Délai de traitement des demandes</w:t>
      </w:r>
    </w:p>
    <w:p w:rsidR="005476C3" w:rsidRPr="00111A3C" w:rsidRDefault="005476C3" w:rsidP="005476C3">
      <w:pPr>
        <w:pStyle w:val="Heading4"/>
      </w:pPr>
      <w:r w:rsidRPr="00111A3C">
        <w:t>Rapidité</w:t>
      </w:r>
    </w:p>
    <w:p w:rsidR="005476C3" w:rsidRPr="00BF170F" w:rsidRDefault="005476C3" w:rsidP="005476C3">
      <w:pPr>
        <w:jc w:val="both"/>
        <w:rPr>
          <w:color w:val="000000" w:themeColor="text1"/>
          <w:lang w:val="fr-CA"/>
        </w:rPr>
      </w:pPr>
      <w:r w:rsidRPr="00BF170F">
        <w:rPr>
          <w:color w:val="000000" w:themeColor="text1"/>
          <w:lang w:val="fr-CA"/>
        </w:rPr>
        <w:t xml:space="preserve">La figure 1 révèle que 33,7 % des demandes d’AMC ont été </w:t>
      </w:r>
      <w:r>
        <w:rPr>
          <w:color w:val="000000" w:themeColor="text1"/>
          <w:lang w:val="fr-CA"/>
        </w:rPr>
        <w:t>complétées</w:t>
      </w:r>
      <w:r w:rsidRPr="00BF170F">
        <w:rPr>
          <w:color w:val="000000" w:themeColor="text1"/>
          <w:lang w:val="fr-CA"/>
        </w:rPr>
        <w:t xml:space="preserve"> en 30 </w:t>
      </w:r>
      <w:r>
        <w:rPr>
          <w:color w:val="000000" w:themeColor="text1"/>
          <w:lang w:val="fr-CA"/>
        </w:rPr>
        <w:t>jours ou moins, un résultat similaire à celui observé en 2013-</w:t>
      </w:r>
      <w:r w:rsidRPr="00BF170F">
        <w:rPr>
          <w:color w:val="000000" w:themeColor="text1"/>
          <w:lang w:val="fr-CA"/>
        </w:rPr>
        <w:t>2014 (</w:t>
      </w:r>
      <w:r>
        <w:rPr>
          <w:color w:val="000000" w:themeColor="text1"/>
          <w:lang w:val="fr-CA"/>
        </w:rPr>
        <w:t>33,8</w:t>
      </w:r>
      <w:r w:rsidRPr="00BF170F">
        <w:rPr>
          <w:color w:val="000000" w:themeColor="text1"/>
          <w:lang w:val="fr-CA"/>
        </w:rPr>
        <w:t xml:space="preserve"> %). On constate que </w:t>
      </w:r>
      <w:r>
        <w:rPr>
          <w:color w:val="000000" w:themeColor="text1"/>
          <w:lang w:val="fr-CA"/>
        </w:rPr>
        <w:t>le nombre de demandes complétées entre 31 et 365</w:t>
      </w:r>
      <w:r w:rsidRPr="00BF170F">
        <w:rPr>
          <w:color w:val="000000" w:themeColor="text1"/>
          <w:lang w:val="fr-CA"/>
        </w:rPr>
        <w:t> jours a diminué par rapport à la période précédente, alors que le pourcentage des demandes qui ont pris plus de 365 jours à trait</w:t>
      </w:r>
      <w:r>
        <w:rPr>
          <w:color w:val="000000" w:themeColor="text1"/>
          <w:lang w:val="fr-CA"/>
        </w:rPr>
        <w:t>er a augmenté de 6,8 %.</w:t>
      </w:r>
    </w:p>
    <w:p w:rsidR="005476C3" w:rsidRPr="00111A3C" w:rsidRDefault="005476C3" w:rsidP="005476C3">
      <w:pPr>
        <w:spacing w:line="240" w:lineRule="auto"/>
        <w:rPr>
          <w:sz w:val="24"/>
          <w:szCs w:val="24"/>
          <w:lang w:val="fr-CA"/>
        </w:rPr>
      </w:pPr>
      <w:r w:rsidRPr="0038189C">
        <w:rPr>
          <w:b/>
          <w:lang w:val="fr-CA"/>
        </w:rPr>
        <w:t>Figure 1 : Délai de trait</w:t>
      </w:r>
      <w:r>
        <w:rPr>
          <w:b/>
          <w:lang w:val="fr-CA"/>
        </w:rPr>
        <w:t>ement des demandes</w:t>
      </w:r>
      <w:r w:rsidRPr="009B4F59">
        <w:rPr>
          <w:noProof/>
          <w:color w:val="FF0000"/>
          <w:sz w:val="24"/>
          <w:szCs w:val="24"/>
        </w:rPr>
        <w:drawing>
          <wp:inline distT="0" distB="0" distL="0" distR="0">
            <wp:extent cx="5939624" cy="3951799"/>
            <wp:effectExtent l="0" t="0" r="23495" b="10795"/>
            <wp:docPr id="4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476C3" w:rsidRPr="00111A3C" w:rsidRDefault="005476C3" w:rsidP="005476C3">
      <w:pPr>
        <w:pStyle w:val="Heading4"/>
      </w:pPr>
      <w:r w:rsidRPr="00111A3C">
        <w:t>Prorogations</w:t>
      </w:r>
    </w:p>
    <w:p w:rsidR="005476C3" w:rsidRPr="00C6490F" w:rsidRDefault="005476C3" w:rsidP="005476C3">
      <w:pPr>
        <w:jc w:val="both"/>
        <w:rPr>
          <w:color w:val="000000" w:themeColor="text1"/>
          <w:lang w:val="fr-CA"/>
        </w:rPr>
      </w:pPr>
      <w:r w:rsidRPr="00C6490F">
        <w:rPr>
          <w:color w:val="000000" w:themeColor="text1"/>
          <w:lang w:val="fr-CA"/>
        </w:rPr>
        <w:t>AMC a eu recours à 651 prorogations en 2014-2015 par rapport à 843 en 2013-2014. Les demandes de consultation (69,9 %) étaient la raison la plus fréquemment invoquée pour demander une prorogation, suivies de l’</w:t>
      </w:r>
      <w:r w:rsidRPr="00C6490F">
        <w:rPr>
          <w:lang w:val="fr-CA"/>
        </w:rPr>
        <w:t>entrave au fonctionnement de l’institution</w:t>
      </w:r>
      <w:r w:rsidRPr="00C6490F">
        <w:rPr>
          <w:color w:val="000000" w:themeColor="text1"/>
          <w:lang w:val="fr-CA"/>
        </w:rPr>
        <w:t xml:space="preserve"> (21,8 %).</w:t>
      </w:r>
    </w:p>
    <w:p w:rsidR="005476C3" w:rsidRPr="00C6490F" w:rsidRDefault="005476C3" w:rsidP="005476C3">
      <w:pPr>
        <w:jc w:val="both"/>
        <w:rPr>
          <w:lang w:val="fr-CA"/>
        </w:rPr>
      </w:pPr>
      <w:r w:rsidRPr="00C6490F">
        <w:rPr>
          <w:lang w:val="fr-CA"/>
        </w:rPr>
        <w:lastRenderedPageBreak/>
        <w:t>La figure 2 montre que 24,6 % des prorogations étaient de 30 jours ou moins. Ce résultat est similaire à celui observé en 2013-2014. La figure 2 montre également que la part des prorogations de 31 à 60 jours en 2014-2015 a augmenté de 2,4 % par rapport à la période précédente.</w:t>
      </w:r>
    </w:p>
    <w:p w:rsidR="005476C3" w:rsidRPr="00410918" w:rsidRDefault="005476C3" w:rsidP="005476C3">
      <w:pPr>
        <w:rPr>
          <w:lang w:val="fr-CA"/>
        </w:rPr>
      </w:pPr>
      <w:r w:rsidRPr="005476C3">
        <w:rPr>
          <w:rStyle w:val="Heading3Char"/>
          <w:lang w:val="fr-FR"/>
        </w:rPr>
        <w:t>Figure 2 : Durée des prorogations</w:t>
      </w:r>
      <w:r w:rsidRPr="009B4F59">
        <w:rPr>
          <w:b/>
          <w:noProof/>
        </w:rPr>
        <w:drawing>
          <wp:inline distT="0" distB="0" distL="0" distR="0">
            <wp:extent cx="6058894" cy="4039263"/>
            <wp:effectExtent l="0" t="0" r="18415" b="18415"/>
            <wp:docPr id="4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476C3" w:rsidRPr="00111A3C" w:rsidRDefault="005476C3" w:rsidP="005476C3">
      <w:pPr>
        <w:pStyle w:val="Heading4"/>
      </w:pPr>
      <w:r w:rsidRPr="00111A3C">
        <w:t>Présomptions de refus</w:t>
      </w:r>
    </w:p>
    <w:p w:rsidR="005476C3" w:rsidRPr="00C6490F" w:rsidRDefault="005476C3" w:rsidP="005476C3">
      <w:pPr>
        <w:jc w:val="both"/>
        <w:rPr>
          <w:lang w:val="fr-CA"/>
        </w:rPr>
      </w:pPr>
      <w:r w:rsidRPr="00C6490F">
        <w:rPr>
          <w:lang w:val="fr-CA"/>
        </w:rPr>
        <w:t>En 2014-2015, 407 demandes ont été fermées après l’échéancier réglementaire, ce qui représente 41,4 % des demandes traitées. Ce résultat procure à AMC la note de « F »</w:t>
      </w:r>
      <w:r w:rsidRPr="00C6490F">
        <w:rPr>
          <w:rStyle w:val="FootnoteReference"/>
          <w:lang w:val="fr-CA"/>
        </w:rPr>
        <w:footnoteReference w:id="53"/>
      </w:r>
      <w:r w:rsidRPr="00C6490F">
        <w:rPr>
          <w:lang w:val="fr-CA"/>
        </w:rPr>
        <w:t>. La charge de travail (58,2 %) était la raison la plus fréquemment invoquée pour justifier ces retards, suivie des consultations (23,1 %) et d’autres motifs (18,7 %).</w:t>
      </w:r>
    </w:p>
    <w:p w:rsidR="005476C3" w:rsidRPr="00C6490F" w:rsidRDefault="005476C3" w:rsidP="005476C3">
      <w:pPr>
        <w:jc w:val="both"/>
        <w:rPr>
          <w:lang w:val="fr-CA"/>
        </w:rPr>
      </w:pPr>
      <w:r w:rsidRPr="00C6490F">
        <w:rPr>
          <w:lang w:val="fr-CA"/>
        </w:rPr>
        <w:t>La figure 3 montre que 52,3 % des demandes échues étaient en retard de plus de 181 jours, alors que seulement 18,9 % étaient en retard de 30 jours ou moins.</w:t>
      </w:r>
    </w:p>
    <w:p w:rsidR="005476C3" w:rsidRPr="00410918" w:rsidRDefault="005476C3" w:rsidP="005476C3">
      <w:pPr>
        <w:rPr>
          <w:lang w:val="fr-CA"/>
        </w:rPr>
      </w:pPr>
      <w:r w:rsidRPr="005476C3">
        <w:rPr>
          <w:rStyle w:val="Heading3Char"/>
          <w:lang w:val="fr-FR"/>
        </w:rPr>
        <w:lastRenderedPageBreak/>
        <w:t>Figure 3 : Retard des demandes échues</w:t>
      </w:r>
      <w:r w:rsidRPr="00410918">
        <w:rPr>
          <w:noProof/>
        </w:rPr>
        <w:drawing>
          <wp:inline distT="0" distB="0" distL="0" distR="0">
            <wp:extent cx="5907819" cy="4293704"/>
            <wp:effectExtent l="0" t="0" r="17145" b="12065"/>
            <wp:docPr id="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476C3" w:rsidRPr="00111A3C" w:rsidRDefault="005476C3" w:rsidP="005476C3">
      <w:pPr>
        <w:pStyle w:val="Heading2"/>
      </w:pPr>
      <w:r>
        <w:t>Divulgation</w:t>
      </w:r>
    </w:p>
    <w:p w:rsidR="005476C3" w:rsidRPr="00111A3C" w:rsidRDefault="005476C3" w:rsidP="005476C3">
      <w:pPr>
        <w:pStyle w:val="Heading4"/>
      </w:pPr>
      <w:r w:rsidRPr="00111A3C">
        <w:t>Pourcentage de demandes pour lesquelles l’information a été divulguée</w:t>
      </w:r>
    </w:p>
    <w:p w:rsidR="005476C3" w:rsidRPr="00BF170F" w:rsidRDefault="005476C3" w:rsidP="005476C3">
      <w:pPr>
        <w:jc w:val="both"/>
        <w:rPr>
          <w:lang w:val="fr-CA"/>
        </w:rPr>
      </w:pPr>
      <w:r w:rsidRPr="00BF170F">
        <w:rPr>
          <w:lang w:val="fr-CA"/>
        </w:rPr>
        <w:t>En 2014</w:t>
      </w:r>
      <w:r>
        <w:rPr>
          <w:lang w:val="fr-CA"/>
        </w:rPr>
        <w:t>-</w:t>
      </w:r>
      <w:r w:rsidRPr="00BF170F">
        <w:rPr>
          <w:lang w:val="fr-CA"/>
        </w:rPr>
        <w:t xml:space="preserve">2015, </w:t>
      </w:r>
      <w:r>
        <w:rPr>
          <w:lang w:val="fr-CA"/>
        </w:rPr>
        <w:t>9,2</w:t>
      </w:r>
      <w:r w:rsidRPr="00BF170F">
        <w:rPr>
          <w:lang w:val="fr-CA"/>
        </w:rPr>
        <w:t xml:space="preserve"> % de toutes les demandes </w:t>
      </w:r>
      <w:r>
        <w:rPr>
          <w:lang w:val="fr-CA"/>
        </w:rPr>
        <w:t>complétées</w:t>
      </w:r>
      <w:r w:rsidRPr="00BF170F">
        <w:rPr>
          <w:lang w:val="fr-CA"/>
        </w:rPr>
        <w:t xml:space="preserve"> ont fait l’objet d’une divulgation complète, ce qui représente une </w:t>
      </w:r>
      <w:r>
        <w:rPr>
          <w:lang w:val="fr-CA"/>
        </w:rPr>
        <w:t xml:space="preserve">légère </w:t>
      </w:r>
      <w:r w:rsidRPr="00BF170F">
        <w:rPr>
          <w:lang w:val="fr-CA"/>
        </w:rPr>
        <w:t xml:space="preserve">diminution de </w:t>
      </w:r>
      <w:r>
        <w:rPr>
          <w:lang w:val="fr-CA"/>
        </w:rPr>
        <w:t>0,6</w:t>
      </w:r>
      <w:r w:rsidRPr="00BF170F">
        <w:rPr>
          <w:lang w:val="fr-CA"/>
        </w:rPr>
        <w:t> % par rapport à la période précédente (voir figure 4). La figure </w:t>
      </w:r>
      <w:r>
        <w:rPr>
          <w:lang w:val="fr-CA"/>
        </w:rPr>
        <w:t>4 montre que le taux de</w:t>
      </w:r>
      <w:r w:rsidRPr="00BF170F">
        <w:rPr>
          <w:lang w:val="fr-CA"/>
        </w:rPr>
        <w:t xml:space="preserve"> demandes faisant l’objet d’une divulgation partielle était de 58,4 % en 2014</w:t>
      </w:r>
      <w:r>
        <w:rPr>
          <w:lang w:val="fr-CA"/>
        </w:rPr>
        <w:t>-</w:t>
      </w:r>
      <w:r w:rsidRPr="00BF170F">
        <w:rPr>
          <w:lang w:val="fr-CA"/>
        </w:rPr>
        <w:t xml:space="preserve">2015, ce qui représente une diminution </w:t>
      </w:r>
      <w:r>
        <w:rPr>
          <w:lang w:val="fr-CA"/>
        </w:rPr>
        <w:t>de 3,3 %</w:t>
      </w:r>
      <w:r w:rsidRPr="00BF170F">
        <w:rPr>
          <w:lang w:val="fr-CA"/>
        </w:rPr>
        <w:t xml:space="preserve"> par ra</w:t>
      </w:r>
      <w:r>
        <w:rPr>
          <w:lang w:val="fr-CA"/>
        </w:rPr>
        <w:t>pport à la période précédente.</w:t>
      </w:r>
    </w:p>
    <w:p w:rsidR="005476C3" w:rsidRPr="00BF170F" w:rsidRDefault="005476C3" w:rsidP="005476C3">
      <w:pPr>
        <w:spacing w:line="240" w:lineRule="auto"/>
        <w:rPr>
          <w:lang w:val="fr-CA"/>
        </w:rPr>
      </w:pPr>
      <w:r w:rsidRPr="00957E09">
        <w:rPr>
          <w:rStyle w:val="Heading3Char"/>
          <w:lang w:val="fr-FR"/>
        </w:rPr>
        <w:lastRenderedPageBreak/>
        <w:t>Figure 4 : Niveau de divulgation</w:t>
      </w:r>
      <w:r w:rsidRPr="00BA0EF1">
        <w:rPr>
          <w:b/>
          <w:noProof/>
        </w:rPr>
        <w:drawing>
          <wp:inline distT="0" distB="0" distL="0" distR="0">
            <wp:extent cx="5939624" cy="3967701"/>
            <wp:effectExtent l="0" t="0" r="23495" b="13970"/>
            <wp:docPr id="4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476C3" w:rsidRPr="00111A3C" w:rsidRDefault="005476C3" w:rsidP="005476C3">
      <w:pPr>
        <w:pStyle w:val="Heading4"/>
      </w:pPr>
      <w:r>
        <w:t>Exceptions</w:t>
      </w:r>
    </w:p>
    <w:p w:rsidR="005476C3" w:rsidRPr="00C6490F" w:rsidRDefault="005476C3" w:rsidP="005476C3">
      <w:pPr>
        <w:jc w:val="both"/>
        <w:rPr>
          <w:lang w:val="fr-CA"/>
        </w:rPr>
      </w:pPr>
      <w:r w:rsidRPr="00C6490F">
        <w:rPr>
          <w:lang w:val="fr-CA"/>
        </w:rPr>
        <w:t>Il y a très peu de changements en ce qui a trait au nombre moyen d’exceptions par demande complétées  passant de 2,80 en 2013-2014 à 2,92 en 2014-2015 (voir tableau 2).</w:t>
      </w:r>
    </w:p>
    <w:p w:rsidR="005476C3" w:rsidRPr="00C6490F" w:rsidRDefault="005476C3" w:rsidP="005476C3">
      <w:pPr>
        <w:jc w:val="both"/>
        <w:rPr>
          <w:lang w:val="fr-CA"/>
        </w:rPr>
      </w:pPr>
      <w:r w:rsidRPr="00C6490F">
        <w:rPr>
          <w:lang w:val="fr-CA"/>
        </w:rPr>
        <w:t>Les exceptions les plus fréquemment invoquées par AMC en 2014-2015 étaient l’article 21 (les activités du gouvernement) (28,7 %), suivies par l’article 15 (les affaires internationales et la défense) (19,5 %) et l’article 19 (les renseignements personnels) (16,9 %).</w:t>
      </w:r>
    </w:p>
    <w:p w:rsidR="005476C3" w:rsidRPr="00BF170F" w:rsidRDefault="005476C3" w:rsidP="00BA2BE8">
      <w:pPr>
        <w:pStyle w:val="Heading3"/>
      </w:pPr>
      <w:r w:rsidRPr="00BF170F">
        <w:t xml:space="preserve">Tableau </w:t>
      </w:r>
      <w:proofErr w:type="gramStart"/>
      <w:r w:rsidRPr="00BF170F">
        <w:t>2 :</w:t>
      </w:r>
      <w:proofErr w:type="gramEnd"/>
      <w:r w:rsidRPr="00BF170F">
        <w:t xml:space="preserve"> Exceptions</w:t>
      </w:r>
    </w:p>
    <w:tbl>
      <w:tblPr>
        <w:tblW w:w="4943" w:type="pct"/>
        <w:tblInd w:w="108" w:type="dxa"/>
        <w:tblLook w:val="04A0"/>
      </w:tblPr>
      <w:tblGrid>
        <w:gridCol w:w="5882"/>
        <w:gridCol w:w="1199"/>
        <w:gridCol w:w="1199"/>
        <w:gridCol w:w="1187"/>
      </w:tblGrid>
      <w:tr w:rsidR="005476C3" w:rsidRPr="00BF170F" w:rsidTr="005476C3">
        <w:trPr>
          <w:trHeight w:val="335"/>
        </w:trPr>
        <w:tc>
          <w:tcPr>
            <w:tcW w:w="3106" w:type="pct"/>
            <w:tcBorders>
              <w:top w:val="single" w:sz="8" w:space="0" w:color="auto"/>
              <w:left w:val="single" w:sz="8" w:space="0" w:color="auto"/>
              <w:bottom w:val="single" w:sz="8" w:space="0" w:color="auto"/>
              <w:right w:val="nil"/>
            </w:tcBorders>
            <w:shd w:val="clear" w:color="000000" w:fill="DBE5F1"/>
            <w:noWrap/>
            <w:vAlign w:val="bottom"/>
            <w:hideMark/>
          </w:tcPr>
          <w:p w:rsidR="005476C3" w:rsidRPr="00BF170F" w:rsidRDefault="005476C3" w:rsidP="005476C3">
            <w:pPr>
              <w:spacing w:after="0" w:line="240" w:lineRule="auto"/>
              <w:rPr>
                <w:rFonts w:ascii="Calibri" w:eastAsia="Times New Roman" w:hAnsi="Calibri" w:cs="Times New Roman"/>
                <w:color w:val="000000"/>
                <w:lang w:val="fr-CA"/>
              </w:rPr>
            </w:pPr>
            <w:r w:rsidRPr="00BF170F">
              <w:rPr>
                <w:rFonts w:ascii="Calibri" w:eastAsia="Times New Roman" w:hAnsi="Calibri" w:cs="Times New Roman"/>
                <w:color w:val="000000"/>
                <w:lang w:val="fr-CA"/>
              </w:rPr>
              <w:t xml:space="preserve">Exceptions </w:t>
            </w:r>
          </w:p>
        </w:tc>
        <w:tc>
          <w:tcPr>
            <w:tcW w:w="633" w:type="pct"/>
            <w:tcBorders>
              <w:top w:val="single" w:sz="8" w:space="0" w:color="auto"/>
              <w:left w:val="nil"/>
              <w:bottom w:val="single" w:sz="8" w:space="0" w:color="auto"/>
              <w:right w:val="nil"/>
            </w:tcBorders>
            <w:shd w:val="clear" w:color="000000" w:fill="DBE5F1"/>
            <w:vAlign w:val="bottom"/>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Pr>
                <w:rFonts w:ascii="Calibri" w:eastAsia="Times New Roman" w:hAnsi="Calibri" w:cs="Times New Roman"/>
                <w:b/>
                <w:bCs/>
                <w:color w:val="000000"/>
                <w:lang w:val="fr-CA"/>
              </w:rPr>
              <w:t>2012</w:t>
            </w:r>
            <w:r w:rsidRPr="00BF170F">
              <w:rPr>
                <w:rFonts w:ascii="Calibri" w:eastAsia="Times New Roman" w:hAnsi="Calibri" w:cs="Times New Roman"/>
                <w:b/>
                <w:bCs/>
                <w:color w:val="000000"/>
                <w:lang w:val="fr-CA"/>
              </w:rPr>
              <w:t>-201</w:t>
            </w:r>
            <w:r>
              <w:rPr>
                <w:rFonts w:ascii="Calibri" w:eastAsia="Times New Roman" w:hAnsi="Calibri" w:cs="Times New Roman"/>
                <w:b/>
                <w:bCs/>
                <w:color w:val="000000"/>
                <w:lang w:val="fr-CA"/>
              </w:rPr>
              <w:t>3</w:t>
            </w:r>
          </w:p>
        </w:tc>
        <w:tc>
          <w:tcPr>
            <w:tcW w:w="633" w:type="pct"/>
            <w:tcBorders>
              <w:top w:val="single" w:sz="8" w:space="0" w:color="auto"/>
              <w:left w:val="nil"/>
              <w:bottom w:val="single" w:sz="8" w:space="0" w:color="auto"/>
              <w:right w:val="nil"/>
            </w:tcBorders>
            <w:shd w:val="clear" w:color="000000" w:fill="DBE5F1"/>
            <w:noWrap/>
            <w:vAlign w:val="bottom"/>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sidRPr="00BF170F">
              <w:rPr>
                <w:rFonts w:ascii="Calibri" w:eastAsia="Times New Roman" w:hAnsi="Calibri" w:cs="Times New Roman"/>
                <w:b/>
                <w:bCs/>
                <w:color w:val="000000"/>
                <w:lang w:val="fr-CA"/>
              </w:rPr>
              <w:t>2013-2014</w:t>
            </w:r>
          </w:p>
        </w:tc>
        <w:tc>
          <w:tcPr>
            <w:tcW w:w="627" w:type="pct"/>
            <w:tcBorders>
              <w:top w:val="single" w:sz="8" w:space="0" w:color="auto"/>
              <w:left w:val="nil"/>
              <w:bottom w:val="single" w:sz="8" w:space="0" w:color="auto"/>
              <w:right w:val="single" w:sz="8" w:space="0" w:color="auto"/>
            </w:tcBorders>
            <w:shd w:val="clear" w:color="000000" w:fill="DBE5F1"/>
            <w:noWrap/>
            <w:vAlign w:val="bottom"/>
            <w:hideMark/>
          </w:tcPr>
          <w:p w:rsidR="005476C3" w:rsidRPr="00BF170F" w:rsidRDefault="005476C3" w:rsidP="005476C3">
            <w:pPr>
              <w:spacing w:after="0" w:line="240" w:lineRule="auto"/>
              <w:jc w:val="center"/>
              <w:rPr>
                <w:rFonts w:ascii="Calibri" w:eastAsia="Times New Roman" w:hAnsi="Calibri" w:cs="Times New Roman"/>
                <w:b/>
                <w:bCs/>
                <w:color w:val="000000"/>
                <w:lang w:val="fr-CA"/>
              </w:rPr>
            </w:pPr>
            <w:r w:rsidRPr="00BF170F">
              <w:rPr>
                <w:rFonts w:ascii="Calibri" w:eastAsia="Times New Roman" w:hAnsi="Calibri" w:cs="Times New Roman"/>
                <w:b/>
                <w:bCs/>
                <w:color w:val="000000"/>
                <w:lang w:val="fr-CA"/>
              </w:rPr>
              <w:t>2014-2015</w:t>
            </w:r>
          </w:p>
        </w:tc>
      </w:tr>
      <w:tr w:rsidR="005476C3" w:rsidRPr="00BF170F" w:rsidTr="005476C3">
        <w:trPr>
          <w:trHeight w:val="320"/>
        </w:trPr>
        <w:tc>
          <w:tcPr>
            <w:tcW w:w="3106" w:type="pct"/>
            <w:tcBorders>
              <w:top w:val="nil"/>
              <w:left w:val="single" w:sz="8" w:space="0" w:color="auto"/>
              <w:bottom w:val="nil"/>
              <w:right w:val="nil"/>
            </w:tcBorders>
            <w:shd w:val="clear" w:color="auto" w:fill="auto"/>
            <w:noWrap/>
            <w:vAlign w:val="bottom"/>
            <w:hideMark/>
          </w:tcPr>
          <w:p w:rsidR="005476C3" w:rsidRPr="00BF170F" w:rsidRDefault="005476C3" w:rsidP="005476C3">
            <w:pPr>
              <w:spacing w:after="0" w:line="240" w:lineRule="auto"/>
              <w:rPr>
                <w:rFonts w:ascii="Calibri" w:eastAsia="Times New Roman" w:hAnsi="Calibri" w:cs="Times New Roman"/>
                <w:color w:val="000000"/>
                <w:lang w:val="fr-CA"/>
              </w:rPr>
            </w:pPr>
            <w:r w:rsidRPr="00BF170F">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633" w:type="pct"/>
            <w:tcBorders>
              <w:top w:val="nil"/>
              <w:left w:val="nil"/>
              <w:bottom w:val="nil"/>
              <w:right w:val="nil"/>
            </w:tcBorders>
            <w:vAlign w:val="bottom"/>
          </w:tcPr>
          <w:p w:rsidR="005476C3" w:rsidRPr="003674DB"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2341</w:t>
            </w:r>
          </w:p>
        </w:tc>
        <w:tc>
          <w:tcPr>
            <w:tcW w:w="633" w:type="pct"/>
            <w:tcBorders>
              <w:top w:val="nil"/>
              <w:left w:val="nil"/>
              <w:bottom w:val="nil"/>
              <w:right w:val="nil"/>
            </w:tcBorders>
            <w:shd w:val="clear" w:color="auto" w:fill="auto"/>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3615</w:t>
            </w:r>
          </w:p>
        </w:tc>
        <w:tc>
          <w:tcPr>
            <w:tcW w:w="627" w:type="pct"/>
            <w:tcBorders>
              <w:top w:val="nil"/>
              <w:left w:val="nil"/>
              <w:bottom w:val="nil"/>
              <w:right w:val="single" w:sz="8" w:space="0" w:color="auto"/>
            </w:tcBorders>
            <w:shd w:val="clear" w:color="auto" w:fill="auto"/>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sidRPr="00BF170F">
              <w:rPr>
                <w:rFonts w:ascii="Calibri" w:eastAsia="Times New Roman" w:hAnsi="Calibri" w:cs="Times New Roman"/>
                <w:color w:val="000000"/>
                <w:lang w:val="fr-CA"/>
              </w:rPr>
              <w:t>2877</w:t>
            </w:r>
          </w:p>
        </w:tc>
      </w:tr>
      <w:tr w:rsidR="005476C3" w:rsidRPr="00BF170F" w:rsidTr="005476C3">
        <w:trPr>
          <w:trHeight w:val="320"/>
        </w:trPr>
        <w:tc>
          <w:tcPr>
            <w:tcW w:w="3106" w:type="pct"/>
            <w:tcBorders>
              <w:top w:val="nil"/>
              <w:left w:val="single" w:sz="8" w:space="0" w:color="auto"/>
              <w:bottom w:val="nil"/>
              <w:right w:val="nil"/>
            </w:tcBorders>
            <w:shd w:val="clear" w:color="auto" w:fill="auto"/>
            <w:noWrap/>
            <w:vAlign w:val="bottom"/>
            <w:hideMark/>
          </w:tcPr>
          <w:p w:rsidR="005476C3" w:rsidRPr="00BF170F" w:rsidRDefault="005476C3" w:rsidP="005476C3">
            <w:pPr>
              <w:spacing w:after="0" w:line="240" w:lineRule="auto"/>
              <w:rPr>
                <w:rFonts w:ascii="Calibri" w:eastAsia="Times New Roman" w:hAnsi="Calibri" w:cs="Times New Roman"/>
                <w:color w:val="000000"/>
                <w:lang w:val="fr-CA"/>
              </w:rPr>
            </w:pPr>
            <w:r w:rsidRPr="00BF170F">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633" w:type="pct"/>
            <w:tcBorders>
              <w:top w:val="nil"/>
              <w:left w:val="nil"/>
              <w:bottom w:val="nil"/>
              <w:right w:val="nil"/>
            </w:tcBorders>
            <w:vAlign w:val="bottom"/>
          </w:tcPr>
          <w:p w:rsidR="005476C3" w:rsidRPr="003674DB"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1033</w:t>
            </w:r>
          </w:p>
        </w:tc>
        <w:tc>
          <w:tcPr>
            <w:tcW w:w="633" w:type="pct"/>
            <w:tcBorders>
              <w:top w:val="nil"/>
              <w:left w:val="nil"/>
              <w:bottom w:val="nil"/>
              <w:right w:val="nil"/>
            </w:tcBorders>
            <w:shd w:val="clear" w:color="auto" w:fill="auto"/>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1290</w:t>
            </w:r>
          </w:p>
        </w:tc>
        <w:tc>
          <w:tcPr>
            <w:tcW w:w="627" w:type="pct"/>
            <w:tcBorders>
              <w:top w:val="nil"/>
              <w:left w:val="nil"/>
              <w:bottom w:val="nil"/>
              <w:right w:val="single" w:sz="8" w:space="0" w:color="auto"/>
            </w:tcBorders>
            <w:shd w:val="clear" w:color="auto" w:fill="auto"/>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sidRPr="00BF170F">
              <w:rPr>
                <w:rFonts w:ascii="Calibri" w:eastAsia="Times New Roman" w:hAnsi="Calibri" w:cs="Times New Roman"/>
                <w:color w:val="000000"/>
                <w:lang w:val="fr-CA"/>
              </w:rPr>
              <w:t>984</w:t>
            </w:r>
          </w:p>
        </w:tc>
      </w:tr>
      <w:tr w:rsidR="005476C3" w:rsidRPr="00BF170F" w:rsidTr="005476C3">
        <w:trPr>
          <w:trHeight w:val="335"/>
        </w:trPr>
        <w:tc>
          <w:tcPr>
            <w:tcW w:w="3106" w:type="pct"/>
            <w:tcBorders>
              <w:top w:val="nil"/>
              <w:left w:val="single" w:sz="8" w:space="0" w:color="auto"/>
              <w:bottom w:val="single" w:sz="8" w:space="0" w:color="auto"/>
              <w:right w:val="nil"/>
            </w:tcBorders>
            <w:shd w:val="clear" w:color="000000" w:fill="DBE5F1"/>
            <w:noWrap/>
            <w:vAlign w:val="bottom"/>
            <w:hideMark/>
          </w:tcPr>
          <w:p w:rsidR="005476C3" w:rsidRPr="00BF170F" w:rsidRDefault="005476C3" w:rsidP="005476C3">
            <w:pPr>
              <w:spacing w:after="0" w:line="240" w:lineRule="auto"/>
              <w:rPr>
                <w:rFonts w:ascii="Calibri" w:eastAsia="Times New Roman" w:hAnsi="Calibri" w:cs="Times New Roman"/>
                <w:color w:val="000000"/>
                <w:lang w:val="fr-CA"/>
              </w:rPr>
            </w:pPr>
            <w:r w:rsidRPr="00BF170F">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633" w:type="pct"/>
            <w:tcBorders>
              <w:top w:val="nil"/>
              <w:left w:val="nil"/>
              <w:bottom w:val="single" w:sz="8" w:space="0" w:color="auto"/>
              <w:right w:val="nil"/>
            </w:tcBorders>
            <w:shd w:val="clear" w:color="000000" w:fill="DBE5F1"/>
            <w:vAlign w:val="bottom"/>
          </w:tcPr>
          <w:p w:rsidR="005476C3" w:rsidRPr="003674DB"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2,27</w:t>
            </w:r>
          </w:p>
        </w:tc>
        <w:tc>
          <w:tcPr>
            <w:tcW w:w="633" w:type="pct"/>
            <w:tcBorders>
              <w:top w:val="nil"/>
              <w:left w:val="nil"/>
              <w:bottom w:val="single" w:sz="8" w:space="0" w:color="auto"/>
              <w:right w:val="nil"/>
            </w:tcBorders>
            <w:shd w:val="clear" w:color="000000" w:fill="DBE5F1"/>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sidRPr="00BF170F">
              <w:rPr>
                <w:rFonts w:ascii="Calibri" w:eastAsia="Times New Roman" w:hAnsi="Calibri" w:cs="Times New Roman"/>
                <w:color w:val="000000"/>
                <w:lang w:val="fr-CA"/>
              </w:rPr>
              <w:t>2,</w:t>
            </w:r>
            <w:r>
              <w:rPr>
                <w:rFonts w:ascii="Calibri" w:eastAsia="Times New Roman" w:hAnsi="Calibri" w:cs="Times New Roman"/>
                <w:color w:val="000000"/>
                <w:lang w:val="fr-CA"/>
              </w:rPr>
              <w:t>80</w:t>
            </w:r>
          </w:p>
        </w:tc>
        <w:tc>
          <w:tcPr>
            <w:tcW w:w="627" w:type="pct"/>
            <w:tcBorders>
              <w:top w:val="nil"/>
              <w:left w:val="nil"/>
              <w:bottom w:val="single" w:sz="8" w:space="0" w:color="auto"/>
              <w:right w:val="single" w:sz="8" w:space="0" w:color="auto"/>
            </w:tcBorders>
            <w:shd w:val="clear" w:color="000000" w:fill="DBE5F1"/>
            <w:noWrap/>
            <w:vAlign w:val="bottom"/>
            <w:hideMark/>
          </w:tcPr>
          <w:p w:rsidR="005476C3" w:rsidRPr="00BF170F" w:rsidRDefault="005476C3" w:rsidP="005476C3">
            <w:pPr>
              <w:spacing w:after="0" w:line="240" w:lineRule="auto"/>
              <w:jc w:val="center"/>
              <w:rPr>
                <w:rFonts w:ascii="Calibri" w:eastAsia="Times New Roman" w:hAnsi="Calibri" w:cs="Times New Roman"/>
                <w:color w:val="000000"/>
                <w:lang w:val="fr-CA"/>
              </w:rPr>
            </w:pPr>
            <w:r w:rsidRPr="00BF170F">
              <w:rPr>
                <w:rFonts w:ascii="Calibri" w:eastAsia="Times New Roman" w:hAnsi="Calibri" w:cs="Times New Roman"/>
                <w:color w:val="000000"/>
                <w:lang w:val="fr-CA"/>
              </w:rPr>
              <w:t>2,9</w:t>
            </w:r>
            <w:r>
              <w:rPr>
                <w:rFonts w:ascii="Calibri" w:eastAsia="Times New Roman" w:hAnsi="Calibri" w:cs="Times New Roman"/>
                <w:color w:val="000000"/>
                <w:lang w:val="fr-CA"/>
              </w:rPr>
              <w:t>2</w:t>
            </w:r>
          </w:p>
        </w:tc>
      </w:tr>
    </w:tbl>
    <w:p w:rsidR="005476C3" w:rsidRPr="005476C3" w:rsidRDefault="005476C3" w:rsidP="005476C3">
      <w:pPr>
        <w:spacing w:before="240"/>
        <w:rPr>
          <w:lang w:val="fr-CA"/>
        </w:rPr>
      </w:pPr>
      <w:r w:rsidRPr="005476C3">
        <w:rPr>
          <w:lang w:val="fr-FR"/>
        </w:rPr>
        <w:t>Plaintes au Commissariat à l’information</w:t>
      </w:r>
    </w:p>
    <w:p w:rsidR="005476C3" w:rsidRDefault="005476C3" w:rsidP="005476C3">
      <w:pPr>
        <w:jc w:val="both"/>
        <w:rPr>
          <w:lang w:val="fr-CA"/>
        </w:rPr>
      </w:pPr>
      <w:r w:rsidRPr="00BF170F">
        <w:rPr>
          <w:lang w:val="fr-CA"/>
        </w:rPr>
        <w:lastRenderedPageBreak/>
        <w:t xml:space="preserve">Le nombre de plaintes reçues concernant AMC était de </w:t>
      </w:r>
      <w:r>
        <w:rPr>
          <w:lang w:val="fr-CA"/>
        </w:rPr>
        <w:t>83</w:t>
      </w:r>
      <w:r>
        <w:rPr>
          <w:rStyle w:val="FootnoteReference"/>
          <w:lang w:val="fr-CA"/>
        </w:rPr>
        <w:footnoteReference w:id="54"/>
      </w:r>
      <w:r>
        <w:rPr>
          <w:lang w:val="fr-CA"/>
        </w:rPr>
        <w:t xml:space="preserve"> en 2014-</w:t>
      </w:r>
      <w:r w:rsidRPr="00BF170F">
        <w:rPr>
          <w:lang w:val="fr-CA"/>
        </w:rPr>
        <w:t>2015, une diminution par rapport aux 120 plaintes reçues pour la période précédente. Cette réduction est en grande partie attribuable à la diminution du nombre de plaintes pour refus (99 plaintes pour refus et 21 plaintes de nature admi</w:t>
      </w:r>
      <w:r>
        <w:rPr>
          <w:lang w:val="fr-CA"/>
        </w:rPr>
        <w:t>nistrative en 2013-</w:t>
      </w:r>
      <w:r w:rsidRPr="00BF170F">
        <w:rPr>
          <w:lang w:val="fr-CA"/>
        </w:rPr>
        <w:t>2014 par rapport à 63 plaintes pour refus et 20 plaintes d</w:t>
      </w:r>
      <w:r>
        <w:rPr>
          <w:lang w:val="fr-CA"/>
        </w:rPr>
        <w:t>e nature administrative en 2014-2015).</w:t>
      </w:r>
    </w:p>
    <w:p w:rsidR="005476C3" w:rsidRPr="00BF170F" w:rsidRDefault="005476C3" w:rsidP="005476C3">
      <w:pPr>
        <w:jc w:val="both"/>
        <w:rPr>
          <w:lang w:val="fr-CA"/>
        </w:rPr>
      </w:pPr>
      <w:r w:rsidRPr="00BF170F">
        <w:rPr>
          <w:lang w:val="fr-CA"/>
        </w:rPr>
        <w:t>En 2014</w:t>
      </w:r>
      <w:r>
        <w:rPr>
          <w:lang w:val="fr-CA"/>
        </w:rPr>
        <w:t>-</w:t>
      </w:r>
      <w:r w:rsidRPr="00BF170F">
        <w:rPr>
          <w:lang w:val="fr-CA"/>
        </w:rPr>
        <w:t>2015, 16 plaintes étaient fondées, 1 plainte n’était pas fondée, 20 </w:t>
      </w:r>
      <w:r>
        <w:rPr>
          <w:lang w:val="fr-CA"/>
        </w:rPr>
        <w:t>plaintes ont été abandonn</w:t>
      </w:r>
      <w:r w:rsidRPr="00BF170F">
        <w:rPr>
          <w:lang w:val="fr-CA"/>
        </w:rPr>
        <w:t>ées et 36</w:t>
      </w:r>
      <w:r w:rsidR="008303C9">
        <w:rPr>
          <w:lang w:val="fr-CA"/>
        </w:rPr>
        <w:t xml:space="preserve"> étaient encore</w:t>
      </w:r>
      <w:r>
        <w:rPr>
          <w:lang w:val="fr-CA"/>
        </w:rPr>
        <w:t xml:space="preserve"> en suspens.</w:t>
      </w:r>
    </w:p>
    <w:p w:rsidR="005476C3" w:rsidRDefault="005476C3">
      <w:pPr>
        <w:rPr>
          <w:lang w:val="fr-CA"/>
        </w:rPr>
      </w:pPr>
      <w:r>
        <w:rPr>
          <w:lang w:val="fr-CA"/>
        </w:rPr>
        <w:br w:type="page"/>
      </w:r>
    </w:p>
    <w:p w:rsidR="005476C3" w:rsidRPr="003D61BD" w:rsidRDefault="005476C3" w:rsidP="005476C3">
      <w:pPr>
        <w:pStyle w:val="Heading1"/>
      </w:pPr>
      <w:r w:rsidRPr="003D61BD">
        <w:lastRenderedPageBreak/>
        <w:t>Bibliothèque et Archives Canada</w:t>
      </w:r>
    </w:p>
    <w:p w:rsidR="005476C3" w:rsidRPr="003D61BD" w:rsidRDefault="005476C3" w:rsidP="005476C3">
      <w:pPr>
        <w:jc w:val="both"/>
        <w:rPr>
          <w:b/>
          <w:lang w:val="fr-CA"/>
        </w:rPr>
      </w:pPr>
      <w:r w:rsidRPr="003D61BD">
        <w:rPr>
          <w:rStyle w:val="Heading2Char"/>
        </w:rPr>
        <w:t>Rendement global</w:t>
      </w:r>
      <w:r w:rsidRPr="00033BE2">
        <w:rPr>
          <w:rStyle w:val="FootnoteReference"/>
          <w:b/>
          <w:lang w:val="fr-CA"/>
        </w:rPr>
        <w:footnoteReference w:id="55"/>
      </w:r>
    </w:p>
    <w:p w:rsidR="005476C3" w:rsidRPr="00033BE2" w:rsidRDefault="005476C3" w:rsidP="005476C3">
      <w:pPr>
        <w:jc w:val="both"/>
        <w:rPr>
          <w:lang w:val="fr-CA"/>
        </w:rPr>
      </w:pPr>
      <w:r>
        <w:rPr>
          <w:lang w:val="fr-CA"/>
        </w:rPr>
        <w:t xml:space="preserve">En 2014-2015, malgré un nombre similaire de demandes reçues, </w:t>
      </w:r>
      <w:r w:rsidRPr="004F01CC">
        <w:rPr>
          <w:lang w:val="fr-CA"/>
        </w:rPr>
        <w:t xml:space="preserve">Bibliothèque et Archives Canada (BAC) a </w:t>
      </w:r>
      <w:r>
        <w:rPr>
          <w:lang w:val="fr-CA"/>
        </w:rPr>
        <w:t>amélioré taux</w:t>
      </w:r>
      <w:r w:rsidRPr="004F01CC">
        <w:rPr>
          <w:lang w:val="fr-CA"/>
        </w:rPr>
        <w:t xml:space="preserve"> de demandes complétées 30 jours ou moins de 9,9 % par rapport à l’année précédente. Le présent rapport contient des statistiques comparatives pour les trois dernières périodes (2012 à 2015).</w:t>
      </w:r>
    </w:p>
    <w:p w:rsidR="005476C3" w:rsidRPr="003D61BD" w:rsidRDefault="005476C3" w:rsidP="005476C3">
      <w:pPr>
        <w:pStyle w:val="Heading2"/>
      </w:pPr>
      <w:r w:rsidRPr="003D61BD">
        <w:t>Charge de travail</w:t>
      </w:r>
    </w:p>
    <w:p w:rsidR="005476C3" w:rsidRPr="00033BE2" w:rsidRDefault="005476C3" w:rsidP="005476C3">
      <w:pPr>
        <w:jc w:val="both"/>
        <w:rPr>
          <w:lang w:val="fr-CA"/>
        </w:rPr>
      </w:pPr>
      <w:r>
        <w:rPr>
          <w:lang w:val="fr-CA"/>
        </w:rPr>
        <w:t xml:space="preserve">BAC a reçu 829 demandes en vertu de la </w:t>
      </w:r>
      <w:r>
        <w:rPr>
          <w:i/>
          <w:lang w:val="fr-CA"/>
        </w:rPr>
        <w:t>Loi sur l’accès à l’information</w:t>
      </w:r>
      <w:r w:rsidRPr="00033BE2">
        <w:rPr>
          <w:lang w:val="fr-CA"/>
        </w:rPr>
        <w:t xml:space="preserve">, </w:t>
      </w:r>
      <w:r>
        <w:rPr>
          <w:lang w:val="fr-CA"/>
        </w:rPr>
        <w:t xml:space="preserve">ce qui correspond à </w:t>
      </w:r>
      <w:r w:rsidRPr="00033BE2">
        <w:rPr>
          <w:lang w:val="fr-CA"/>
        </w:rPr>
        <w:t>1</w:t>
      </w:r>
      <w:r>
        <w:rPr>
          <w:lang w:val="fr-CA"/>
        </w:rPr>
        <w:t>,</w:t>
      </w:r>
      <w:r w:rsidRPr="00033BE2">
        <w:rPr>
          <w:lang w:val="fr-CA"/>
        </w:rPr>
        <w:t>2</w:t>
      </w:r>
      <w:r>
        <w:rPr>
          <w:lang w:val="fr-CA"/>
        </w:rPr>
        <w:t> </w:t>
      </w:r>
      <w:r w:rsidRPr="00033BE2">
        <w:rPr>
          <w:lang w:val="fr-CA"/>
        </w:rPr>
        <w:t xml:space="preserve">% </w:t>
      </w:r>
      <w:r>
        <w:rPr>
          <w:lang w:val="fr-CA"/>
        </w:rPr>
        <w:t>du nombre total des demandes reçues du gouvernement en</w:t>
      </w:r>
      <w:r w:rsidRPr="00033BE2">
        <w:rPr>
          <w:lang w:val="fr-CA"/>
        </w:rPr>
        <w:t xml:space="preserve"> 2014</w:t>
      </w:r>
      <w:r>
        <w:rPr>
          <w:lang w:val="fr-CA"/>
        </w:rPr>
        <w:t>-</w:t>
      </w:r>
      <w:r w:rsidRPr="00033BE2">
        <w:rPr>
          <w:lang w:val="fr-CA"/>
        </w:rPr>
        <w:t>2015.</w:t>
      </w:r>
      <w:r>
        <w:rPr>
          <w:lang w:val="fr-CA"/>
        </w:rPr>
        <w:t xml:space="preserve"> Cela est similaire à la période de référence précédente, où 877 demandes avaient été reçues par BAC.</w:t>
      </w:r>
      <w:r w:rsidRPr="00033BE2">
        <w:rPr>
          <w:lang w:val="fr-CA"/>
        </w:rPr>
        <w:t xml:space="preserve"> </w:t>
      </w:r>
      <w:r>
        <w:rPr>
          <w:lang w:val="fr-CA"/>
        </w:rPr>
        <w:t xml:space="preserve">La majorité des demandes reçues en </w:t>
      </w:r>
      <w:r w:rsidRPr="00033BE2">
        <w:rPr>
          <w:lang w:val="fr-CA"/>
        </w:rPr>
        <w:t>2014</w:t>
      </w:r>
      <w:r>
        <w:rPr>
          <w:lang w:val="fr-CA"/>
        </w:rPr>
        <w:t>-</w:t>
      </w:r>
      <w:r w:rsidRPr="00033BE2">
        <w:rPr>
          <w:lang w:val="fr-CA"/>
        </w:rPr>
        <w:t xml:space="preserve">2015 </w:t>
      </w:r>
      <w:r>
        <w:rPr>
          <w:lang w:val="fr-CA"/>
        </w:rPr>
        <w:t xml:space="preserve">provenaient du public </w:t>
      </w:r>
      <w:r w:rsidRPr="00033BE2">
        <w:rPr>
          <w:lang w:val="fr-CA"/>
        </w:rPr>
        <w:t>(85</w:t>
      </w:r>
      <w:r>
        <w:rPr>
          <w:lang w:val="fr-CA"/>
        </w:rPr>
        <w:t>,3 </w:t>
      </w:r>
      <w:r w:rsidRPr="00033BE2">
        <w:rPr>
          <w:lang w:val="fr-CA"/>
        </w:rPr>
        <w:t xml:space="preserve">%), </w:t>
      </w:r>
      <w:r>
        <w:rPr>
          <w:lang w:val="fr-CA"/>
        </w:rPr>
        <w:t>ce qui constitue une augmentation de 12,4 % par rapport à la période précédente.</w:t>
      </w:r>
    </w:p>
    <w:p w:rsidR="005476C3" w:rsidRDefault="005476C3" w:rsidP="005476C3">
      <w:pPr>
        <w:jc w:val="both"/>
        <w:rPr>
          <w:lang w:val="fr-CA"/>
        </w:rPr>
      </w:pPr>
      <w:r>
        <w:rPr>
          <w:lang w:val="fr-CA"/>
        </w:rPr>
        <w:t xml:space="preserve">BAC a complété </w:t>
      </w:r>
      <w:r w:rsidRPr="00033BE2">
        <w:rPr>
          <w:lang w:val="fr-CA"/>
        </w:rPr>
        <w:t>821</w:t>
      </w:r>
      <w:r>
        <w:rPr>
          <w:lang w:val="fr-CA"/>
        </w:rPr>
        <w:t> demandes pendant la période de référence</w:t>
      </w:r>
      <w:r w:rsidRPr="00033BE2">
        <w:rPr>
          <w:lang w:val="fr-CA"/>
        </w:rPr>
        <w:t xml:space="preserve">. </w:t>
      </w:r>
      <w:r>
        <w:rPr>
          <w:lang w:val="fr-CA"/>
        </w:rPr>
        <w:t>Le taux d’achèvement</w:t>
      </w:r>
      <w:r>
        <w:rPr>
          <w:rStyle w:val="FootnoteReference"/>
          <w:lang w:val="fr-CA"/>
        </w:rPr>
        <w:footnoteReference w:id="56"/>
      </w:r>
      <w:r>
        <w:rPr>
          <w:lang w:val="fr-CA"/>
        </w:rPr>
        <w:t xml:space="preserve"> était de </w:t>
      </w:r>
      <w:r w:rsidRPr="00033BE2">
        <w:rPr>
          <w:lang w:val="fr-CA"/>
        </w:rPr>
        <w:t>86</w:t>
      </w:r>
      <w:r>
        <w:rPr>
          <w:lang w:val="fr-CA"/>
        </w:rPr>
        <w:t>,</w:t>
      </w:r>
      <w:r w:rsidRPr="00033BE2">
        <w:rPr>
          <w:lang w:val="fr-CA"/>
        </w:rPr>
        <w:t>9</w:t>
      </w:r>
      <w:r>
        <w:rPr>
          <w:lang w:val="fr-CA"/>
        </w:rPr>
        <w:t> %</w:t>
      </w:r>
      <w:r w:rsidRPr="00033BE2">
        <w:rPr>
          <w:lang w:val="fr-CA"/>
        </w:rPr>
        <w:t xml:space="preserve">, </w:t>
      </w:r>
      <w:r>
        <w:rPr>
          <w:lang w:val="fr-CA"/>
        </w:rPr>
        <w:t>soit un taux supérieur à celui établi pour l’ensemble du gouvernement qui lui, était de 85,1 %.</w:t>
      </w:r>
      <w:r w:rsidRPr="00033BE2">
        <w:rPr>
          <w:lang w:val="fr-CA"/>
        </w:rPr>
        <w:t xml:space="preserve"> </w:t>
      </w:r>
      <w:r>
        <w:rPr>
          <w:lang w:val="fr-CA"/>
        </w:rPr>
        <w:t>E</w:t>
      </w:r>
      <w:r w:rsidRPr="00033BE2">
        <w:rPr>
          <w:lang w:val="fr-CA"/>
        </w:rPr>
        <w:t>n 2013</w:t>
      </w:r>
      <w:r>
        <w:rPr>
          <w:lang w:val="fr-CA"/>
        </w:rPr>
        <w:t>-</w:t>
      </w:r>
      <w:r w:rsidRPr="00033BE2">
        <w:rPr>
          <w:lang w:val="fr-CA"/>
        </w:rPr>
        <w:t xml:space="preserve">2014, </w:t>
      </w:r>
      <w:r>
        <w:rPr>
          <w:lang w:val="fr-CA"/>
        </w:rPr>
        <w:t xml:space="preserve">BAC avait un taux d’achèvement de </w:t>
      </w:r>
      <w:r w:rsidRPr="00033BE2">
        <w:rPr>
          <w:lang w:val="fr-CA"/>
        </w:rPr>
        <w:t>88</w:t>
      </w:r>
      <w:r>
        <w:rPr>
          <w:lang w:val="fr-CA"/>
        </w:rPr>
        <w:t>,8 </w:t>
      </w:r>
      <w:r w:rsidRPr="00033BE2">
        <w:rPr>
          <w:lang w:val="fr-CA"/>
        </w:rPr>
        <w:t xml:space="preserve">%. </w:t>
      </w:r>
      <w:r>
        <w:rPr>
          <w:lang w:val="fr-CA"/>
        </w:rPr>
        <w:t>Par ailleurs, e</w:t>
      </w:r>
      <w:r w:rsidRPr="00033BE2">
        <w:rPr>
          <w:lang w:val="fr-CA"/>
        </w:rPr>
        <w:t>n 2014</w:t>
      </w:r>
      <w:r>
        <w:rPr>
          <w:lang w:val="fr-CA"/>
        </w:rPr>
        <w:t>-</w:t>
      </w:r>
      <w:r w:rsidRPr="00033BE2">
        <w:rPr>
          <w:lang w:val="fr-CA"/>
        </w:rPr>
        <w:t xml:space="preserve">2015, </w:t>
      </w:r>
      <w:r>
        <w:rPr>
          <w:lang w:val="fr-CA"/>
        </w:rPr>
        <w:t xml:space="preserve">BAC a reçu </w:t>
      </w:r>
      <w:r w:rsidRPr="00033BE2">
        <w:rPr>
          <w:lang w:val="fr-CA"/>
        </w:rPr>
        <w:t>6</w:t>
      </w:r>
      <w:r>
        <w:rPr>
          <w:lang w:val="fr-CA"/>
        </w:rPr>
        <w:t> </w:t>
      </w:r>
      <w:r w:rsidRPr="00033BE2">
        <w:rPr>
          <w:lang w:val="fr-CA"/>
        </w:rPr>
        <w:t>671</w:t>
      </w:r>
      <w:r>
        <w:rPr>
          <w:lang w:val="fr-CA"/>
        </w:rPr>
        <w:t xml:space="preserve"> demandes informelles, dont </w:t>
      </w:r>
      <w:r w:rsidRPr="00033BE2">
        <w:rPr>
          <w:lang w:val="fr-CA"/>
        </w:rPr>
        <w:t>39</w:t>
      </w:r>
      <w:r>
        <w:rPr>
          <w:lang w:val="fr-CA"/>
        </w:rPr>
        <w:t>,</w:t>
      </w:r>
      <w:r w:rsidRPr="00033BE2">
        <w:rPr>
          <w:lang w:val="fr-CA"/>
        </w:rPr>
        <w:t>6</w:t>
      </w:r>
      <w:r>
        <w:rPr>
          <w:lang w:val="fr-CA"/>
        </w:rPr>
        <w:t> </w:t>
      </w:r>
      <w:r w:rsidRPr="00033BE2">
        <w:rPr>
          <w:lang w:val="fr-CA"/>
        </w:rPr>
        <w:t xml:space="preserve">% </w:t>
      </w:r>
      <w:r>
        <w:rPr>
          <w:lang w:val="fr-CA"/>
        </w:rPr>
        <w:t xml:space="preserve">qui ont été complétées en </w:t>
      </w:r>
      <w:r w:rsidRPr="00033BE2">
        <w:rPr>
          <w:lang w:val="fr-CA"/>
        </w:rPr>
        <w:t>30</w:t>
      </w:r>
      <w:r>
        <w:rPr>
          <w:lang w:val="fr-CA"/>
        </w:rPr>
        <w:t> jours ou moins</w:t>
      </w:r>
      <w:r w:rsidRPr="00033BE2">
        <w:rPr>
          <w:lang w:val="fr-CA"/>
        </w:rPr>
        <w:t xml:space="preserve">. </w:t>
      </w:r>
      <w:r w:rsidRPr="006E0A90">
        <w:rPr>
          <w:lang w:val="fr-CA"/>
        </w:rPr>
        <w:t xml:space="preserve">Le nombre de demandes de consultation reçues par BAC en provenance d’autres institutions fédérales a augmenté de 28 </w:t>
      </w:r>
      <w:r>
        <w:rPr>
          <w:lang w:val="fr-CA"/>
        </w:rPr>
        <w:t>en 2013-</w:t>
      </w:r>
      <w:r w:rsidRPr="006E0A90">
        <w:rPr>
          <w:lang w:val="fr-CA"/>
        </w:rPr>
        <w:t>2014</w:t>
      </w:r>
      <w:r>
        <w:rPr>
          <w:lang w:val="fr-CA"/>
        </w:rPr>
        <w:t xml:space="preserve"> à 33</w:t>
      </w:r>
      <w:r w:rsidRPr="006E0A90">
        <w:rPr>
          <w:lang w:val="fr-CA"/>
        </w:rPr>
        <w:t>.</w:t>
      </w:r>
    </w:p>
    <w:p w:rsidR="005476C3" w:rsidRPr="00033BE2" w:rsidRDefault="005476C3" w:rsidP="005476C3">
      <w:pPr>
        <w:jc w:val="both"/>
        <w:rPr>
          <w:lang w:val="fr-CA"/>
        </w:rPr>
      </w:pPr>
      <w:r>
        <w:rPr>
          <w:lang w:val="fr-CA"/>
        </w:rPr>
        <w:t xml:space="preserve">Le nombre total de pages traitées pendant la période de référence s’élèvent à </w:t>
      </w:r>
      <w:r w:rsidRPr="00033BE2">
        <w:rPr>
          <w:lang w:val="fr-CA"/>
        </w:rPr>
        <w:t>276</w:t>
      </w:r>
      <w:r>
        <w:rPr>
          <w:lang w:val="fr-CA"/>
        </w:rPr>
        <w:t> </w:t>
      </w:r>
      <w:r w:rsidRPr="00033BE2">
        <w:rPr>
          <w:lang w:val="fr-CA"/>
        </w:rPr>
        <w:t xml:space="preserve">887. </w:t>
      </w:r>
      <w:r>
        <w:rPr>
          <w:lang w:val="fr-CA"/>
        </w:rPr>
        <w:t>Le t</w:t>
      </w:r>
      <w:r w:rsidRPr="00033BE2">
        <w:rPr>
          <w:lang w:val="fr-CA"/>
        </w:rPr>
        <w:t>able</w:t>
      </w:r>
      <w:r>
        <w:rPr>
          <w:lang w:val="fr-CA"/>
        </w:rPr>
        <w:t>au </w:t>
      </w:r>
      <w:r w:rsidRPr="00033BE2">
        <w:rPr>
          <w:lang w:val="fr-CA"/>
        </w:rPr>
        <w:t xml:space="preserve">1 </w:t>
      </w:r>
      <w:r>
        <w:rPr>
          <w:lang w:val="fr-CA"/>
        </w:rPr>
        <w:t>indique que le nombre moyen de pages traitées par demande complétée est passé de 449 </w:t>
      </w:r>
      <w:r w:rsidRPr="00033BE2">
        <w:rPr>
          <w:lang w:val="fr-CA"/>
        </w:rPr>
        <w:t xml:space="preserve">pages </w:t>
      </w:r>
      <w:r>
        <w:rPr>
          <w:lang w:val="fr-CA"/>
        </w:rPr>
        <w:t>en</w:t>
      </w:r>
      <w:r w:rsidRPr="00033BE2">
        <w:rPr>
          <w:lang w:val="fr-CA"/>
        </w:rPr>
        <w:t xml:space="preserve"> 2013</w:t>
      </w:r>
      <w:r>
        <w:rPr>
          <w:lang w:val="fr-CA"/>
        </w:rPr>
        <w:t>-</w:t>
      </w:r>
      <w:r w:rsidRPr="00033BE2">
        <w:rPr>
          <w:lang w:val="fr-CA"/>
        </w:rPr>
        <w:t xml:space="preserve">2014 </w:t>
      </w:r>
      <w:r>
        <w:rPr>
          <w:lang w:val="fr-CA"/>
        </w:rPr>
        <w:t xml:space="preserve">à </w:t>
      </w:r>
      <w:r w:rsidRPr="00033BE2">
        <w:rPr>
          <w:lang w:val="fr-CA"/>
        </w:rPr>
        <w:t xml:space="preserve">367 </w:t>
      </w:r>
      <w:r>
        <w:rPr>
          <w:lang w:val="fr-CA"/>
        </w:rPr>
        <w:t>e</w:t>
      </w:r>
      <w:r w:rsidRPr="00033BE2">
        <w:rPr>
          <w:lang w:val="fr-CA"/>
        </w:rPr>
        <w:t>n 2014</w:t>
      </w:r>
      <w:r>
        <w:rPr>
          <w:lang w:val="fr-CA"/>
        </w:rPr>
        <w:t>-2015.</w:t>
      </w:r>
    </w:p>
    <w:p w:rsidR="005476C3" w:rsidRDefault="005476C3" w:rsidP="005476C3">
      <w:pPr>
        <w:jc w:val="both"/>
        <w:rPr>
          <w:lang w:val="fr-CA"/>
        </w:rPr>
      </w:pPr>
      <w:r>
        <w:rPr>
          <w:lang w:val="fr-CA"/>
        </w:rPr>
        <w:t>L’information diffusée par BAC était presque autant en format papier qu’en format électronique : 342 demandes en format papier par rapport à 327 demandes en format électronique.</w:t>
      </w:r>
    </w:p>
    <w:p w:rsidR="005476C3" w:rsidRPr="003D61BD" w:rsidRDefault="005476C3" w:rsidP="00BA2BE8">
      <w:pPr>
        <w:pStyle w:val="Heading3"/>
      </w:pPr>
      <w:r w:rsidRPr="003D61BD">
        <w:t>Tableau </w:t>
      </w:r>
      <w:proofErr w:type="gramStart"/>
      <w:r w:rsidRPr="003D61BD">
        <w:t>1 :</w:t>
      </w:r>
      <w:proofErr w:type="gramEnd"/>
      <w:r w:rsidRPr="003D61BD">
        <w:t xml:space="preserve"> Charge de travail</w:t>
      </w:r>
    </w:p>
    <w:tbl>
      <w:tblPr>
        <w:tblW w:w="9270" w:type="dxa"/>
        <w:tblInd w:w="98" w:type="dxa"/>
        <w:tblLook w:val="04A0"/>
      </w:tblPr>
      <w:tblGrid>
        <w:gridCol w:w="5019"/>
        <w:gridCol w:w="1417"/>
        <w:gridCol w:w="1417"/>
        <w:gridCol w:w="1417"/>
      </w:tblGrid>
      <w:tr w:rsidR="005476C3" w:rsidRPr="00033BE2" w:rsidTr="005476C3">
        <w:trPr>
          <w:trHeight w:val="278"/>
        </w:trPr>
        <w:tc>
          <w:tcPr>
            <w:tcW w:w="5019" w:type="dxa"/>
            <w:tcBorders>
              <w:top w:val="single" w:sz="4" w:space="0" w:color="auto"/>
              <w:left w:val="single" w:sz="4" w:space="0" w:color="auto"/>
              <w:bottom w:val="single" w:sz="8" w:space="0" w:color="auto"/>
              <w:right w:val="nil"/>
            </w:tcBorders>
            <w:shd w:val="clear" w:color="auto" w:fill="auto"/>
            <w:noWrap/>
            <w:vAlign w:val="bottom"/>
            <w:hideMark/>
          </w:tcPr>
          <w:p w:rsidR="005476C3" w:rsidRPr="00033BE2" w:rsidRDefault="005476C3" w:rsidP="005476C3">
            <w:pPr>
              <w:spacing w:after="0" w:line="240" w:lineRule="auto"/>
              <w:rPr>
                <w:rFonts w:ascii="Calibri" w:eastAsia="Times New Roman" w:hAnsi="Calibri" w:cs="Times New Roman"/>
                <w:color w:val="000000"/>
                <w:lang w:val="fr-CA"/>
              </w:rPr>
            </w:pPr>
            <w:r w:rsidRPr="00033BE2">
              <w:rPr>
                <w:rFonts w:ascii="Calibri" w:eastAsia="Times New Roman" w:hAnsi="Calibri" w:cs="Times New Roman"/>
                <w:color w:val="000000"/>
                <w:lang w:val="fr-CA"/>
              </w:rPr>
              <w:t xml:space="preserve">Mesures </w:t>
            </w:r>
          </w:p>
        </w:tc>
        <w:tc>
          <w:tcPr>
            <w:tcW w:w="1417" w:type="dxa"/>
            <w:tcBorders>
              <w:top w:val="single" w:sz="4" w:space="0" w:color="auto"/>
              <w:left w:val="nil"/>
              <w:bottom w:val="single" w:sz="8" w:space="0" w:color="auto"/>
              <w:right w:val="nil"/>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2012</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2013</w:t>
            </w:r>
          </w:p>
        </w:tc>
        <w:tc>
          <w:tcPr>
            <w:tcW w:w="1417" w:type="dxa"/>
            <w:tcBorders>
              <w:top w:val="single" w:sz="4" w:space="0" w:color="auto"/>
              <w:left w:val="nil"/>
              <w:bottom w:val="single" w:sz="8" w:space="0" w:color="auto"/>
              <w:right w:val="nil"/>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2013</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2014</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2014</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2015</w:t>
            </w:r>
          </w:p>
        </w:tc>
      </w:tr>
      <w:tr w:rsidR="005476C3" w:rsidRPr="00033BE2" w:rsidTr="005476C3">
        <w:trPr>
          <w:trHeight w:val="265"/>
        </w:trPr>
        <w:tc>
          <w:tcPr>
            <w:tcW w:w="5019" w:type="dxa"/>
            <w:tcBorders>
              <w:top w:val="nil"/>
              <w:left w:val="single" w:sz="4" w:space="0" w:color="auto"/>
              <w:bottom w:val="nil"/>
              <w:right w:val="nil"/>
            </w:tcBorders>
            <w:shd w:val="clear" w:color="000000" w:fill="DBE5F1"/>
            <w:noWrap/>
            <w:hideMark/>
          </w:tcPr>
          <w:p w:rsidR="005476C3" w:rsidRPr="00033BE2" w:rsidRDefault="005476C3" w:rsidP="005476C3">
            <w:pPr>
              <w:spacing w:after="0" w:line="240" w:lineRule="auto"/>
              <w:rPr>
                <w:rFonts w:ascii="Calibri" w:eastAsia="Times New Roman" w:hAnsi="Calibri" w:cs="Times New Roman"/>
                <w:color w:val="000000"/>
                <w:lang w:val="fr-CA"/>
              </w:rPr>
            </w:pPr>
            <w:r w:rsidRPr="00033BE2">
              <w:rPr>
                <w:rFonts w:ascii="Calibri" w:eastAsia="Times New Roman" w:hAnsi="Calibri" w:cs="Times New Roman"/>
                <w:color w:val="000000"/>
                <w:lang w:val="fr-CA"/>
              </w:rPr>
              <w:t>N</w:t>
            </w:r>
            <w:r>
              <w:rPr>
                <w:rFonts w:ascii="Calibri" w:eastAsia="Times New Roman" w:hAnsi="Calibri" w:cs="Times New Roman"/>
                <w:color w:val="000000"/>
                <w:lang w:val="fr-CA"/>
              </w:rPr>
              <w:t>ombre de demandes reçues</w:t>
            </w:r>
            <w:r w:rsidRPr="00033BE2">
              <w:rPr>
                <w:rFonts w:ascii="Calibri" w:eastAsia="Times New Roman" w:hAnsi="Calibri" w:cs="Times New Roman"/>
                <w:color w:val="000000"/>
                <w:lang w:val="fr-CA"/>
              </w:rPr>
              <w:t xml:space="preserve"> </w:t>
            </w:r>
          </w:p>
        </w:tc>
        <w:tc>
          <w:tcPr>
            <w:tcW w:w="1417" w:type="dxa"/>
            <w:tcBorders>
              <w:top w:val="nil"/>
              <w:left w:val="nil"/>
              <w:bottom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900</w:t>
            </w:r>
          </w:p>
        </w:tc>
        <w:tc>
          <w:tcPr>
            <w:tcW w:w="1417" w:type="dxa"/>
            <w:tcBorders>
              <w:top w:val="nil"/>
              <w:left w:val="nil"/>
              <w:bottom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877</w:t>
            </w:r>
          </w:p>
        </w:tc>
        <w:tc>
          <w:tcPr>
            <w:tcW w:w="1417" w:type="dxa"/>
            <w:tcBorders>
              <w:top w:val="nil"/>
              <w:left w:val="nil"/>
              <w:bottom w:val="nil"/>
              <w:right w:val="single" w:sz="4" w:space="0" w:color="auto"/>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829</w:t>
            </w:r>
          </w:p>
        </w:tc>
      </w:tr>
      <w:tr w:rsidR="005476C3" w:rsidRPr="00033BE2" w:rsidTr="005476C3">
        <w:trPr>
          <w:trHeight w:val="265"/>
        </w:trPr>
        <w:tc>
          <w:tcPr>
            <w:tcW w:w="5019" w:type="dxa"/>
            <w:tcBorders>
              <w:top w:val="nil"/>
              <w:left w:val="single" w:sz="4" w:space="0" w:color="auto"/>
              <w:bottom w:val="nil"/>
              <w:right w:val="nil"/>
            </w:tcBorders>
            <w:shd w:val="clear" w:color="auto" w:fill="auto"/>
            <w:hideMark/>
          </w:tcPr>
          <w:p w:rsidR="005476C3" w:rsidRPr="00033BE2"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 xml:space="preserve">Variation annuelle en </w:t>
            </w:r>
            <w:r w:rsidRPr="00033BE2">
              <w:rPr>
                <w:rFonts w:ascii="Calibri" w:eastAsia="Times New Roman" w:hAnsi="Calibri" w:cs="Times New Roman"/>
                <w:color w:val="000000"/>
                <w:lang w:val="fr-CA"/>
              </w:rPr>
              <w:t>%</w:t>
            </w:r>
          </w:p>
        </w:tc>
        <w:tc>
          <w:tcPr>
            <w:tcW w:w="1417" w:type="dxa"/>
            <w:tcBorders>
              <w:top w:val="nil"/>
              <w:left w:val="nil"/>
              <w:bottom w:val="nil"/>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w:t>
            </w:r>
          </w:p>
        </w:tc>
        <w:tc>
          <w:tcPr>
            <w:tcW w:w="1417" w:type="dxa"/>
            <w:tcBorders>
              <w:top w:val="nil"/>
              <w:left w:val="nil"/>
              <w:bottom w:val="nil"/>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-2</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6</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c>
          <w:tcPr>
            <w:tcW w:w="1417" w:type="dxa"/>
            <w:tcBorders>
              <w:top w:val="nil"/>
              <w:left w:val="nil"/>
              <w:bottom w:val="nil"/>
              <w:right w:val="single" w:sz="4" w:space="0" w:color="auto"/>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-5</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5</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r>
      <w:tr w:rsidR="005476C3" w:rsidRPr="00F85589" w:rsidTr="005476C3">
        <w:trPr>
          <w:trHeight w:val="265"/>
        </w:trPr>
        <w:tc>
          <w:tcPr>
            <w:tcW w:w="5019" w:type="dxa"/>
            <w:tcBorders>
              <w:top w:val="nil"/>
              <w:left w:val="single" w:sz="4" w:space="0" w:color="auto"/>
              <w:right w:val="nil"/>
            </w:tcBorders>
            <w:shd w:val="clear" w:color="000000" w:fill="DBE5F1"/>
            <w:hideMark/>
          </w:tcPr>
          <w:p w:rsidR="005476C3" w:rsidRPr="00F85589" w:rsidRDefault="005476C3" w:rsidP="005476C3">
            <w:pPr>
              <w:spacing w:after="0" w:line="240" w:lineRule="auto"/>
              <w:rPr>
                <w:rFonts w:ascii="Calibri" w:eastAsia="Times New Roman" w:hAnsi="Calibri" w:cs="Times New Roman"/>
                <w:color w:val="000000"/>
                <w:lang w:val="fr-FR"/>
              </w:rPr>
            </w:pPr>
            <w:r w:rsidRPr="00992C94">
              <w:rPr>
                <w:rFonts w:ascii="Calibri" w:eastAsia="Times New Roman" w:hAnsi="Calibri" w:cs="Times New Roman"/>
                <w:color w:val="000000"/>
                <w:lang w:val="fr-CA"/>
              </w:rPr>
              <w:t xml:space="preserve">Demandes </w:t>
            </w:r>
            <w:proofErr w:type="spellStart"/>
            <w:r>
              <w:rPr>
                <w:rFonts w:ascii="Calibri" w:eastAsia="Times New Roman" w:hAnsi="Calibri" w:cs="Times New Roman"/>
                <w:color w:val="000000"/>
                <w:lang w:val="fr-CA"/>
              </w:rPr>
              <w:t>compl</w:t>
            </w:r>
            <w:r>
              <w:rPr>
                <w:rFonts w:ascii="Calibri" w:eastAsia="Times New Roman" w:hAnsi="Calibri" w:cs="Times New Roman"/>
                <w:color w:val="000000"/>
              </w:rPr>
              <w:t>étées</w:t>
            </w:r>
            <w:proofErr w:type="spellEnd"/>
            <w:r w:rsidRPr="00F85589">
              <w:rPr>
                <w:rFonts w:ascii="Calibri" w:eastAsia="Times New Roman" w:hAnsi="Calibri" w:cs="Times New Roman"/>
                <w:color w:val="000000"/>
                <w:lang w:val="fr-FR"/>
              </w:rPr>
              <w:tab/>
            </w:r>
          </w:p>
        </w:tc>
        <w:tc>
          <w:tcPr>
            <w:tcW w:w="1417" w:type="dxa"/>
            <w:tcBorders>
              <w:top w:val="nil"/>
              <w:left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874</w:t>
            </w:r>
          </w:p>
        </w:tc>
        <w:tc>
          <w:tcPr>
            <w:tcW w:w="1417" w:type="dxa"/>
            <w:tcBorders>
              <w:top w:val="nil"/>
              <w:left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924</w:t>
            </w:r>
          </w:p>
        </w:tc>
        <w:tc>
          <w:tcPr>
            <w:tcW w:w="1417" w:type="dxa"/>
            <w:tcBorders>
              <w:top w:val="nil"/>
              <w:left w:val="nil"/>
              <w:right w:val="single" w:sz="4" w:space="0" w:color="auto"/>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821</w:t>
            </w:r>
          </w:p>
        </w:tc>
      </w:tr>
      <w:tr w:rsidR="005476C3" w:rsidRPr="00F85589" w:rsidTr="005476C3">
        <w:trPr>
          <w:trHeight w:val="278"/>
        </w:trPr>
        <w:tc>
          <w:tcPr>
            <w:tcW w:w="5019" w:type="dxa"/>
            <w:tcBorders>
              <w:top w:val="nil"/>
              <w:left w:val="single" w:sz="4" w:space="0" w:color="auto"/>
              <w:right w:val="nil"/>
            </w:tcBorders>
            <w:shd w:val="clear" w:color="auto" w:fill="auto"/>
            <w:hideMark/>
          </w:tcPr>
          <w:p w:rsidR="005476C3" w:rsidRPr="00033BE2"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 xml:space="preserve">Variation annuelle en </w:t>
            </w:r>
            <w:r w:rsidRPr="00033BE2">
              <w:rPr>
                <w:rFonts w:ascii="Calibri" w:eastAsia="Times New Roman" w:hAnsi="Calibri" w:cs="Times New Roman"/>
                <w:color w:val="000000"/>
                <w:lang w:val="fr-CA"/>
              </w:rPr>
              <w:t>%</w:t>
            </w:r>
          </w:p>
        </w:tc>
        <w:tc>
          <w:tcPr>
            <w:tcW w:w="1417" w:type="dxa"/>
            <w:tcBorders>
              <w:top w:val="nil"/>
              <w:left w:val="nil"/>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w:t>
            </w:r>
          </w:p>
        </w:tc>
        <w:tc>
          <w:tcPr>
            <w:tcW w:w="1417" w:type="dxa"/>
            <w:tcBorders>
              <w:top w:val="nil"/>
              <w:left w:val="nil"/>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5,</w:t>
            </w:r>
            <w:r w:rsidRPr="00033BE2">
              <w:rPr>
                <w:rFonts w:ascii="Calibri" w:eastAsia="Times New Roman" w:hAnsi="Calibri" w:cs="Times New Roman"/>
                <w:color w:val="000000"/>
                <w:lang w:val="fr-CA"/>
              </w:rPr>
              <w:t>7</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c>
          <w:tcPr>
            <w:tcW w:w="1417" w:type="dxa"/>
            <w:tcBorders>
              <w:top w:val="nil"/>
              <w:left w:val="nil"/>
              <w:right w:val="single" w:sz="4" w:space="0" w:color="auto"/>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-11,</w:t>
            </w:r>
            <w:r w:rsidRPr="00033BE2">
              <w:rPr>
                <w:rFonts w:ascii="Calibri" w:eastAsia="Times New Roman" w:hAnsi="Calibri" w:cs="Times New Roman"/>
                <w:color w:val="000000"/>
                <w:lang w:val="fr-CA"/>
              </w:rPr>
              <w:t>1</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r>
      <w:tr w:rsidR="005476C3" w:rsidRPr="00033BE2" w:rsidTr="005476C3">
        <w:trPr>
          <w:trHeight w:val="460"/>
        </w:trPr>
        <w:tc>
          <w:tcPr>
            <w:tcW w:w="5019" w:type="dxa"/>
            <w:tcBorders>
              <w:top w:val="nil"/>
              <w:left w:val="single" w:sz="4" w:space="0" w:color="auto"/>
              <w:right w:val="nil"/>
            </w:tcBorders>
            <w:shd w:val="clear" w:color="000000" w:fill="DBE5F1"/>
            <w:hideMark/>
          </w:tcPr>
          <w:p w:rsidR="005476C3" w:rsidRPr="00033BE2" w:rsidRDefault="005476C3" w:rsidP="005476C3">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t>Nom</w:t>
            </w:r>
            <w:r>
              <w:rPr>
                <w:rFonts w:ascii="Calibri" w:eastAsia="Times New Roman" w:hAnsi="Calibri" w:cs="Times New Roman"/>
                <w:color w:val="000000"/>
                <w:lang w:val="fr-CA"/>
              </w:rPr>
              <w:t>bre de demandes de consultation</w:t>
            </w:r>
            <w:r w:rsidRPr="00992C94">
              <w:rPr>
                <w:rFonts w:ascii="Calibri" w:eastAsia="Times New Roman" w:hAnsi="Calibri" w:cs="Times New Roman"/>
                <w:color w:val="000000"/>
                <w:lang w:val="fr-CA"/>
              </w:rPr>
              <w:t xml:space="preserve"> reçues (d’autres institutions fédérales)</w:t>
            </w:r>
          </w:p>
        </w:tc>
        <w:tc>
          <w:tcPr>
            <w:tcW w:w="1417" w:type="dxa"/>
            <w:tcBorders>
              <w:top w:val="nil"/>
              <w:left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41</w:t>
            </w:r>
          </w:p>
        </w:tc>
        <w:tc>
          <w:tcPr>
            <w:tcW w:w="1417" w:type="dxa"/>
            <w:tcBorders>
              <w:top w:val="nil"/>
              <w:left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28</w:t>
            </w:r>
          </w:p>
        </w:tc>
        <w:tc>
          <w:tcPr>
            <w:tcW w:w="1417" w:type="dxa"/>
            <w:tcBorders>
              <w:top w:val="nil"/>
              <w:left w:val="nil"/>
              <w:right w:val="single" w:sz="4" w:space="0" w:color="auto"/>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33</w:t>
            </w:r>
          </w:p>
        </w:tc>
      </w:tr>
      <w:tr w:rsidR="005476C3" w:rsidRPr="00033BE2" w:rsidTr="005476C3">
        <w:trPr>
          <w:trHeight w:val="278"/>
        </w:trPr>
        <w:tc>
          <w:tcPr>
            <w:tcW w:w="5019" w:type="dxa"/>
            <w:tcBorders>
              <w:top w:val="nil"/>
              <w:left w:val="single" w:sz="4" w:space="0" w:color="auto"/>
              <w:right w:val="nil"/>
            </w:tcBorders>
            <w:shd w:val="clear" w:color="auto" w:fill="auto"/>
            <w:hideMark/>
          </w:tcPr>
          <w:p w:rsidR="005476C3" w:rsidRPr="00033BE2"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 xml:space="preserve">Variation annuelle en </w:t>
            </w:r>
            <w:r w:rsidRPr="00033BE2">
              <w:rPr>
                <w:rFonts w:ascii="Calibri" w:eastAsia="Times New Roman" w:hAnsi="Calibri" w:cs="Times New Roman"/>
                <w:color w:val="000000"/>
                <w:lang w:val="fr-CA"/>
              </w:rPr>
              <w:t>%</w:t>
            </w:r>
          </w:p>
        </w:tc>
        <w:tc>
          <w:tcPr>
            <w:tcW w:w="1417" w:type="dxa"/>
            <w:tcBorders>
              <w:top w:val="nil"/>
              <w:left w:val="nil"/>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w:t>
            </w:r>
          </w:p>
        </w:tc>
        <w:tc>
          <w:tcPr>
            <w:tcW w:w="1417" w:type="dxa"/>
            <w:tcBorders>
              <w:top w:val="nil"/>
              <w:left w:val="nil"/>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-31,</w:t>
            </w:r>
            <w:r w:rsidRPr="00033BE2">
              <w:rPr>
                <w:rFonts w:ascii="Calibri" w:eastAsia="Times New Roman" w:hAnsi="Calibri" w:cs="Times New Roman"/>
                <w:color w:val="000000"/>
                <w:lang w:val="fr-CA"/>
              </w:rPr>
              <w:t>7</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c>
          <w:tcPr>
            <w:tcW w:w="1417" w:type="dxa"/>
            <w:tcBorders>
              <w:top w:val="nil"/>
              <w:left w:val="nil"/>
              <w:right w:val="single" w:sz="4" w:space="0" w:color="auto"/>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17,</w:t>
            </w:r>
            <w:r w:rsidRPr="00033BE2">
              <w:rPr>
                <w:rFonts w:ascii="Calibri" w:eastAsia="Times New Roman" w:hAnsi="Calibri" w:cs="Times New Roman"/>
                <w:color w:val="000000"/>
                <w:lang w:val="fr-CA"/>
              </w:rPr>
              <w:t>9</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r>
      <w:tr w:rsidR="005476C3" w:rsidRPr="00033BE2" w:rsidTr="005476C3">
        <w:trPr>
          <w:trHeight w:val="543"/>
        </w:trPr>
        <w:tc>
          <w:tcPr>
            <w:tcW w:w="5019" w:type="dxa"/>
            <w:tcBorders>
              <w:left w:val="single" w:sz="4" w:space="0" w:color="auto"/>
              <w:bottom w:val="nil"/>
              <w:right w:val="nil"/>
            </w:tcBorders>
            <w:shd w:val="clear" w:color="000000" w:fill="DBE5F1"/>
            <w:hideMark/>
          </w:tcPr>
          <w:p w:rsidR="005476C3" w:rsidRPr="00033BE2" w:rsidRDefault="005476C3" w:rsidP="005476C3">
            <w:pPr>
              <w:spacing w:after="0" w:line="240" w:lineRule="auto"/>
              <w:rPr>
                <w:rFonts w:ascii="Calibri" w:eastAsia="Times New Roman" w:hAnsi="Calibri" w:cs="Times New Roman"/>
                <w:color w:val="000000"/>
                <w:lang w:val="fr-CA"/>
              </w:rPr>
            </w:pPr>
            <w:r w:rsidRPr="00A242C4">
              <w:rPr>
                <w:rFonts w:ascii="Calibri" w:eastAsia="Times New Roman" w:hAnsi="Calibri" w:cs="Times New Roman"/>
                <w:color w:val="000000"/>
                <w:lang w:val="fr-CA"/>
              </w:rPr>
              <w:lastRenderedPageBreak/>
              <w:t xml:space="preserve">Nombre moyen de pages traitées par demande </w:t>
            </w:r>
            <w:r>
              <w:rPr>
                <w:rFonts w:ascii="Calibri" w:eastAsia="Times New Roman" w:hAnsi="Calibri" w:cs="Times New Roman"/>
                <w:color w:val="000000"/>
                <w:lang w:val="fr-CA"/>
              </w:rPr>
              <w:t>complétée</w:t>
            </w:r>
          </w:p>
        </w:tc>
        <w:tc>
          <w:tcPr>
            <w:tcW w:w="1417" w:type="dxa"/>
            <w:tcBorders>
              <w:left w:val="nil"/>
              <w:bottom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652</w:t>
            </w:r>
          </w:p>
        </w:tc>
        <w:tc>
          <w:tcPr>
            <w:tcW w:w="1417" w:type="dxa"/>
            <w:tcBorders>
              <w:left w:val="nil"/>
              <w:bottom w:val="nil"/>
              <w:right w:val="nil"/>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449</w:t>
            </w:r>
          </w:p>
        </w:tc>
        <w:tc>
          <w:tcPr>
            <w:tcW w:w="1417" w:type="dxa"/>
            <w:tcBorders>
              <w:left w:val="nil"/>
              <w:bottom w:val="nil"/>
              <w:right w:val="single" w:sz="4" w:space="0" w:color="auto"/>
            </w:tcBorders>
            <w:shd w:val="clear" w:color="000000" w:fill="DBE5F1"/>
            <w:noWrap/>
            <w:vAlign w:val="center"/>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367</w:t>
            </w:r>
          </w:p>
        </w:tc>
      </w:tr>
      <w:tr w:rsidR="005476C3" w:rsidRPr="00033BE2" w:rsidTr="005476C3">
        <w:trPr>
          <w:trHeight w:val="543"/>
        </w:trPr>
        <w:tc>
          <w:tcPr>
            <w:tcW w:w="5019" w:type="dxa"/>
            <w:tcBorders>
              <w:top w:val="nil"/>
              <w:left w:val="single" w:sz="4" w:space="0" w:color="auto"/>
              <w:bottom w:val="single" w:sz="4" w:space="0" w:color="auto"/>
              <w:right w:val="nil"/>
            </w:tcBorders>
            <w:shd w:val="clear" w:color="auto" w:fill="auto"/>
            <w:hideMark/>
          </w:tcPr>
          <w:p w:rsidR="005476C3" w:rsidRPr="00033BE2" w:rsidRDefault="005476C3" w:rsidP="005476C3">
            <w:pPr>
              <w:spacing w:after="0" w:line="240" w:lineRule="auto"/>
              <w:rPr>
                <w:rFonts w:ascii="Calibri" w:eastAsia="Times New Roman" w:hAnsi="Calibri" w:cs="Times New Roman"/>
                <w:color w:val="000000"/>
                <w:lang w:val="fr-CA"/>
              </w:rPr>
            </w:pPr>
            <w:r w:rsidRPr="00D43485">
              <w:rPr>
                <w:rFonts w:ascii="Calibri" w:eastAsia="Times New Roman" w:hAnsi="Calibri" w:cs="Times New Roman"/>
                <w:color w:val="000000"/>
                <w:lang w:val="fr-CA"/>
              </w:rPr>
              <w:t>% des demande</w:t>
            </w:r>
            <w:r>
              <w:rPr>
                <w:rFonts w:ascii="Calibri" w:eastAsia="Times New Roman" w:hAnsi="Calibri" w:cs="Times New Roman"/>
                <w:color w:val="000000"/>
                <w:lang w:val="fr-CA"/>
              </w:rPr>
              <w:t>s pour lesquelles plus de 1 000 </w:t>
            </w:r>
            <w:r w:rsidRPr="00D43485">
              <w:rPr>
                <w:rFonts w:ascii="Calibri" w:eastAsia="Times New Roman" w:hAnsi="Calibri" w:cs="Times New Roman"/>
                <w:color w:val="000000"/>
                <w:lang w:val="fr-CA"/>
              </w:rPr>
              <w:t>pages ont été traitées</w:t>
            </w:r>
          </w:p>
        </w:tc>
        <w:tc>
          <w:tcPr>
            <w:tcW w:w="1417" w:type="dxa"/>
            <w:tcBorders>
              <w:top w:val="nil"/>
              <w:left w:val="nil"/>
              <w:bottom w:val="single" w:sz="4" w:space="0" w:color="auto"/>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18,</w:t>
            </w:r>
            <w:r w:rsidRPr="00033BE2">
              <w:rPr>
                <w:rFonts w:ascii="Calibri" w:eastAsia="Times New Roman" w:hAnsi="Calibri" w:cs="Times New Roman"/>
                <w:color w:val="000000"/>
                <w:lang w:val="fr-CA"/>
              </w:rPr>
              <w:t>0</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c>
          <w:tcPr>
            <w:tcW w:w="1417" w:type="dxa"/>
            <w:tcBorders>
              <w:top w:val="nil"/>
              <w:left w:val="nil"/>
              <w:bottom w:val="single" w:sz="4" w:space="0" w:color="auto"/>
              <w:right w:val="nil"/>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11</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8</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c>
          <w:tcPr>
            <w:tcW w:w="1417" w:type="dxa"/>
            <w:tcBorders>
              <w:top w:val="nil"/>
              <w:left w:val="nil"/>
              <w:bottom w:val="single" w:sz="4" w:space="0" w:color="auto"/>
              <w:right w:val="single" w:sz="4" w:space="0" w:color="auto"/>
            </w:tcBorders>
            <w:shd w:val="clear" w:color="auto" w:fill="auto"/>
            <w:noWrap/>
            <w:vAlign w:val="center"/>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9</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7</w:t>
            </w:r>
            <w:r>
              <w:rPr>
                <w:rFonts w:ascii="Calibri" w:eastAsia="Times New Roman" w:hAnsi="Calibri" w:cs="Times New Roman"/>
                <w:color w:val="000000"/>
                <w:lang w:val="fr-CA"/>
              </w:rPr>
              <w:t> </w:t>
            </w:r>
            <w:r w:rsidRPr="00033BE2">
              <w:rPr>
                <w:rFonts w:ascii="Calibri" w:eastAsia="Times New Roman" w:hAnsi="Calibri" w:cs="Times New Roman"/>
                <w:color w:val="000000"/>
                <w:lang w:val="fr-CA"/>
              </w:rPr>
              <w:t>%</w:t>
            </w:r>
          </w:p>
        </w:tc>
      </w:tr>
    </w:tbl>
    <w:p w:rsidR="005476C3" w:rsidRPr="003D61BD" w:rsidRDefault="005476C3" w:rsidP="005476C3">
      <w:pPr>
        <w:pStyle w:val="Heading2"/>
        <w:spacing w:before="240"/>
      </w:pPr>
      <w:r w:rsidRPr="003D61BD">
        <w:t>Délai de traitement des demandes</w:t>
      </w:r>
    </w:p>
    <w:p w:rsidR="005476C3" w:rsidRPr="003D61BD" w:rsidRDefault="005476C3" w:rsidP="005476C3">
      <w:pPr>
        <w:pStyle w:val="Heading4"/>
      </w:pPr>
      <w:r w:rsidRPr="003D61BD">
        <w:t>Rapidité</w:t>
      </w:r>
    </w:p>
    <w:p w:rsidR="005476C3" w:rsidRPr="00033BE2" w:rsidRDefault="005476C3" w:rsidP="005476C3">
      <w:pPr>
        <w:jc w:val="both"/>
        <w:rPr>
          <w:lang w:val="fr-CA"/>
        </w:rPr>
      </w:pPr>
      <w:r>
        <w:rPr>
          <w:lang w:val="fr-CA"/>
        </w:rPr>
        <w:t>La figure </w:t>
      </w:r>
      <w:r w:rsidRPr="00033BE2">
        <w:rPr>
          <w:lang w:val="fr-CA"/>
        </w:rPr>
        <w:t xml:space="preserve">1 </w:t>
      </w:r>
      <w:r>
        <w:rPr>
          <w:lang w:val="fr-CA"/>
        </w:rPr>
        <w:t xml:space="preserve">révèle que </w:t>
      </w:r>
      <w:r w:rsidRPr="00033BE2">
        <w:rPr>
          <w:lang w:val="fr-CA"/>
        </w:rPr>
        <w:t>77</w:t>
      </w:r>
      <w:r>
        <w:rPr>
          <w:lang w:val="fr-CA"/>
        </w:rPr>
        <w:t>,</w:t>
      </w:r>
      <w:r w:rsidRPr="00033BE2">
        <w:rPr>
          <w:lang w:val="fr-CA"/>
        </w:rPr>
        <w:t>3</w:t>
      </w:r>
      <w:r>
        <w:rPr>
          <w:lang w:val="fr-CA"/>
        </w:rPr>
        <w:t> </w:t>
      </w:r>
      <w:r w:rsidRPr="00033BE2">
        <w:rPr>
          <w:lang w:val="fr-CA"/>
        </w:rPr>
        <w:t xml:space="preserve">% </w:t>
      </w:r>
      <w:r>
        <w:rPr>
          <w:lang w:val="fr-CA"/>
        </w:rPr>
        <w:t>des demandes ont été complétées en 30 jours ou moins, soit une augmentation de</w:t>
      </w:r>
      <w:r w:rsidRPr="00576F70">
        <w:rPr>
          <w:lang w:val="fr-CA"/>
        </w:rPr>
        <w:t xml:space="preserve"> 9,9 </w:t>
      </w:r>
      <w:r w:rsidRPr="00033BE2">
        <w:rPr>
          <w:lang w:val="fr-CA"/>
        </w:rPr>
        <w:t xml:space="preserve">% </w:t>
      </w:r>
      <w:r>
        <w:rPr>
          <w:lang w:val="fr-CA"/>
        </w:rPr>
        <w:t xml:space="preserve">par rapport aux résultats observés en </w:t>
      </w:r>
      <w:r w:rsidRPr="00033BE2">
        <w:rPr>
          <w:lang w:val="fr-CA"/>
        </w:rPr>
        <w:t>2013</w:t>
      </w:r>
      <w:r>
        <w:rPr>
          <w:lang w:val="fr-CA"/>
        </w:rPr>
        <w:t>-2014.</w:t>
      </w:r>
    </w:p>
    <w:p w:rsidR="005476C3" w:rsidRPr="003D61BD" w:rsidRDefault="005476C3" w:rsidP="005476C3">
      <w:pPr>
        <w:spacing w:line="240" w:lineRule="auto"/>
        <w:rPr>
          <w:sz w:val="24"/>
          <w:szCs w:val="24"/>
          <w:lang w:val="fr-CA"/>
        </w:rPr>
      </w:pPr>
      <w:r w:rsidRPr="005476C3">
        <w:rPr>
          <w:rStyle w:val="Heading3Char"/>
          <w:lang w:val="fr-FR"/>
        </w:rPr>
        <w:t>Figure 1 : Délai de traitement des demandes</w:t>
      </w:r>
      <w:r w:rsidRPr="000D7009">
        <w:rPr>
          <w:noProof/>
          <w:color w:val="FF0000"/>
          <w:sz w:val="24"/>
          <w:szCs w:val="24"/>
        </w:rPr>
        <w:drawing>
          <wp:inline distT="0" distB="0" distL="0" distR="0">
            <wp:extent cx="5947576" cy="3991555"/>
            <wp:effectExtent l="0" t="0" r="15240" b="9525"/>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476C3" w:rsidRPr="003D61BD" w:rsidRDefault="005476C3" w:rsidP="005476C3">
      <w:pPr>
        <w:pStyle w:val="Heading4"/>
      </w:pPr>
      <w:r w:rsidRPr="003D61BD">
        <w:t>Prorogations</w:t>
      </w:r>
    </w:p>
    <w:p w:rsidR="005476C3" w:rsidRPr="00AE048A" w:rsidRDefault="005476C3" w:rsidP="005476C3">
      <w:pPr>
        <w:jc w:val="both"/>
        <w:rPr>
          <w:lang w:val="fr-CA"/>
        </w:rPr>
      </w:pPr>
      <w:r w:rsidRPr="00AE048A">
        <w:rPr>
          <w:lang w:val="fr-CA"/>
        </w:rPr>
        <w:t>BAC a eu recours à 187 prorogations en 2014-2015 par rapport à 356 en 2013-2014. Le recours à une prorogation était surtout dû à des consultations (84,5 % des cas).</w:t>
      </w:r>
    </w:p>
    <w:p w:rsidR="005476C3" w:rsidRPr="00AE048A" w:rsidRDefault="005476C3" w:rsidP="005476C3">
      <w:pPr>
        <w:jc w:val="both"/>
        <w:rPr>
          <w:lang w:val="fr-CA"/>
        </w:rPr>
      </w:pPr>
      <w:r w:rsidRPr="00AE048A">
        <w:rPr>
          <w:lang w:val="fr-CA"/>
        </w:rPr>
        <w:t>La figure 2 montre que 8,6 % des prorogations étaient de 30 jours ou moins, ce qui se rapproche des résultats lors de l’année précédente. Par ailleurs, le nombre de prorogations de 31 à 60 jours en 2014-2015 a chuté de 5,1 % par rapport à 2013-2014. Une hausse de 10,3 % a également été observée quant au nombre de prorogations de 121 à 180 jours en 2014-2015.</w:t>
      </w:r>
    </w:p>
    <w:p w:rsidR="005476C3" w:rsidRPr="008E5AFC" w:rsidRDefault="005476C3" w:rsidP="005476C3">
      <w:pPr>
        <w:rPr>
          <w:lang w:val="fr-CA"/>
        </w:rPr>
      </w:pPr>
      <w:r w:rsidRPr="003D61BD">
        <w:rPr>
          <w:rStyle w:val="Heading2Char"/>
        </w:rPr>
        <w:lastRenderedPageBreak/>
        <w:t xml:space="preserve">Figure 2 : </w:t>
      </w:r>
      <w:r>
        <w:rPr>
          <w:rStyle w:val="Heading2Char"/>
        </w:rPr>
        <w:t>Durée des prorogations</w:t>
      </w:r>
      <w:r w:rsidRPr="000D7009">
        <w:rPr>
          <w:noProof/>
        </w:rPr>
        <w:drawing>
          <wp:inline distT="0" distB="0" distL="0" distR="0">
            <wp:extent cx="5947576" cy="4063116"/>
            <wp:effectExtent l="0" t="0" r="15240" b="13970"/>
            <wp:docPr id="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476C3" w:rsidRPr="003D61BD" w:rsidRDefault="005476C3" w:rsidP="005476C3">
      <w:pPr>
        <w:pStyle w:val="Heading4"/>
      </w:pPr>
      <w:r w:rsidRPr="003D61BD">
        <w:t>Présomptions de refus</w:t>
      </w:r>
    </w:p>
    <w:p w:rsidR="005476C3" w:rsidRPr="00AE048A" w:rsidRDefault="005476C3" w:rsidP="005476C3">
      <w:pPr>
        <w:jc w:val="both"/>
        <w:rPr>
          <w:lang w:val="fr-CA"/>
        </w:rPr>
      </w:pPr>
      <w:r w:rsidRPr="00AE048A">
        <w:rPr>
          <w:lang w:val="fr-CA"/>
        </w:rPr>
        <w:t>En 2014-2015, le nombre de demandes fermées après le délai réglementaire était de 36, représentant 4,4 % des demandes complétées. Ce taux correspond à la note « A »</w:t>
      </w:r>
      <w:r w:rsidRPr="00AE048A">
        <w:rPr>
          <w:rStyle w:val="FootnoteReference"/>
          <w:lang w:val="fr-CA"/>
        </w:rPr>
        <w:footnoteReference w:id="57"/>
      </w:r>
      <w:r w:rsidRPr="00AE048A">
        <w:rPr>
          <w:lang w:val="fr-CA"/>
        </w:rPr>
        <w:t>. Les raisons les plus souvent invoquées étaient la tenue de consultations externes (33,3 %) et d’autres motifs (44,4 %). La figure 3 indique que 47,2 % des demandes échues étaient en retard de 30 jours ou moins.</w:t>
      </w:r>
    </w:p>
    <w:p w:rsidR="005476C3" w:rsidRPr="00744ADE" w:rsidRDefault="005476C3" w:rsidP="005476C3">
      <w:pPr>
        <w:rPr>
          <w:lang w:val="fr-CA"/>
        </w:rPr>
      </w:pPr>
      <w:r w:rsidRPr="005476C3">
        <w:rPr>
          <w:rStyle w:val="Heading3Char"/>
          <w:lang w:val="fr-FR"/>
        </w:rPr>
        <w:lastRenderedPageBreak/>
        <w:t>Figure 3 : Retard des demandes échues</w:t>
      </w:r>
      <w:r w:rsidRPr="00744ADE">
        <w:rPr>
          <w:noProof/>
        </w:rPr>
        <w:drawing>
          <wp:inline distT="0" distB="0" distL="0" distR="0">
            <wp:extent cx="5923722" cy="4277802"/>
            <wp:effectExtent l="0" t="0" r="20320" b="27940"/>
            <wp:docPr id="4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476C3" w:rsidRPr="003D61BD" w:rsidRDefault="005476C3" w:rsidP="005476C3">
      <w:pPr>
        <w:pStyle w:val="Heading2"/>
      </w:pPr>
      <w:r w:rsidRPr="003D61BD">
        <w:t>Divulgation</w:t>
      </w:r>
    </w:p>
    <w:p w:rsidR="005476C3" w:rsidRPr="003D61BD" w:rsidRDefault="005476C3" w:rsidP="005476C3">
      <w:pPr>
        <w:pStyle w:val="Heading4"/>
      </w:pPr>
      <w:r w:rsidRPr="003D61BD">
        <w:t>Pourcentage de demandes pour lesquelles l’information a été divulguée</w:t>
      </w:r>
    </w:p>
    <w:p w:rsidR="005476C3" w:rsidRPr="00033BE2" w:rsidRDefault="005476C3" w:rsidP="005476C3">
      <w:pPr>
        <w:jc w:val="both"/>
        <w:rPr>
          <w:lang w:val="fr-CA"/>
        </w:rPr>
      </w:pPr>
      <w:r>
        <w:rPr>
          <w:lang w:val="fr-CA"/>
        </w:rPr>
        <w:t>En 2014-</w:t>
      </w:r>
      <w:r w:rsidRPr="00033BE2">
        <w:rPr>
          <w:lang w:val="fr-CA"/>
        </w:rPr>
        <w:t>2015, 33</w:t>
      </w:r>
      <w:r>
        <w:rPr>
          <w:lang w:val="fr-CA"/>
        </w:rPr>
        <w:t>,</w:t>
      </w:r>
      <w:r w:rsidRPr="00033BE2">
        <w:rPr>
          <w:lang w:val="fr-CA"/>
        </w:rPr>
        <w:t>6</w:t>
      </w:r>
      <w:r>
        <w:rPr>
          <w:lang w:val="fr-CA"/>
        </w:rPr>
        <w:t> </w:t>
      </w:r>
      <w:r w:rsidRPr="00033BE2">
        <w:rPr>
          <w:lang w:val="fr-CA"/>
        </w:rPr>
        <w:t xml:space="preserve">% </w:t>
      </w:r>
      <w:r>
        <w:rPr>
          <w:lang w:val="fr-CA"/>
        </w:rPr>
        <w:t xml:space="preserve">des demandes complétées ont fait l’objet d’une divulgation complète, ce qui est semblable à la période précédente </w:t>
      </w:r>
      <w:r w:rsidRPr="00033BE2">
        <w:rPr>
          <w:lang w:val="fr-CA"/>
        </w:rPr>
        <w:t>(</w:t>
      </w:r>
      <w:r>
        <w:rPr>
          <w:lang w:val="fr-CA"/>
        </w:rPr>
        <w:t>voir figure </w:t>
      </w:r>
      <w:r w:rsidRPr="00033BE2">
        <w:rPr>
          <w:lang w:val="fr-CA"/>
        </w:rPr>
        <w:t xml:space="preserve">4). </w:t>
      </w:r>
      <w:r>
        <w:rPr>
          <w:lang w:val="fr-CA"/>
        </w:rPr>
        <w:t>La figure </w:t>
      </w:r>
      <w:r w:rsidRPr="00033BE2">
        <w:rPr>
          <w:lang w:val="fr-CA"/>
        </w:rPr>
        <w:t xml:space="preserve">4 </w:t>
      </w:r>
      <w:r>
        <w:rPr>
          <w:lang w:val="fr-CA"/>
        </w:rPr>
        <w:t>montre également que le taux des demandes ayant fait l’objet d’une divulgation partielle était de 47,9 </w:t>
      </w:r>
      <w:r w:rsidRPr="00033BE2">
        <w:rPr>
          <w:lang w:val="fr-CA"/>
        </w:rPr>
        <w:t xml:space="preserve">% </w:t>
      </w:r>
      <w:r>
        <w:rPr>
          <w:lang w:val="fr-CA"/>
        </w:rPr>
        <w:t>e</w:t>
      </w:r>
      <w:r w:rsidRPr="00033BE2">
        <w:rPr>
          <w:lang w:val="fr-CA"/>
        </w:rPr>
        <w:t>n 2014</w:t>
      </w:r>
      <w:r>
        <w:rPr>
          <w:lang w:val="fr-CA"/>
        </w:rPr>
        <w:t>-</w:t>
      </w:r>
      <w:r w:rsidRPr="00033BE2">
        <w:rPr>
          <w:lang w:val="fr-CA"/>
        </w:rPr>
        <w:t xml:space="preserve">2015, </w:t>
      </w:r>
      <w:r>
        <w:rPr>
          <w:lang w:val="fr-CA"/>
        </w:rPr>
        <w:t xml:space="preserve">ce qui représente une diminution de </w:t>
      </w:r>
      <w:r w:rsidRPr="00033BE2">
        <w:rPr>
          <w:lang w:val="fr-CA"/>
        </w:rPr>
        <w:t>3</w:t>
      </w:r>
      <w:r>
        <w:rPr>
          <w:lang w:val="fr-CA"/>
        </w:rPr>
        <w:t>,1 </w:t>
      </w:r>
      <w:r w:rsidRPr="00033BE2">
        <w:rPr>
          <w:lang w:val="fr-CA"/>
        </w:rPr>
        <w:t xml:space="preserve">% </w:t>
      </w:r>
      <w:r>
        <w:rPr>
          <w:lang w:val="fr-CA"/>
        </w:rPr>
        <w:t>par rapport aux résultats de la période précédente</w:t>
      </w:r>
      <w:r w:rsidRPr="00033BE2">
        <w:rPr>
          <w:lang w:val="fr-CA"/>
        </w:rPr>
        <w:t>.</w:t>
      </w:r>
    </w:p>
    <w:p w:rsidR="005476C3" w:rsidRPr="003D61BD" w:rsidRDefault="005476C3" w:rsidP="005476C3">
      <w:pPr>
        <w:spacing w:line="240" w:lineRule="auto"/>
        <w:rPr>
          <w:lang w:val="fr-CA"/>
        </w:rPr>
      </w:pPr>
      <w:r w:rsidRPr="008E5AFC">
        <w:rPr>
          <w:b/>
          <w:lang w:val="fr-CA"/>
        </w:rPr>
        <w:lastRenderedPageBreak/>
        <w:t>Figure 4 : Niveau de divulgation</w:t>
      </w:r>
      <w:r w:rsidRPr="000D7009">
        <w:rPr>
          <w:noProof/>
        </w:rPr>
        <w:drawing>
          <wp:inline distT="0" distB="0" distL="0" distR="0">
            <wp:extent cx="5876014" cy="3943847"/>
            <wp:effectExtent l="0" t="0" r="10795" b="19050"/>
            <wp:docPr id="4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476C3" w:rsidRPr="003D61BD" w:rsidRDefault="005476C3" w:rsidP="005476C3">
      <w:pPr>
        <w:pStyle w:val="Heading4"/>
      </w:pPr>
      <w:r w:rsidRPr="003D61BD">
        <w:t>Exceptions</w:t>
      </w:r>
    </w:p>
    <w:p w:rsidR="005476C3" w:rsidRPr="00AE048A" w:rsidRDefault="005476C3" w:rsidP="005476C3">
      <w:pPr>
        <w:jc w:val="both"/>
        <w:rPr>
          <w:lang w:val="fr-CA"/>
        </w:rPr>
      </w:pPr>
      <w:r w:rsidRPr="00AE048A">
        <w:rPr>
          <w:lang w:val="fr-CA"/>
        </w:rPr>
        <w:t>En 2014-2015, BAC a appliqué 530 exceptions par rapport à 591 l’année précédente. Le nombre moyen d’exceptions utilisées par demande traitée est resté similaire à celui de la période précédente (0,64 en 2013-2014 et 0,65 en 2014-2015) (voir tableau 2).</w:t>
      </w:r>
    </w:p>
    <w:p w:rsidR="005476C3" w:rsidRPr="00AE048A" w:rsidRDefault="005476C3" w:rsidP="005476C3">
      <w:pPr>
        <w:jc w:val="both"/>
        <w:rPr>
          <w:lang w:val="fr-CA"/>
        </w:rPr>
      </w:pPr>
      <w:r w:rsidRPr="00AE048A">
        <w:rPr>
          <w:lang w:val="fr-CA"/>
        </w:rPr>
        <w:t>Les exceptions les plus fréquemment invoquées en 2014-2015 étaient l’article 19 (les renseignements personnels) (63,4 %), suivies de l’article 13 (les renseignements obtenus à titre confidentiel) (12,5 %). Le nombre d’exceptions invoquées en raison de l’article 13 a diminué de 3,1 % par rapport à la période précédente tandis que le nombre d’exceptions invoquées en raison de l’article 19 a augmenté de 3,9 % par rapport à la période précédente.</w:t>
      </w:r>
    </w:p>
    <w:p w:rsidR="005476C3" w:rsidRPr="008B6B85" w:rsidRDefault="005476C3" w:rsidP="00BA2BE8">
      <w:pPr>
        <w:pStyle w:val="Heading3"/>
      </w:pPr>
      <w:r w:rsidRPr="008B6B85">
        <w:t>Tableau </w:t>
      </w:r>
      <w:proofErr w:type="gramStart"/>
      <w:r w:rsidRPr="008B6B85">
        <w:t>2 :</w:t>
      </w:r>
      <w:proofErr w:type="gramEnd"/>
      <w:r w:rsidRPr="008B6B85">
        <w:t xml:space="preserve"> Exceptions</w:t>
      </w:r>
    </w:p>
    <w:tbl>
      <w:tblPr>
        <w:tblW w:w="9504" w:type="dxa"/>
        <w:tblInd w:w="98" w:type="dxa"/>
        <w:tblLook w:val="04A0"/>
      </w:tblPr>
      <w:tblGrid>
        <w:gridCol w:w="5457"/>
        <w:gridCol w:w="1349"/>
        <w:gridCol w:w="1349"/>
        <w:gridCol w:w="1349"/>
      </w:tblGrid>
      <w:tr w:rsidR="005476C3" w:rsidRPr="00033BE2" w:rsidTr="005476C3">
        <w:trPr>
          <w:trHeight w:val="294"/>
        </w:trPr>
        <w:tc>
          <w:tcPr>
            <w:tcW w:w="5457"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033BE2" w:rsidRDefault="005476C3" w:rsidP="005476C3">
            <w:pPr>
              <w:spacing w:after="0" w:line="240" w:lineRule="auto"/>
              <w:rPr>
                <w:rFonts w:ascii="Calibri" w:eastAsia="Times New Roman" w:hAnsi="Calibri" w:cs="Times New Roman"/>
                <w:color w:val="000000"/>
                <w:lang w:val="fr-CA"/>
              </w:rPr>
            </w:pPr>
            <w:r w:rsidRPr="00033BE2">
              <w:rPr>
                <w:rFonts w:ascii="Calibri" w:eastAsia="Times New Roman" w:hAnsi="Calibri" w:cs="Times New Roman"/>
                <w:color w:val="000000"/>
                <w:lang w:val="fr-CA"/>
              </w:rPr>
              <w:t>Ex</w:t>
            </w:r>
            <w:r>
              <w:rPr>
                <w:rFonts w:ascii="Calibri" w:eastAsia="Times New Roman" w:hAnsi="Calibri" w:cs="Times New Roman"/>
                <w:color w:val="000000"/>
                <w:lang w:val="fr-CA"/>
              </w:rPr>
              <w:t>c</w:t>
            </w:r>
            <w:r w:rsidRPr="00033BE2">
              <w:rPr>
                <w:rFonts w:ascii="Calibri" w:eastAsia="Times New Roman" w:hAnsi="Calibri" w:cs="Times New Roman"/>
                <w:color w:val="000000"/>
                <w:lang w:val="fr-CA"/>
              </w:rPr>
              <w:t xml:space="preserve">eptions </w:t>
            </w:r>
          </w:p>
        </w:tc>
        <w:tc>
          <w:tcPr>
            <w:tcW w:w="1349" w:type="dxa"/>
            <w:tcBorders>
              <w:top w:val="single" w:sz="8" w:space="0" w:color="auto"/>
              <w:left w:val="nil"/>
              <w:bottom w:val="single" w:sz="8" w:space="0" w:color="auto"/>
              <w:right w:val="nil"/>
            </w:tcBorders>
            <w:shd w:val="clear" w:color="000000" w:fill="DBE5F1"/>
            <w:noWrap/>
            <w:vAlign w:val="bottom"/>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2012</w:t>
            </w:r>
            <w:r>
              <w:rPr>
                <w:rFonts w:ascii="Calibri" w:eastAsia="Times New Roman" w:hAnsi="Calibri" w:cs="Times New Roman"/>
                <w:b/>
                <w:bCs/>
                <w:color w:val="000000"/>
                <w:lang w:val="fr-CA"/>
              </w:rPr>
              <w:t>-</w:t>
            </w:r>
            <w:r w:rsidRPr="00033BE2">
              <w:rPr>
                <w:rFonts w:ascii="Calibri" w:eastAsia="Times New Roman" w:hAnsi="Calibri" w:cs="Times New Roman"/>
                <w:b/>
                <w:bCs/>
                <w:color w:val="000000"/>
                <w:lang w:val="fr-CA"/>
              </w:rPr>
              <w:t>2013</w:t>
            </w:r>
          </w:p>
        </w:tc>
        <w:tc>
          <w:tcPr>
            <w:tcW w:w="1349" w:type="dxa"/>
            <w:tcBorders>
              <w:top w:val="single" w:sz="8" w:space="0" w:color="auto"/>
              <w:left w:val="nil"/>
              <w:bottom w:val="single" w:sz="8" w:space="0" w:color="auto"/>
              <w:right w:val="nil"/>
            </w:tcBorders>
            <w:shd w:val="clear" w:color="000000" w:fill="DBE5F1"/>
            <w:noWrap/>
            <w:vAlign w:val="bottom"/>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2013</w:t>
            </w:r>
            <w:r>
              <w:rPr>
                <w:rFonts w:ascii="Calibri" w:eastAsia="Times New Roman" w:hAnsi="Calibri" w:cs="Times New Roman"/>
                <w:b/>
                <w:bCs/>
                <w:color w:val="000000"/>
                <w:lang w:val="fr-CA"/>
              </w:rPr>
              <w:t>-</w:t>
            </w:r>
            <w:r w:rsidRPr="00033BE2">
              <w:rPr>
                <w:rFonts w:ascii="Calibri" w:eastAsia="Times New Roman" w:hAnsi="Calibri" w:cs="Times New Roman"/>
                <w:b/>
                <w:bCs/>
                <w:color w:val="000000"/>
                <w:lang w:val="fr-CA"/>
              </w:rPr>
              <w:t>2014</w:t>
            </w:r>
          </w:p>
        </w:tc>
        <w:tc>
          <w:tcPr>
            <w:tcW w:w="1349"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033BE2" w:rsidRDefault="005476C3" w:rsidP="005476C3">
            <w:pPr>
              <w:spacing w:after="0" w:line="240" w:lineRule="auto"/>
              <w:jc w:val="center"/>
              <w:rPr>
                <w:rFonts w:ascii="Calibri" w:eastAsia="Times New Roman" w:hAnsi="Calibri" w:cs="Times New Roman"/>
                <w:b/>
                <w:bCs/>
                <w:color w:val="000000"/>
                <w:lang w:val="fr-CA"/>
              </w:rPr>
            </w:pPr>
            <w:r w:rsidRPr="00033BE2">
              <w:rPr>
                <w:rFonts w:ascii="Calibri" w:eastAsia="Times New Roman" w:hAnsi="Calibri" w:cs="Times New Roman"/>
                <w:b/>
                <w:bCs/>
                <w:color w:val="000000"/>
                <w:lang w:val="fr-CA"/>
              </w:rPr>
              <w:t>2014</w:t>
            </w:r>
            <w:r>
              <w:rPr>
                <w:rFonts w:ascii="Calibri" w:eastAsia="Times New Roman" w:hAnsi="Calibri" w:cs="Times New Roman"/>
                <w:b/>
                <w:bCs/>
                <w:color w:val="000000"/>
                <w:lang w:val="fr-CA"/>
              </w:rPr>
              <w:t>-</w:t>
            </w:r>
            <w:r w:rsidRPr="00033BE2">
              <w:rPr>
                <w:rFonts w:ascii="Calibri" w:eastAsia="Times New Roman" w:hAnsi="Calibri" w:cs="Times New Roman"/>
                <w:b/>
                <w:bCs/>
                <w:color w:val="000000"/>
                <w:lang w:val="fr-CA"/>
              </w:rPr>
              <w:t>2015</w:t>
            </w:r>
          </w:p>
        </w:tc>
      </w:tr>
      <w:tr w:rsidR="005476C3" w:rsidRPr="00033BE2" w:rsidTr="005476C3">
        <w:trPr>
          <w:trHeight w:val="280"/>
        </w:trPr>
        <w:tc>
          <w:tcPr>
            <w:tcW w:w="5457" w:type="dxa"/>
            <w:tcBorders>
              <w:top w:val="nil"/>
              <w:left w:val="single" w:sz="8" w:space="0" w:color="auto"/>
              <w:bottom w:val="nil"/>
              <w:right w:val="nil"/>
            </w:tcBorders>
            <w:shd w:val="clear" w:color="auto" w:fill="auto"/>
            <w:noWrap/>
            <w:vAlign w:val="bottom"/>
            <w:hideMark/>
          </w:tcPr>
          <w:p w:rsidR="005476C3" w:rsidRPr="00033BE2"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Nombre total d’exceptions</w:t>
            </w:r>
            <w:r w:rsidRPr="00033BE2">
              <w:rPr>
                <w:rFonts w:ascii="Calibri" w:eastAsia="Times New Roman" w:hAnsi="Calibri" w:cs="Times New Roman"/>
                <w:color w:val="000000"/>
                <w:lang w:val="fr-CA"/>
              </w:rPr>
              <w:t xml:space="preserve"> </w:t>
            </w:r>
          </w:p>
        </w:tc>
        <w:tc>
          <w:tcPr>
            <w:tcW w:w="1349" w:type="dxa"/>
            <w:tcBorders>
              <w:top w:val="nil"/>
              <w:left w:val="nil"/>
              <w:bottom w:val="nil"/>
              <w:right w:val="nil"/>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533</w:t>
            </w:r>
          </w:p>
        </w:tc>
        <w:tc>
          <w:tcPr>
            <w:tcW w:w="1349" w:type="dxa"/>
            <w:tcBorders>
              <w:top w:val="nil"/>
              <w:left w:val="nil"/>
              <w:bottom w:val="nil"/>
              <w:right w:val="nil"/>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591</w:t>
            </w:r>
          </w:p>
        </w:tc>
        <w:tc>
          <w:tcPr>
            <w:tcW w:w="1349" w:type="dxa"/>
            <w:tcBorders>
              <w:top w:val="nil"/>
              <w:left w:val="nil"/>
              <w:bottom w:val="nil"/>
              <w:right w:val="single" w:sz="8" w:space="0" w:color="auto"/>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530</w:t>
            </w:r>
          </w:p>
        </w:tc>
      </w:tr>
      <w:tr w:rsidR="005476C3" w:rsidRPr="00033BE2" w:rsidTr="005476C3">
        <w:trPr>
          <w:trHeight w:val="280"/>
        </w:trPr>
        <w:tc>
          <w:tcPr>
            <w:tcW w:w="5457" w:type="dxa"/>
            <w:tcBorders>
              <w:top w:val="nil"/>
              <w:left w:val="single" w:sz="8" w:space="0" w:color="auto"/>
              <w:bottom w:val="nil"/>
              <w:right w:val="nil"/>
            </w:tcBorders>
            <w:shd w:val="clear" w:color="auto" w:fill="auto"/>
            <w:noWrap/>
            <w:vAlign w:val="bottom"/>
            <w:hideMark/>
          </w:tcPr>
          <w:p w:rsidR="005476C3" w:rsidRPr="00033BE2"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Nombre total de demandes complétées</w:t>
            </w:r>
          </w:p>
        </w:tc>
        <w:tc>
          <w:tcPr>
            <w:tcW w:w="1349" w:type="dxa"/>
            <w:tcBorders>
              <w:top w:val="nil"/>
              <w:left w:val="nil"/>
              <w:bottom w:val="nil"/>
              <w:right w:val="nil"/>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874</w:t>
            </w:r>
          </w:p>
        </w:tc>
        <w:tc>
          <w:tcPr>
            <w:tcW w:w="1349" w:type="dxa"/>
            <w:tcBorders>
              <w:top w:val="nil"/>
              <w:left w:val="nil"/>
              <w:bottom w:val="nil"/>
              <w:right w:val="nil"/>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924</w:t>
            </w:r>
          </w:p>
        </w:tc>
        <w:tc>
          <w:tcPr>
            <w:tcW w:w="1349" w:type="dxa"/>
            <w:tcBorders>
              <w:top w:val="nil"/>
              <w:left w:val="nil"/>
              <w:bottom w:val="nil"/>
              <w:right w:val="single" w:sz="8" w:space="0" w:color="auto"/>
            </w:tcBorders>
            <w:shd w:val="clear" w:color="auto" w:fill="auto"/>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821</w:t>
            </w:r>
          </w:p>
        </w:tc>
      </w:tr>
      <w:tr w:rsidR="005476C3" w:rsidRPr="00033BE2" w:rsidTr="005476C3">
        <w:trPr>
          <w:trHeight w:val="294"/>
        </w:trPr>
        <w:tc>
          <w:tcPr>
            <w:tcW w:w="5457" w:type="dxa"/>
            <w:tcBorders>
              <w:top w:val="nil"/>
              <w:left w:val="single" w:sz="8" w:space="0" w:color="auto"/>
              <w:bottom w:val="single" w:sz="8" w:space="0" w:color="auto"/>
              <w:right w:val="nil"/>
            </w:tcBorders>
            <w:shd w:val="clear" w:color="000000" w:fill="DBE5F1"/>
            <w:noWrap/>
            <w:vAlign w:val="bottom"/>
            <w:hideMark/>
          </w:tcPr>
          <w:p w:rsidR="005476C3" w:rsidRPr="00033BE2" w:rsidRDefault="005476C3" w:rsidP="005476C3">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Nombre moyen d’exceptions par demande complétée</w:t>
            </w:r>
            <w:r w:rsidRPr="00033BE2">
              <w:rPr>
                <w:rFonts w:ascii="Calibri" w:eastAsia="Times New Roman" w:hAnsi="Calibri" w:cs="Times New Roman"/>
                <w:color w:val="000000"/>
                <w:lang w:val="fr-CA"/>
              </w:rPr>
              <w:t xml:space="preserve"> </w:t>
            </w:r>
          </w:p>
        </w:tc>
        <w:tc>
          <w:tcPr>
            <w:tcW w:w="1349" w:type="dxa"/>
            <w:tcBorders>
              <w:top w:val="nil"/>
              <w:left w:val="nil"/>
              <w:bottom w:val="single" w:sz="8" w:space="0" w:color="auto"/>
              <w:right w:val="nil"/>
            </w:tcBorders>
            <w:shd w:val="clear" w:color="000000" w:fill="DBE5F1"/>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0</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6</w:t>
            </w:r>
            <w:r>
              <w:rPr>
                <w:rFonts w:ascii="Calibri" w:eastAsia="Times New Roman" w:hAnsi="Calibri" w:cs="Times New Roman"/>
                <w:color w:val="000000"/>
                <w:lang w:val="fr-CA"/>
              </w:rPr>
              <w:t>1</w:t>
            </w:r>
          </w:p>
        </w:tc>
        <w:tc>
          <w:tcPr>
            <w:tcW w:w="1349" w:type="dxa"/>
            <w:tcBorders>
              <w:top w:val="nil"/>
              <w:left w:val="nil"/>
              <w:bottom w:val="single" w:sz="8" w:space="0" w:color="auto"/>
              <w:right w:val="nil"/>
            </w:tcBorders>
            <w:shd w:val="clear" w:color="000000" w:fill="DBE5F1"/>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0</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6</w:t>
            </w:r>
            <w:r>
              <w:rPr>
                <w:rFonts w:ascii="Calibri" w:eastAsia="Times New Roman" w:hAnsi="Calibri" w:cs="Times New Roman"/>
                <w:color w:val="000000"/>
                <w:lang w:val="fr-CA"/>
              </w:rPr>
              <w:t>4</w:t>
            </w:r>
          </w:p>
        </w:tc>
        <w:tc>
          <w:tcPr>
            <w:tcW w:w="1349" w:type="dxa"/>
            <w:tcBorders>
              <w:top w:val="nil"/>
              <w:left w:val="nil"/>
              <w:bottom w:val="single" w:sz="8" w:space="0" w:color="auto"/>
              <w:right w:val="single" w:sz="8" w:space="0" w:color="auto"/>
            </w:tcBorders>
            <w:shd w:val="clear" w:color="000000" w:fill="DBE5F1"/>
            <w:noWrap/>
            <w:vAlign w:val="bottom"/>
            <w:hideMark/>
          </w:tcPr>
          <w:p w:rsidR="005476C3" w:rsidRPr="00033BE2" w:rsidRDefault="005476C3" w:rsidP="005476C3">
            <w:pPr>
              <w:spacing w:after="0" w:line="240" w:lineRule="auto"/>
              <w:jc w:val="center"/>
              <w:rPr>
                <w:rFonts w:ascii="Calibri" w:eastAsia="Times New Roman" w:hAnsi="Calibri" w:cs="Times New Roman"/>
                <w:color w:val="000000"/>
                <w:lang w:val="fr-CA"/>
              </w:rPr>
            </w:pPr>
            <w:r w:rsidRPr="00033BE2">
              <w:rPr>
                <w:rFonts w:ascii="Calibri" w:eastAsia="Times New Roman" w:hAnsi="Calibri" w:cs="Times New Roman"/>
                <w:color w:val="000000"/>
                <w:lang w:val="fr-CA"/>
              </w:rPr>
              <w:t>0</w:t>
            </w:r>
            <w:r>
              <w:rPr>
                <w:rFonts w:ascii="Calibri" w:eastAsia="Times New Roman" w:hAnsi="Calibri" w:cs="Times New Roman"/>
                <w:color w:val="000000"/>
                <w:lang w:val="fr-CA"/>
              </w:rPr>
              <w:t>,</w:t>
            </w:r>
            <w:r w:rsidRPr="00033BE2">
              <w:rPr>
                <w:rFonts w:ascii="Calibri" w:eastAsia="Times New Roman" w:hAnsi="Calibri" w:cs="Times New Roman"/>
                <w:color w:val="000000"/>
                <w:lang w:val="fr-CA"/>
              </w:rPr>
              <w:t>6</w:t>
            </w:r>
            <w:r>
              <w:rPr>
                <w:rFonts w:ascii="Calibri" w:eastAsia="Times New Roman" w:hAnsi="Calibri" w:cs="Times New Roman"/>
                <w:color w:val="000000"/>
                <w:lang w:val="fr-CA"/>
              </w:rPr>
              <w:t>5</w:t>
            </w:r>
          </w:p>
        </w:tc>
      </w:tr>
    </w:tbl>
    <w:p w:rsidR="005476C3" w:rsidRDefault="005476C3" w:rsidP="005476C3">
      <w:pPr>
        <w:pStyle w:val="Heading2"/>
        <w:spacing w:before="240"/>
      </w:pPr>
    </w:p>
    <w:p w:rsidR="005476C3" w:rsidRDefault="005476C3" w:rsidP="005476C3">
      <w:pPr>
        <w:rPr>
          <w:lang w:val="fr-CA"/>
        </w:rPr>
      </w:pPr>
      <w:r>
        <w:br w:type="page"/>
      </w:r>
    </w:p>
    <w:p w:rsidR="005476C3" w:rsidRPr="003D61BD" w:rsidRDefault="005476C3" w:rsidP="005476C3">
      <w:pPr>
        <w:pStyle w:val="Heading2"/>
        <w:spacing w:before="240"/>
      </w:pPr>
      <w:r w:rsidRPr="003D61BD">
        <w:lastRenderedPageBreak/>
        <w:t>Plaintes au Commissariat à l’information</w:t>
      </w:r>
    </w:p>
    <w:p w:rsidR="005476C3" w:rsidRPr="003D61BD" w:rsidRDefault="005476C3" w:rsidP="005476C3">
      <w:pPr>
        <w:jc w:val="both"/>
        <w:rPr>
          <w:lang w:val="fr-CA"/>
        </w:rPr>
      </w:pPr>
      <w:r>
        <w:rPr>
          <w:lang w:val="fr-CA"/>
        </w:rPr>
        <w:t>E</w:t>
      </w:r>
      <w:r w:rsidRPr="00033BE2">
        <w:rPr>
          <w:lang w:val="fr-CA"/>
        </w:rPr>
        <w:t>n 2014</w:t>
      </w:r>
      <w:r>
        <w:rPr>
          <w:lang w:val="fr-CA"/>
        </w:rPr>
        <w:t>-</w:t>
      </w:r>
      <w:r w:rsidRPr="00033BE2">
        <w:rPr>
          <w:lang w:val="fr-CA"/>
        </w:rPr>
        <w:t xml:space="preserve">2015, </w:t>
      </w:r>
      <w:r>
        <w:rPr>
          <w:lang w:val="fr-CA"/>
        </w:rPr>
        <w:t xml:space="preserve">le Commissariat à l’information a reçu </w:t>
      </w:r>
      <w:r w:rsidRPr="00033BE2">
        <w:rPr>
          <w:lang w:val="fr-CA"/>
        </w:rPr>
        <w:t>9</w:t>
      </w:r>
      <w:r>
        <w:rPr>
          <w:lang w:val="fr-CA"/>
        </w:rPr>
        <w:t> plaintes</w:t>
      </w:r>
      <w:r>
        <w:rPr>
          <w:rStyle w:val="FootnoteReference"/>
          <w:lang w:val="fr-CA"/>
        </w:rPr>
        <w:footnoteReference w:id="58"/>
      </w:r>
      <w:r>
        <w:rPr>
          <w:lang w:val="fr-CA"/>
        </w:rPr>
        <w:t xml:space="preserve"> concernant BAC par rapport à </w:t>
      </w:r>
      <w:r w:rsidRPr="00033BE2">
        <w:rPr>
          <w:lang w:val="fr-CA"/>
        </w:rPr>
        <w:t xml:space="preserve">13 </w:t>
      </w:r>
      <w:r>
        <w:rPr>
          <w:lang w:val="fr-CA"/>
        </w:rPr>
        <w:t>durant la période précédente, soit une légère diminution</w:t>
      </w:r>
      <w:r w:rsidRPr="00033BE2">
        <w:rPr>
          <w:lang w:val="fr-CA"/>
        </w:rPr>
        <w:t xml:space="preserve">. </w:t>
      </w:r>
      <w:r>
        <w:rPr>
          <w:lang w:val="fr-CA"/>
        </w:rPr>
        <w:t xml:space="preserve">Il y a eu </w:t>
      </w:r>
      <w:r w:rsidRPr="00033BE2">
        <w:rPr>
          <w:lang w:val="fr-CA"/>
        </w:rPr>
        <w:t xml:space="preserve">5 </w:t>
      </w:r>
      <w:r>
        <w:rPr>
          <w:lang w:val="fr-CA"/>
        </w:rPr>
        <w:t xml:space="preserve">plaintes pour refus et </w:t>
      </w:r>
      <w:r w:rsidRPr="00033BE2">
        <w:rPr>
          <w:lang w:val="fr-CA"/>
        </w:rPr>
        <w:t xml:space="preserve">4 </w:t>
      </w:r>
      <w:r>
        <w:rPr>
          <w:lang w:val="fr-CA"/>
        </w:rPr>
        <w:t xml:space="preserve">plaintes </w:t>
      </w:r>
      <w:r w:rsidRPr="00033BE2">
        <w:rPr>
          <w:lang w:val="fr-CA"/>
        </w:rPr>
        <w:t>administrative</w:t>
      </w:r>
      <w:r>
        <w:rPr>
          <w:lang w:val="fr-CA"/>
        </w:rPr>
        <w:t>s. Parmi les plaintes, 3 étaient fondées</w:t>
      </w:r>
      <w:r w:rsidRPr="00033BE2">
        <w:rPr>
          <w:lang w:val="fr-CA"/>
        </w:rPr>
        <w:t xml:space="preserve">, </w:t>
      </w:r>
      <w:r>
        <w:rPr>
          <w:lang w:val="fr-CA"/>
        </w:rPr>
        <w:t>2 n’étaient pas fondées</w:t>
      </w:r>
      <w:r w:rsidRPr="00033BE2">
        <w:rPr>
          <w:lang w:val="fr-CA"/>
        </w:rPr>
        <w:t xml:space="preserve">, 1 </w:t>
      </w:r>
      <w:r>
        <w:rPr>
          <w:lang w:val="fr-CA"/>
        </w:rPr>
        <w:t xml:space="preserve">a été abandonnée et </w:t>
      </w:r>
      <w:r w:rsidRPr="00033BE2">
        <w:rPr>
          <w:lang w:val="fr-CA"/>
        </w:rPr>
        <w:t>3</w:t>
      </w:r>
      <w:r>
        <w:rPr>
          <w:lang w:val="fr-CA"/>
        </w:rPr>
        <w:t xml:space="preserve"> étaient encore en suspens</w:t>
      </w:r>
      <w:r w:rsidRPr="00033BE2">
        <w:rPr>
          <w:lang w:val="fr-CA"/>
        </w:rPr>
        <w:t>.</w:t>
      </w:r>
    </w:p>
    <w:p w:rsidR="005476C3" w:rsidRDefault="005476C3">
      <w:pPr>
        <w:rPr>
          <w:lang w:val="fr-CA"/>
        </w:rPr>
      </w:pPr>
      <w:r>
        <w:rPr>
          <w:lang w:val="fr-CA"/>
        </w:rPr>
        <w:br w:type="page"/>
      </w:r>
    </w:p>
    <w:p w:rsidR="005476C3" w:rsidRPr="000D103A" w:rsidRDefault="005476C3" w:rsidP="005476C3">
      <w:pPr>
        <w:rPr>
          <w:b/>
          <w:lang w:val="fr-CA"/>
        </w:rPr>
      </w:pPr>
      <w:r w:rsidRPr="00EC1BEA">
        <w:rPr>
          <w:rStyle w:val="Heading1Char"/>
        </w:rPr>
        <w:lastRenderedPageBreak/>
        <w:t>Innovation, Sciences et Développement économique Canada</w:t>
      </w:r>
      <w:r w:rsidRPr="000D103A">
        <w:rPr>
          <w:rStyle w:val="FootnoteReference"/>
          <w:b/>
          <w:lang w:val="fr-CA"/>
        </w:rPr>
        <w:footnoteReference w:id="59"/>
      </w:r>
    </w:p>
    <w:p w:rsidR="005476C3" w:rsidRPr="00EC1BEA" w:rsidRDefault="005476C3" w:rsidP="005476C3">
      <w:pPr>
        <w:jc w:val="both"/>
        <w:rPr>
          <w:b/>
          <w:lang w:val="fr-CA"/>
        </w:rPr>
      </w:pPr>
      <w:r w:rsidRPr="00EC1BEA">
        <w:rPr>
          <w:rStyle w:val="Heading2Char"/>
        </w:rPr>
        <w:t>Rendement global</w:t>
      </w:r>
      <w:r w:rsidRPr="0054771B">
        <w:rPr>
          <w:rStyle w:val="FootnoteReference"/>
          <w:b/>
          <w:lang w:val="fr-CA"/>
        </w:rPr>
        <w:footnoteReference w:id="60"/>
      </w:r>
    </w:p>
    <w:p w:rsidR="005476C3" w:rsidRPr="0054771B" w:rsidRDefault="005476C3" w:rsidP="005476C3">
      <w:pPr>
        <w:jc w:val="both"/>
        <w:rPr>
          <w:color w:val="000000" w:themeColor="text1"/>
          <w:lang w:val="fr-CA"/>
        </w:rPr>
      </w:pPr>
      <w:r w:rsidRPr="0054771B">
        <w:rPr>
          <w:lang w:val="fr-CA"/>
        </w:rPr>
        <w:t>Innovation, Sciences et Développement économique Canada (ISDE) a reçu moins de demandes en 2014</w:t>
      </w:r>
      <w:r w:rsidRPr="0054771B">
        <w:rPr>
          <w:lang w:val="fr-CA"/>
        </w:rPr>
        <w:noBreakHyphen/>
        <w:t xml:space="preserve">2015 que lors de la période précédente et a amélioré considérablement son nombre de demandes </w:t>
      </w:r>
      <w:r>
        <w:rPr>
          <w:lang w:val="fr-CA"/>
        </w:rPr>
        <w:t>complétées</w:t>
      </w:r>
      <w:r w:rsidRPr="0054771B">
        <w:rPr>
          <w:lang w:val="fr-CA"/>
        </w:rPr>
        <w:t xml:space="preserve"> en 30 jours ou moins de 7,4 %</w:t>
      </w:r>
      <w:r>
        <w:rPr>
          <w:lang w:val="fr-CA"/>
        </w:rPr>
        <w:t xml:space="preserve"> comparativement à 2013-2014</w:t>
      </w:r>
      <w:r w:rsidRPr="0054771B">
        <w:rPr>
          <w:lang w:val="fr-CA"/>
        </w:rPr>
        <w:t xml:space="preserve">. ISDE a aussi amélioré son taux de divulgation complète </w:t>
      </w:r>
      <w:r>
        <w:rPr>
          <w:lang w:val="fr-CA"/>
        </w:rPr>
        <w:t xml:space="preserve">par </w:t>
      </w:r>
      <w:r w:rsidRPr="0054771B">
        <w:rPr>
          <w:lang w:val="fr-CA"/>
        </w:rPr>
        <w:t xml:space="preserve">32,3 %. </w:t>
      </w:r>
      <w:r w:rsidRPr="0054771B">
        <w:rPr>
          <w:color w:val="000000" w:themeColor="text1"/>
          <w:lang w:val="fr-CA"/>
        </w:rPr>
        <w:t>Le présent rapport contient des statistiques comparatives pour les trois dernières périodes (2012 à 2015).</w:t>
      </w:r>
    </w:p>
    <w:p w:rsidR="005476C3" w:rsidRPr="00EC1BEA" w:rsidRDefault="005476C3" w:rsidP="005476C3">
      <w:pPr>
        <w:pStyle w:val="Heading2"/>
      </w:pPr>
      <w:r w:rsidRPr="00EC1BEA">
        <w:t>Charge de travail</w:t>
      </w:r>
    </w:p>
    <w:p w:rsidR="005476C3" w:rsidRPr="0054771B" w:rsidRDefault="005476C3" w:rsidP="005476C3">
      <w:pPr>
        <w:jc w:val="both"/>
        <w:rPr>
          <w:lang w:val="fr-CA"/>
        </w:rPr>
      </w:pPr>
      <w:r w:rsidRPr="0054771B">
        <w:rPr>
          <w:lang w:val="fr-CA"/>
        </w:rPr>
        <w:t xml:space="preserve">ISDE a reçu 749 demandes en vertu de la </w:t>
      </w:r>
      <w:r w:rsidRPr="0054771B">
        <w:rPr>
          <w:i/>
          <w:lang w:val="fr-CA"/>
        </w:rPr>
        <w:t>Loi sur l’accès à l‘information</w:t>
      </w:r>
      <w:r w:rsidRPr="0054771B">
        <w:rPr>
          <w:lang w:val="fr-CA"/>
        </w:rPr>
        <w:t xml:space="preserve"> (la </w:t>
      </w:r>
      <w:r w:rsidRPr="0054771B">
        <w:rPr>
          <w:i/>
          <w:lang w:val="fr-CA"/>
        </w:rPr>
        <w:t>Loi</w:t>
      </w:r>
      <w:r w:rsidRPr="0054771B">
        <w:rPr>
          <w:lang w:val="fr-CA"/>
        </w:rPr>
        <w:t>), représentant 1</w:t>
      </w:r>
      <w:r>
        <w:rPr>
          <w:lang w:val="fr-CA"/>
        </w:rPr>
        <w:t>,1</w:t>
      </w:r>
      <w:r w:rsidRPr="0054771B">
        <w:rPr>
          <w:lang w:val="fr-CA"/>
        </w:rPr>
        <w:t> % du nombre total de demandes reçues à l’échelle du gouvernement en 2014</w:t>
      </w:r>
      <w:r>
        <w:rPr>
          <w:lang w:val="fr-CA"/>
        </w:rPr>
        <w:t>-</w:t>
      </w:r>
      <w:r w:rsidRPr="0054771B">
        <w:rPr>
          <w:lang w:val="fr-CA"/>
        </w:rPr>
        <w:t xml:space="preserve">2015. Cela représente une diminué de 12,6 % par rapport aux 857 demandes reçues précédemment. La plupart des demandes provenaient des médias (51,3 %), suivies du secteur privé (17,6 %). Le nombre de demandes des médias a chuté de </w:t>
      </w:r>
      <w:r>
        <w:rPr>
          <w:lang w:val="fr-CA"/>
        </w:rPr>
        <w:t>28,0</w:t>
      </w:r>
      <w:r w:rsidRPr="0054771B">
        <w:rPr>
          <w:lang w:val="fr-CA"/>
        </w:rPr>
        <w:t> % par rapport à 2013</w:t>
      </w:r>
      <w:r>
        <w:rPr>
          <w:lang w:val="fr-CA"/>
        </w:rPr>
        <w:t>-</w:t>
      </w:r>
      <w:r w:rsidRPr="0054771B">
        <w:rPr>
          <w:lang w:val="fr-CA"/>
        </w:rPr>
        <w:t xml:space="preserve">2014, alors que les demandes venant </w:t>
      </w:r>
      <w:r>
        <w:rPr>
          <w:lang w:val="fr-CA"/>
        </w:rPr>
        <w:t>d’autres secteurs ont augmenté.</w:t>
      </w:r>
    </w:p>
    <w:p w:rsidR="005476C3" w:rsidRPr="000D103A" w:rsidRDefault="005476C3" w:rsidP="005476C3">
      <w:pPr>
        <w:jc w:val="both"/>
        <w:rPr>
          <w:lang w:val="fr-CA"/>
        </w:rPr>
      </w:pPr>
      <w:r w:rsidRPr="0054771B">
        <w:rPr>
          <w:lang w:val="fr-CA"/>
        </w:rPr>
        <w:t>ISDE a complété 705 demandes pour cette période de référence. Le taux d’achèvement</w:t>
      </w:r>
      <w:r w:rsidRPr="0054771B">
        <w:rPr>
          <w:rStyle w:val="FootnoteReference"/>
          <w:lang w:val="fr-CA"/>
        </w:rPr>
        <w:footnoteReference w:id="61"/>
      </w:r>
      <w:r w:rsidRPr="0054771B">
        <w:rPr>
          <w:lang w:val="fr-CA"/>
        </w:rPr>
        <w:t xml:space="preserve"> était de 83,7 %, soit légèrement inférieur à celui rapporté pour l’ensemble du gouvernement qui lui, était de 85,1 %. En 2013</w:t>
      </w:r>
      <w:r w:rsidRPr="0054771B">
        <w:rPr>
          <w:lang w:val="fr-CA"/>
        </w:rPr>
        <w:noBreakHyphen/>
        <w:t>2014, le taux d’achèvement pour ISDE était de 90,3 %. ISDE a aussi reçu 197 demandes i</w:t>
      </w:r>
      <w:r>
        <w:rPr>
          <w:lang w:val="fr-CA"/>
        </w:rPr>
        <w:t>nformelles, qui ont toutes été complétées</w:t>
      </w:r>
      <w:r w:rsidRPr="0054771B">
        <w:rPr>
          <w:lang w:val="fr-CA"/>
        </w:rPr>
        <w:t xml:space="preserve"> en 30 jours ou moins. Le nombre de demandes de consultation reçues par ISDE en provenance d’autres institutions fédérales a diminué de 252 à 172, ce qui représente une bais</w:t>
      </w:r>
      <w:r>
        <w:rPr>
          <w:lang w:val="fr-CA"/>
        </w:rPr>
        <w:t>se de 31,7 % par rapport à 2013-</w:t>
      </w:r>
      <w:r w:rsidRPr="0054771B">
        <w:rPr>
          <w:lang w:val="fr-CA"/>
        </w:rPr>
        <w:t>2014.</w:t>
      </w:r>
    </w:p>
    <w:p w:rsidR="005476C3" w:rsidRPr="000D103A" w:rsidRDefault="005476C3" w:rsidP="005476C3">
      <w:pPr>
        <w:jc w:val="both"/>
        <w:rPr>
          <w:lang w:val="fr-CA"/>
        </w:rPr>
      </w:pPr>
      <w:r w:rsidRPr="000D103A">
        <w:rPr>
          <w:lang w:val="fr-CA"/>
        </w:rPr>
        <w:t xml:space="preserve">ISDE a traité </w:t>
      </w:r>
      <w:r>
        <w:rPr>
          <w:lang w:val="fr-CA"/>
        </w:rPr>
        <w:t>1 354 646 </w:t>
      </w:r>
      <w:r w:rsidRPr="000D103A">
        <w:rPr>
          <w:lang w:val="fr-CA"/>
        </w:rPr>
        <w:t xml:space="preserve">pages pour la période de référence </w:t>
      </w:r>
      <w:r>
        <w:rPr>
          <w:lang w:val="fr-CA"/>
        </w:rPr>
        <w:t>actuelle</w:t>
      </w:r>
      <w:r w:rsidRPr="000D103A">
        <w:rPr>
          <w:lang w:val="fr-CA"/>
        </w:rPr>
        <w:t>. Le nombre moyen de pages traitées par demande réglée a diminué considérablement, de 9 649 en 2013</w:t>
      </w:r>
      <w:r>
        <w:rPr>
          <w:lang w:val="fr-CA"/>
        </w:rPr>
        <w:t>-</w:t>
      </w:r>
      <w:r w:rsidRPr="000D103A">
        <w:rPr>
          <w:lang w:val="fr-CA"/>
        </w:rPr>
        <w:t xml:space="preserve">2014 à </w:t>
      </w:r>
      <w:r>
        <w:rPr>
          <w:lang w:val="fr-CA"/>
        </w:rPr>
        <w:t>2 265 en 2014-2015.</w:t>
      </w:r>
    </w:p>
    <w:p w:rsidR="005476C3" w:rsidRDefault="005476C3" w:rsidP="005476C3">
      <w:pPr>
        <w:jc w:val="both"/>
        <w:rPr>
          <w:lang w:val="fr-CA"/>
        </w:rPr>
      </w:pPr>
      <w:r w:rsidRPr="000D103A">
        <w:rPr>
          <w:lang w:val="fr-CA"/>
        </w:rPr>
        <w:t xml:space="preserve">L’information diffusée par ISDE </w:t>
      </w:r>
      <w:r>
        <w:rPr>
          <w:lang w:val="fr-CA"/>
        </w:rPr>
        <w:t xml:space="preserve">était davantage </w:t>
      </w:r>
      <w:r w:rsidRPr="000D103A">
        <w:rPr>
          <w:lang w:val="fr-CA"/>
        </w:rPr>
        <w:t>en format papier : 289 </w:t>
      </w:r>
      <w:r>
        <w:rPr>
          <w:lang w:val="fr-CA"/>
        </w:rPr>
        <w:t>demandes en</w:t>
      </w:r>
      <w:r w:rsidRPr="000D103A">
        <w:rPr>
          <w:lang w:val="fr-CA"/>
        </w:rPr>
        <w:t xml:space="preserve"> format papier par rapport à 219 demandes en format électronique. Par rapport à la période précédente, on constate une forte </w:t>
      </w:r>
      <w:r>
        <w:rPr>
          <w:lang w:val="fr-CA"/>
        </w:rPr>
        <w:t>augmentation</w:t>
      </w:r>
      <w:r w:rsidRPr="000D103A">
        <w:rPr>
          <w:lang w:val="fr-CA"/>
        </w:rPr>
        <w:t xml:space="preserve"> du nombre de demandes traitées en format électronique</w:t>
      </w:r>
      <w:r>
        <w:rPr>
          <w:lang w:val="fr-CA"/>
        </w:rPr>
        <w:t xml:space="preserve"> (264 </w:t>
      </w:r>
      <w:r w:rsidRPr="000D103A">
        <w:rPr>
          <w:lang w:val="fr-CA"/>
        </w:rPr>
        <w:t>demandes en format papier et 119 demandes en format électronique en 2013</w:t>
      </w:r>
      <w:r>
        <w:rPr>
          <w:lang w:val="fr-CA"/>
        </w:rPr>
        <w:t>-2014).</w:t>
      </w:r>
    </w:p>
    <w:p w:rsidR="005476C3" w:rsidRPr="00EC1BEA" w:rsidRDefault="005476C3" w:rsidP="00BA2BE8">
      <w:pPr>
        <w:pStyle w:val="Heading3"/>
      </w:pPr>
      <w:r w:rsidRPr="00EC1BEA">
        <w:t xml:space="preserve">Tableau </w:t>
      </w:r>
      <w:proofErr w:type="gramStart"/>
      <w:r w:rsidRPr="00EC1BEA">
        <w:t>1 :</w:t>
      </w:r>
      <w:proofErr w:type="gramEnd"/>
      <w:r w:rsidRPr="00EC1BEA">
        <w:t xml:space="preserve"> Charge de travail</w:t>
      </w:r>
    </w:p>
    <w:tbl>
      <w:tblPr>
        <w:tblW w:w="9375" w:type="dxa"/>
        <w:tblInd w:w="98" w:type="dxa"/>
        <w:tblLook w:val="04A0"/>
      </w:tblPr>
      <w:tblGrid>
        <w:gridCol w:w="5169"/>
        <w:gridCol w:w="1402"/>
        <w:gridCol w:w="1402"/>
        <w:gridCol w:w="1402"/>
      </w:tblGrid>
      <w:tr w:rsidR="005476C3" w:rsidRPr="000D103A" w:rsidTr="005476C3">
        <w:trPr>
          <w:trHeight w:val="278"/>
        </w:trPr>
        <w:tc>
          <w:tcPr>
            <w:tcW w:w="5169" w:type="dxa"/>
            <w:tcBorders>
              <w:top w:val="single" w:sz="4" w:space="0" w:color="auto"/>
              <w:left w:val="single" w:sz="4" w:space="0" w:color="auto"/>
              <w:bottom w:val="single" w:sz="8" w:space="0" w:color="auto"/>
              <w:right w:val="nil"/>
            </w:tcBorders>
            <w:shd w:val="clear" w:color="auto" w:fill="auto"/>
            <w:noWrap/>
            <w:vAlign w:val="bottom"/>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Mesures </w:t>
            </w:r>
          </w:p>
        </w:tc>
        <w:tc>
          <w:tcPr>
            <w:tcW w:w="1402" w:type="dxa"/>
            <w:tcBorders>
              <w:top w:val="single" w:sz="4" w:space="0" w:color="auto"/>
              <w:left w:val="nil"/>
              <w:bottom w:val="single" w:sz="8" w:space="0" w:color="auto"/>
              <w:right w:val="nil"/>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2012-2013</w:t>
            </w:r>
          </w:p>
        </w:tc>
        <w:tc>
          <w:tcPr>
            <w:tcW w:w="1402" w:type="dxa"/>
            <w:tcBorders>
              <w:top w:val="single" w:sz="4" w:space="0" w:color="auto"/>
              <w:left w:val="nil"/>
              <w:bottom w:val="single" w:sz="8" w:space="0" w:color="auto"/>
              <w:right w:val="nil"/>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2013-2014</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2014-2015</w:t>
            </w:r>
          </w:p>
        </w:tc>
      </w:tr>
      <w:tr w:rsidR="005476C3" w:rsidRPr="000D103A" w:rsidTr="005476C3">
        <w:trPr>
          <w:trHeight w:val="253"/>
        </w:trPr>
        <w:tc>
          <w:tcPr>
            <w:tcW w:w="5169" w:type="dxa"/>
            <w:tcBorders>
              <w:top w:val="nil"/>
              <w:left w:val="single" w:sz="4" w:space="0" w:color="auto"/>
              <w:right w:val="nil"/>
            </w:tcBorders>
            <w:shd w:val="clear" w:color="000000" w:fill="DBE5F1"/>
            <w:noWrap/>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Nombre de demandes reçues </w:t>
            </w:r>
          </w:p>
        </w:tc>
        <w:tc>
          <w:tcPr>
            <w:tcW w:w="1402" w:type="dxa"/>
            <w:tcBorders>
              <w:top w:val="nil"/>
              <w:left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741</w:t>
            </w:r>
          </w:p>
        </w:tc>
        <w:tc>
          <w:tcPr>
            <w:tcW w:w="1402" w:type="dxa"/>
            <w:tcBorders>
              <w:top w:val="nil"/>
              <w:left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857</w:t>
            </w:r>
          </w:p>
        </w:tc>
        <w:tc>
          <w:tcPr>
            <w:tcW w:w="1402" w:type="dxa"/>
            <w:tcBorders>
              <w:top w:val="nil"/>
              <w:left w:val="nil"/>
              <w:right w:val="single" w:sz="4" w:space="0" w:color="auto"/>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749</w:t>
            </w:r>
          </w:p>
        </w:tc>
      </w:tr>
      <w:tr w:rsidR="005476C3" w:rsidRPr="000D103A" w:rsidTr="005476C3">
        <w:trPr>
          <w:trHeight w:val="265"/>
        </w:trPr>
        <w:tc>
          <w:tcPr>
            <w:tcW w:w="5169" w:type="dxa"/>
            <w:tcBorders>
              <w:top w:val="nil"/>
              <w:left w:val="single" w:sz="4" w:space="0" w:color="auto"/>
              <w:bottom w:val="nil"/>
              <w:right w:val="nil"/>
            </w:tcBorders>
            <w:shd w:val="clear" w:color="auto" w:fill="auto"/>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Variation annuelle en %</w:t>
            </w:r>
          </w:p>
        </w:tc>
        <w:tc>
          <w:tcPr>
            <w:tcW w:w="1402" w:type="dxa"/>
            <w:tcBorders>
              <w:top w:val="nil"/>
              <w:left w:val="nil"/>
              <w:bottom w:val="nil"/>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w:t>
            </w:r>
          </w:p>
        </w:tc>
        <w:tc>
          <w:tcPr>
            <w:tcW w:w="1402" w:type="dxa"/>
            <w:tcBorders>
              <w:top w:val="nil"/>
              <w:left w:val="nil"/>
              <w:bottom w:val="nil"/>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15,7 %</w:t>
            </w:r>
          </w:p>
        </w:tc>
        <w:tc>
          <w:tcPr>
            <w:tcW w:w="1402" w:type="dxa"/>
            <w:tcBorders>
              <w:top w:val="nil"/>
              <w:left w:val="nil"/>
              <w:bottom w:val="nil"/>
              <w:right w:val="single" w:sz="4" w:space="0" w:color="auto"/>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-12,6 %</w:t>
            </w:r>
          </w:p>
        </w:tc>
      </w:tr>
      <w:tr w:rsidR="005476C3" w:rsidRPr="000D103A" w:rsidTr="005476C3">
        <w:trPr>
          <w:trHeight w:val="265"/>
        </w:trPr>
        <w:tc>
          <w:tcPr>
            <w:tcW w:w="5169" w:type="dxa"/>
            <w:tcBorders>
              <w:top w:val="nil"/>
              <w:left w:val="single" w:sz="4" w:space="0" w:color="auto"/>
              <w:bottom w:val="nil"/>
              <w:right w:val="nil"/>
            </w:tcBorders>
            <w:shd w:val="clear" w:color="000000" w:fill="DBE5F1"/>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402" w:type="dxa"/>
            <w:tcBorders>
              <w:top w:val="nil"/>
              <w:left w:val="nil"/>
              <w:bottom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860</w:t>
            </w:r>
          </w:p>
        </w:tc>
        <w:tc>
          <w:tcPr>
            <w:tcW w:w="1402" w:type="dxa"/>
            <w:tcBorders>
              <w:top w:val="nil"/>
              <w:left w:val="nil"/>
              <w:bottom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865</w:t>
            </w:r>
          </w:p>
        </w:tc>
        <w:tc>
          <w:tcPr>
            <w:tcW w:w="1402" w:type="dxa"/>
            <w:tcBorders>
              <w:top w:val="nil"/>
              <w:left w:val="nil"/>
              <w:bottom w:val="nil"/>
              <w:right w:val="single" w:sz="4" w:space="0" w:color="auto"/>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705</w:t>
            </w:r>
          </w:p>
        </w:tc>
      </w:tr>
      <w:tr w:rsidR="005476C3" w:rsidRPr="000D103A" w:rsidTr="005476C3">
        <w:trPr>
          <w:trHeight w:val="278"/>
        </w:trPr>
        <w:tc>
          <w:tcPr>
            <w:tcW w:w="5169" w:type="dxa"/>
            <w:tcBorders>
              <w:top w:val="nil"/>
              <w:left w:val="single" w:sz="4" w:space="0" w:color="auto"/>
              <w:right w:val="nil"/>
            </w:tcBorders>
            <w:shd w:val="clear" w:color="auto" w:fill="auto"/>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lastRenderedPageBreak/>
              <w:t>Variation annuelle en %</w:t>
            </w:r>
          </w:p>
        </w:tc>
        <w:tc>
          <w:tcPr>
            <w:tcW w:w="1402" w:type="dxa"/>
            <w:tcBorders>
              <w:top w:val="nil"/>
              <w:left w:val="nil"/>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w:t>
            </w:r>
          </w:p>
        </w:tc>
        <w:tc>
          <w:tcPr>
            <w:tcW w:w="1402" w:type="dxa"/>
            <w:tcBorders>
              <w:top w:val="nil"/>
              <w:left w:val="nil"/>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0,6 %</w:t>
            </w:r>
          </w:p>
        </w:tc>
        <w:tc>
          <w:tcPr>
            <w:tcW w:w="1402" w:type="dxa"/>
            <w:tcBorders>
              <w:top w:val="nil"/>
              <w:left w:val="nil"/>
              <w:right w:val="single" w:sz="4" w:space="0" w:color="auto"/>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-18,5 %</w:t>
            </w:r>
          </w:p>
        </w:tc>
      </w:tr>
      <w:tr w:rsidR="005476C3" w:rsidRPr="000D103A" w:rsidTr="005476C3">
        <w:trPr>
          <w:trHeight w:val="425"/>
        </w:trPr>
        <w:tc>
          <w:tcPr>
            <w:tcW w:w="5169" w:type="dxa"/>
            <w:tcBorders>
              <w:top w:val="nil"/>
              <w:left w:val="single" w:sz="4" w:space="0" w:color="auto"/>
              <w:right w:val="nil"/>
            </w:tcBorders>
            <w:shd w:val="clear" w:color="000000" w:fill="DBE5F1"/>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Nombre de demandes </w:t>
            </w:r>
            <w:r>
              <w:rPr>
                <w:rFonts w:ascii="Calibri" w:eastAsia="Times New Roman" w:hAnsi="Calibri" w:cs="Times New Roman"/>
                <w:color w:val="000000"/>
                <w:lang w:val="fr-CA"/>
              </w:rPr>
              <w:t>de consultation</w:t>
            </w:r>
            <w:r w:rsidRPr="000D103A">
              <w:rPr>
                <w:rFonts w:ascii="Calibri" w:eastAsia="Times New Roman" w:hAnsi="Calibri" w:cs="Times New Roman"/>
                <w:color w:val="000000"/>
                <w:lang w:val="fr-CA"/>
              </w:rPr>
              <w:t xml:space="preserve"> reçues (d’autres institutions fédérales)</w:t>
            </w:r>
          </w:p>
        </w:tc>
        <w:tc>
          <w:tcPr>
            <w:tcW w:w="1402" w:type="dxa"/>
            <w:tcBorders>
              <w:top w:val="nil"/>
              <w:left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770</w:t>
            </w:r>
          </w:p>
        </w:tc>
        <w:tc>
          <w:tcPr>
            <w:tcW w:w="1402" w:type="dxa"/>
            <w:tcBorders>
              <w:top w:val="nil"/>
              <w:left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252</w:t>
            </w:r>
          </w:p>
        </w:tc>
        <w:tc>
          <w:tcPr>
            <w:tcW w:w="1402" w:type="dxa"/>
            <w:tcBorders>
              <w:top w:val="nil"/>
              <w:left w:val="nil"/>
              <w:right w:val="single" w:sz="4" w:space="0" w:color="auto"/>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172</w:t>
            </w:r>
          </w:p>
        </w:tc>
      </w:tr>
      <w:tr w:rsidR="005476C3" w:rsidRPr="000D103A" w:rsidTr="005476C3">
        <w:trPr>
          <w:trHeight w:val="390"/>
        </w:trPr>
        <w:tc>
          <w:tcPr>
            <w:tcW w:w="5169" w:type="dxa"/>
            <w:tcBorders>
              <w:top w:val="nil"/>
              <w:left w:val="single" w:sz="4" w:space="0" w:color="auto"/>
              <w:right w:val="nil"/>
            </w:tcBorders>
            <w:shd w:val="clear" w:color="auto" w:fill="auto"/>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Variation annuelle en %</w:t>
            </w:r>
          </w:p>
        </w:tc>
        <w:tc>
          <w:tcPr>
            <w:tcW w:w="1402" w:type="dxa"/>
            <w:tcBorders>
              <w:top w:val="nil"/>
              <w:left w:val="nil"/>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w:t>
            </w:r>
          </w:p>
        </w:tc>
        <w:tc>
          <w:tcPr>
            <w:tcW w:w="1402" w:type="dxa"/>
            <w:tcBorders>
              <w:top w:val="nil"/>
              <w:left w:val="nil"/>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-67,3 %</w:t>
            </w:r>
          </w:p>
        </w:tc>
        <w:tc>
          <w:tcPr>
            <w:tcW w:w="1402" w:type="dxa"/>
            <w:tcBorders>
              <w:top w:val="nil"/>
              <w:left w:val="nil"/>
              <w:right w:val="single" w:sz="4" w:space="0" w:color="auto"/>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-31,7 %</w:t>
            </w:r>
          </w:p>
        </w:tc>
      </w:tr>
      <w:tr w:rsidR="005476C3" w:rsidRPr="000D103A" w:rsidTr="005476C3">
        <w:trPr>
          <w:trHeight w:val="542"/>
        </w:trPr>
        <w:tc>
          <w:tcPr>
            <w:tcW w:w="5169" w:type="dxa"/>
            <w:tcBorders>
              <w:left w:val="single" w:sz="4" w:space="0" w:color="auto"/>
              <w:bottom w:val="nil"/>
              <w:right w:val="nil"/>
            </w:tcBorders>
            <w:shd w:val="clear" w:color="000000" w:fill="DBE5F1"/>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402" w:type="dxa"/>
            <w:tcBorders>
              <w:left w:val="nil"/>
              <w:bottom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5 050</w:t>
            </w:r>
          </w:p>
        </w:tc>
        <w:tc>
          <w:tcPr>
            <w:tcW w:w="1402" w:type="dxa"/>
            <w:tcBorders>
              <w:left w:val="nil"/>
              <w:bottom w:val="nil"/>
              <w:right w:val="nil"/>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9 649</w:t>
            </w:r>
          </w:p>
        </w:tc>
        <w:tc>
          <w:tcPr>
            <w:tcW w:w="1402" w:type="dxa"/>
            <w:tcBorders>
              <w:left w:val="nil"/>
              <w:bottom w:val="nil"/>
              <w:right w:val="single" w:sz="4" w:space="0" w:color="auto"/>
            </w:tcBorders>
            <w:shd w:val="clear" w:color="000000" w:fill="DBE5F1"/>
            <w:noWrap/>
            <w:vAlign w:val="center"/>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2 265</w:t>
            </w:r>
          </w:p>
        </w:tc>
      </w:tr>
      <w:tr w:rsidR="005476C3" w:rsidRPr="000D103A" w:rsidTr="005476C3">
        <w:trPr>
          <w:trHeight w:val="319"/>
        </w:trPr>
        <w:tc>
          <w:tcPr>
            <w:tcW w:w="5169" w:type="dxa"/>
            <w:tcBorders>
              <w:top w:val="nil"/>
              <w:left w:val="single" w:sz="4" w:space="0" w:color="auto"/>
              <w:bottom w:val="single" w:sz="4" w:space="0" w:color="auto"/>
              <w:right w:val="nil"/>
            </w:tcBorders>
            <w:shd w:val="clear" w:color="auto" w:fill="auto"/>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 des demandes </w:t>
            </w:r>
            <w:r>
              <w:rPr>
                <w:rFonts w:ascii="Calibri" w:eastAsia="Times New Roman" w:hAnsi="Calibri" w:cs="Times New Roman"/>
                <w:color w:val="000000"/>
                <w:lang w:val="fr-CA"/>
              </w:rPr>
              <w:t>pour lesquelles plus de 1 000 </w:t>
            </w:r>
            <w:r w:rsidRPr="000D103A">
              <w:rPr>
                <w:rFonts w:ascii="Calibri" w:eastAsia="Times New Roman" w:hAnsi="Calibri" w:cs="Times New Roman"/>
                <w:color w:val="000000"/>
                <w:lang w:val="fr-CA"/>
              </w:rPr>
              <w:t>pages ont été traitées</w:t>
            </w:r>
          </w:p>
        </w:tc>
        <w:tc>
          <w:tcPr>
            <w:tcW w:w="1402" w:type="dxa"/>
            <w:tcBorders>
              <w:top w:val="nil"/>
              <w:left w:val="nil"/>
              <w:bottom w:val="single" w:sz="4" w:space="0" w:color="auto"/>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13,4 %</w:t>
            </w:r>
          </w:p>
        </w:tc>
        <w:tc>
          <w:tcPr>
            <w:tcW w:w="1402" w:type="dxa"/>
            <w:tcBorders>
              <w:top w:val="nil"/>
              <w:left w:val="nil"/>
              <w:bottom w:val="single" w:sz="4" w:space="0" w:color="auto"/>
              <w:right w:val="nil"/>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4,6 %</w:t>
            </w:r>
          </w:p>
        </w:tc>
        <w:tc>
          <w:tcPr>
            <w:tcW w:w="1402" w:type="dxa"/>
            <w:tcBorders>
              <w:top w:val="nil"/>
              <w:left w:val="nil"/>
              <w:bottom w:val="single" w:sz="4" w:space="0" w:color="auto"/>
              <w:right w:val="single" w:sz="4" w:space="0" w:color="auto"/>
            </w:tcBorders>
            <w:shd w:val="clear" w:color="auto" w:fill="auto"/>
            <w:noWrap/>
            <w:vAlign w:val="center"/>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3,5 %</w:t>
            </w:r>
          </w:p>
        </w:tc>
      </w:tr>
    </w:tbl>
    <w:p w:rsidR="005476C3" w:rsidRPr="00EC1BEA" w:rsidRDefault="005476C3" w:rsidP="005476C3">
      <w:pPr>
        <w:pStyle w:val="Heading2"/>
        <w:spacing w:before="240"/>
      </w:pPr>
      <w:r w:rsidRPr="00EC1BEA">
        <w:t>Délai de traitement des demandes</w:t>
      </w:r>
    </w:p>
    <w:p w:rsidR="005476C3" w:rsidRPr="00EC1BEA" w:rsidRDefault="005476C3" w:rsidP="005476C3">
      <w:pPr>
        <w:pStyle w:val="Heading4"/>
      </w:pPr>
      <w:r w:rsidRPr="00EC1BEA">
        <w:t>Rapidité</w:t>
      </w:r>
    </w:p>
    <w:p w:rsidR="005476C3" w:rsidRPr="000D103A" w:rsidRDefault="005476C3" w:rsidP="005476C3">
      <w:pPr>
        <w:jc w:val="both"/>
        <w:rPr>
          <w:lang w:val="fr-CA"/>
        </w:rPr>
      </w:pPr>
      <w:r w:rsidRPr="000D103A">
        <w:rPr>
          <w:lang w:val="fr-CA"/>
        </w:rPr>
        <w:t xml:space="preserve">La figure 1 révèle que 67,4 % des </w:t>
      </w:r>
      <w:r w:rsidRPr="0054771B">
        <w:rPr>
          <w:lang w:val="fr-CA"/>
        </w:rPr>
        <w:t>demandes ont été complétées en 30 jours ou moins, un résultat 7,4 % supérieur à celui observé en 2013</w:t>
      </w:r>
      <w:r>
        <w:rPr>
          <w:lang w:val="fr-CA"/>
        </w:rPr>
        <w:t>-</w:t>
      </w:r>
      <w:r w:rsidRPr="0054771B">
        <w:rPr>
          <w:lang w:val="fr-CA"/>
        </w:rPr>
        <w:t xml:space="preserve">2014. </w:t>
      </w:r>
      <w:r>
        <w:rPr>
          <w:lang w:val="fr-CA"/>
        </w:rPr>
        <w:t>Nous observons une</w:t>
      </w:r>
      <w:r w:rsidRPr="0054771B">
        <w:rPr>
          <w:lang w:val="fr-CA"/>
        </w:rPr>
        <w:t xml:space="preserve"> légèr</w:t>
      </w:r>
      <w:r>
        <w:rPr>
          <w:lang w:val="fr-CA"/>
        </w:rPr>
        <w:t>e diminution</w:t>
      </w:r>
      <w:r w:rsidRPr="0054771B">
        <w:rPr>
          <w:lang w:val="fr-CA"/>
        </w:rPr>
        <w:t xml:space="preserve"> pour</w:t>
      </w:r>
      <w:r>
        <w:rPr>
          <w:lang w:val="fr-CA"/>
        </w:rPr>
        <w:t xml:space="preserve"> </w:t>
      </w:r>
      <w:r w:rsidRPr="0054771B">
        <w:rPr>
          <w:lang w:val="fr-CA"/>
        </w:rPr>
        <w:t>les autres périodes.</w:t>
      </w:r>
    </w:p>
    <w:p w:rsidR="005476C3" w:rsidRDefault="005476C3" w:rsidP="005476C3">
      <w:pPr>
        <w:spacing w:line="240" w:lineRule="auto"/>
        <w:rPr>
          <w:noProof/>
          <w:lang w:val="fr-FR"/>
        </w:rPr>
      </w:pPr>
      <w:r w:rsidRPr="005476C3">
        <w:rPr>
          <w:rStyle w:val="Heading3Char"/>
          <w:lang w:val="fr-FR"/>
        </w:rPr>
        <w:t>Figure 1 : Délai de traitement des demandes</w:t>
      </w:r>
      <w:r w:rsidRPr="00F501A4">
        <w:rPr>
          <w:noProof/>
        </w:rPr>
        <w:drawing>
          <wp:inline distT="0" distB="0" distL="0" distR="0">
            <wp:extent cx="5943600" cy="4011283"/>
            <wp:effectExtent l="0" t="0" r="19050" b="27940"/>
            <wp:docPr id="4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476C3" w:rsidRPr="00EC1BEA" w:rsidRDefault="005476C3" w:rsidP="005476C3">
      <w:pPr>
        <w:pStyle w:val="Heading4"/>
      </w:pPr>
      <w:r w:rsidRPr="00EC1BEA">
        <w:t>Prorogations</w:t>
      </w:r>
    </w:p>
    <w:p w:rsidR="005476C3" w:rsidRPr="00903B08" w:rsidRDefault="005476C3" w:rsidP="005476C3">
      <w:pPr>
        <w:jc w:val="both"/>
        <w:rPr>
          <w:lang w:val="fr-CA"/>
        </w:rPr>
      </w:pPr>
      <w:r w:rsidRPr="00903B08">
        <w:rPr>
          <w:lang w:val="fr-CA"/>
        </w:rPr>
        <w:t>ISDE a eu recours à 313 prorogations en 2014-2015 par rapport à 466 en 2013-2014. Les demandes de consultation (61,7 %) étaient la raison la plus fréquemment invoquée pour demander une prorogation, suivies des avis à des tiers (20,4 %).</w:t>
      </w:r>
    </w:p>
    <w:p w:rsidR="005476C3" w:rsidRPr="00903B08" w:rsidRDefault="005476C3" w:rsidP="005476C3">
      <w:pPr>
        <w:jc w:val="both"/>
        <w:rPr>
          <w:lang w:val="fr-CA"/>
        </w:rPr>
      </w:pPr>
      <w:r w:rsidRPr="00903B08">
        <w:rPr>
          <w:lang w:val="fr-CA"/>
        </w:rPr>
        <w:lastRenderedPageBreak/>
        <w:t>La figure 2 démontre que 19,5 % des prorogations étaient de 30 jours ou moins, un résultat inférieur de 17,4 % par rapport à 2013-2014. La figure 2 montre également que le nombre de prorogations de 31 à 60 jours a augmenté de 15,1 % par rapport à l’année précédente et que la part des prorogations de 121 à 180 jours a diminué de 3,5 %.</w:t>
      </w:r>
    </w:p>
    <w:p w:rsidR="005476C3" w:rsidRPr="00F501A4" w:rsidRDefault="005476C3" w:rsidP="005476C3">
      <w:pPr>
        <w:rPr>
          <w:lang w:val="fr-CA"/>
        </w:rPr>
      </w:pPr>
      <w:r w:rsidRPr="005476C3">
        <w:rPr>
          <w:rStyle w:val="Heading3Char"/>
          <w:lang w:val="fr-FR"/>
        </w:rPr>
        <w:t>Figure 2 : Durée des prorogations</w:t>
      </w:r>
      <w:r w:rsidRPr="00F501A4">
        <w:rPr>
          <w:noProof/>
        </w:rPr>
        <w:drawing>
          <wp:inline distT="0" distB="0" distL="0" distR="0">
            <wp:extent cx="5947576" cy="4166483"/>
            <wp:effectExtent l="0" t="0" r="15240" b="24765"/>
            <wp:docPr id="4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476C3" w:rsidRPr="00EC1BEA" w:rsidRDefault="005476C3" w:rsidP="005476C3">
      <w:pPr>
        <w:pStyle w:val="Heading4"/>
      </w:pPr>
      <w:r w:rsidRPr="00EC1BEA">
        <w:t>Présomptions de refus</w:t>
      </w:r>
    </w:p>
    <w:p w:rsidR="005476C3" w:rsidRPr="00903B08" w:rsidRDefault="005476C3" w:rsidP="005476C3">
      <w:pPr>
        <w:jc w:val="both"/>
        <w:rPr>
          <w:lang w:val="fr-CA"/>
        </w:rPr>
      </w:pPr>
      <w:r w:rsidRPr="00903B08">
        <w:rPr>
          <w:lang w:val="fr-CA"/>
        </w:rPr>
        <w:t>En 2014</w:t>
      </w:r>
      <w:r w:rsidRPr="00903B08">
        <w:rPr>
          <w:lang w:val="fr-CA"/>
        </w:rPr>
        <w:noBreakHyphen/>
        <w:t>2015, 37 demandes ont été fermées après l’échéancier réglementaire, ce qui représente 5,2 % des demandes complétées. Ce résultat procure à ISDE la note de « B »</w:t>
      </w:r>
      <w:r w:rsidRPr="00903B08">
        <w:rPr>
          <w:rStyle w:val="FootnoteReference"/>
          <w:lang w:val="fr-CA"/>
        </w:rPr>
        <w:footnoteReference w:id="62"/>
      </w:r>
      <w:r w:rsidRPr="00903B08">
        <w:rPr>
          <w:lang w:val="fr-CA"/>
        </w:rPr>
        <w:t>. La charge de travail (81,1 %) était la principale raison invoquée pour ne pas respecter l’échéancier réglementaire, suivie d’autres motifs (16,2 %).</w:t>
      </w:r>
    </w:p>
    <w:p w:rsidR="005476C3" w:rsidRPr="000D103A" w:rsidRDefault="005476C3" w:rsidP="005476C3">
      <w:pPr>
        <w:jc w:val="both"/>
        <w:rPr>
          <w:lang w:val="fr-CA"/>
        </w:rPr>
      </w:pPr>
      <w:r>
        <w:rPr>
          <w:lang w:val="fr-CA"/>
        </w:rPr>
        <w:t>La figure 3 démontre que 24,3</w:t>
      </w:r>
      <w:r w:rsidRPr="000D103A">
        <w:rPr>
          <w:lang w:val="fr-CA"/>
        </w:rPr>
        <w:t> % des demandes échues étaient en retard de 30 jours ou moins et que 40</w:t>
      </w:r>
      <w:r>
        <w:rPr>
          <w:lang w:val="fr-CA"/>
        </w:rPr>
        <w:t>,5</w:t>
      </w:r>
      <w:r w:rsidRPr="000D103A">
        <w:rPr>
          <w:lang w:val="fr-CA"/>
        </w:rPr>
        <w:t xml:space="preserve"> % des demandes étaient en retard de plus de </w:t>
      </w:r>
      <w:r>
        <w:rPr>
          <w:lang w:val="fr-CA"/>
        </w:rPr>
        <w:t>180</w:t>
      </w:r>
      <w:r w:rsidRPr="000D103A">
        <w:rPr>
          <w:lang w:val="fr-CA"/>
        </w:rPr>
        <w:t xml:space="preserve"> jours. On constate </w:t>
      </w:r>
      <w:r>
        <w:rPr>
          <w:lang w:val="fr-CA"/>
        </w:rPr>
        <w:t xml:space="preserve">aussi </w:t>
      </w:r>
      <w:r w:rsidRPr="000D103A">
        <w:rPr>
          <w:lang w:val="fr-CA"/>
        </w:rPr>
        <w:t>que 24</w:t>
      </w:r>
      <w:r>
        <w:rPr>
          <w:lang w:val="fr-CA"/>
        </w:rPr>
        <w:t>,3</w:t>
      </w:r>
      <w:r w:rsidRPr="000D103A">
        <w:rPr>
          <w:lang w:val="fr-CA"/>
        </w:rPr>
        <w:t xml:space="preserve"> % des demandes échues étaient en retard de plus de 365 jours, malgré le fait qu’aucune prorogation n’ait été demandée </w:t>
      </w:r>
      <w:r>
        <w:rPr>
          <w:lang w:val="fr-CA"/>
        </w:rPr>
        <w:t>au-delà des 365 jours.</w:t>
      </w:r>
    </w:p>
    <w:p w:rsidR="005476C3" w:rsidRPr="002A5EF5" w:rsidRDefault="005476C3" w:rsidP="005476C3">
      <w:pPr>
        <w:rPr>
          <w:lang w:val="fr-CA"/>
        </w:rPr>
      </w:pPr>
      <w:r w:rsidRPr="005476C3">
        <w:rPr>
          <w:rStyle w:val="Heading3Char"/>
          <w:lang w:val="fr-FR"/>
        </w:rPr>
        <w:lastRenderedPageBreak/>
        <w:t>Figure 3 : Retard des demandes échues</w:t>
      </w:r>
      <w:r w:rsidRPr="00F501A4">
        <w:rPr>
          <w:noProof/>
        </w:rPr>
        <w:drawing>
          <wp:inline distT="0" distB="0" distL="0" distR="0">
            <wp:extent cx="5899868" cy="4436827"/>
            <wp:effectExtent l="0" t="0" r="24765" b="20955"/>
            <wp:docPr id="5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476C3" w:rsidRPr="00EC1BEA" w:rsidRDefault="005476C3" w:rsidP="005476C3">
      <w:pPr>
        <w:pStyle w:val="Heading2"/>
      </w:pPr>
      <w:r w:rsidRPr="00EC1BEA">
        <w:t>Divulgation</w:t>
      </w:r>
    </w:p>
    <w:p w:rsidR="005476C3" w:rsidRPr="00EC1BEA" w:rsidRDefault="005476C3" w:rsidP="005476C3">
      <w:pPr>
        <w:pStyle w:val="Heading4"/>
      </w:pPr>
      <w:r w:rsidRPr="00EC1BEA">
        <w:t>Pourcentage de demandes pour lesquelle</w:t>
      </w:r>
      <w:r>
        <w:t>s l’information a été divulguée</w:t>
      </w:r>
    </w:p>
    <w:p w:rsidR="005476C3" w:rsidRPr="000D103A" w:rsidRDefault="005476C3" w:rsidP="005476C3">
      <w:pPr>
        <w:jc w:val="both"/>
        <w:rPr>
          <w:lang w:val="fr-CA"/>
        </w:rPr>
      </w:pPr>
      <w:r>
        <w:rPr>
          <w:lang w:val="fr-CA"/>
        </w:rPr>
        <w:t>En 2014-</w:t>
      </w:r>
      <w:r w:rsidRPr="000D103A">
        <w:rPr>
          <w:lang w:val="fr-CA"/>
        </w:rPr>
        <w:t xml:space="preserve">2015, 39,6 % de toutes les demandes </w:t>
      </w:r>
      <w:r>
        <w:rPr>
          <w:lang w:val="fr-CA"/>
        </w:rPr>
        <w:t>complétées</w:t>
      </w:r>
      <w:r w:rsidRPr="000D103A">
        <w:rPr>
          <w:lang w:val="fr-CA"/>
        </w:rPr>
        <w:t xml:space="preserve"> ont fait l’objet d’une divulgation complète, ce qui représente un taux supéri</w:t>
      </w:r>
      <w:r>
        <w:rPr>
          <w:lang w:val="fr-CA"/>
        </w:rPr>
        <w:t>eur aux 7,3 % rapportés en 2013-</w:t>
      </w:r>
      <w:r w:rsidRPr="000D103A">
        <w:rPr>
          <w:lang w:val="fr-CA"/>
        </w:rPr>
        <w:t xml:space="preserve">2014. </w:t>
      </w:r>
      <w:r>
        <w:rPr>
          <w:lang w:val="fr-CA"/>
        </w:rPr>
        <w:t xml:space="preserve">Le nombre </w:t>
      </w:r>
      <w:r w:rsidRPr="000D103A">
        <w:rPr>
          <w:lang w:val="fr-CA"/>
        </w:rPr>
        <w:t>de demandes qui ont fait l’objet d’une divu</w:t>
      </w:r>
      <w:r>
        <w:rPr>
          <w:lang w:val="fr-CA"/>
        </w:rPr>
        <w:t>lgation partielle a diminué de 4,8</w:t>
      </w:r>
      <w:r w:rsidRPr="000D103A">
        <w:rPr>
          <w:lang w:val="fr-CA"/>
        </w:rPr>
        <w:t> % par rapport à 2013</w:t>
      </w:r>
      <w:r>
        <w:rPr>
          <w:lang w:val="fr-CA"/>
        </w:rPr>
        <w:t>-2014</w:t>
      </w:r>
      <w:r w:rsidR="00F23868">
        <w:rPr>
          <w:lang w:val="fr-CA"/>
        </w:rPr>
        <w:t xml:space="preserve"> (37,0 % en 2013-2014 et 32,2 % en 2014-2015)</w:t>
      </w:r>
      <w:r>
        <w:rPr>
          <w:lang w:val="fr-CA"/>
        </w:rPr>
        <w:t>.</w:t>
      </w:r>
    </w:p>
    <w:p w:rsidR="005476C3" w:rsidRDefault="005476C3" w:rsidP="005476C3">
      <w:pPr>
        <w:spacing w:line="240" w:lineRule="auto"/>
        <w:rPr>
          <w:lang w:val="fr-CA"/>
        </w:rPr>
      </w:pPr>
      <w:r w:rsidRPr="00957E09">
        <w:rPr>
          <w:rStyle w:val="Heading3Char"/>
          <w:lang w:val="fr-FR"/>
        </w:rPr>
        <w:lastRenderedPageBreak/>
        <w:t>Figure 4 : Niveau de divulgation</w:t>
      </w:r>
      <w:r w:rsidRPr="00F501A4">
        <w:rPr>
          <w:noProof/>
        </w:rPr>
        <w:drawing>
          <wp:inline distT="0" distB="0" distL="0" distR="0">
            <wp:extent cx="5947576" cy="3919993"/>
            <wp:effectExtent l="0" t="0" r="15240" b="23495"/>
            <wp:docPr id="5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476C3" w:rsidRPr="00EC1BEA" w:rsidRDefault="005476C3" w:rsidP="005476C3">
      <w:pPr>
        <w:pStyle w:val="Heading4"/>
      </w:pPr>
      <w:r w:rsidRPr="00EC1BEA">
        <w:t>Exceptions</w:t>
      </w:r>
    </w:p>
    <w:p w:rsidR="005476C3" w:rsidRPr="00903B08" w:rsidRDefault="005476C3" w:rsidP="005476C3">
      <w:pPr>
        <w:jc w:val="both"/>
        <w:rPr>
          <w:lang w:val="fr-CA"/>
        </w:rPr>
      </w:pPr>
      <w:r w:rsidRPr="00903B08">
        <w:rPr>
          <w:lang w:val="fr-CA"/>
        </w:rPr>
        <w:t>ISDE a appliqué 769 exceptions en 2014-2015 par rapport à 1 011 l’année précédente. Nous constatons une diminution quant au nombre moyen d’exceptions par demande complétée par rapport à la période précédente (1,17 en 2013-2014 à 1,09 en 2014-2015) (voir tableau 2).</w:t>
      </w:r>
    </w:p>
    <w:p w:rsidR="005476C3" w:rsidRPr="00903B08" w:rsidRDefault="005476C3" w:rsidP="005476C3">
      <w:pPr>
        <w:jc w:val="both"/>
        <w:rPr>
          <w:lang w:val="fr-CA"/>
        </w:rPr>
      </w:pPr>
      <w:r w:rsidRPr="00903B08">
        <w:rPr>
          <w:lang w:val="fr-CA"/>
        </w:rPr>
        <w:t>Les exceptions les plus fréquemment invoquées en 2014-2015 étaient l’article 21 (activités du gouvernement) (41,9 %), suivies de l’article 20 (renseignements de tiers) (19,5 %) et l’article 19 (renseignements personnels) (14,6 %). On a constaté que les exceptions appliquées en vertu des dispositions ci</w:t>
      </w:r>
      <w:r w:rsidRPr="00903B08">
        <w:rPr>
          <w:lang w:val="fr-CA"/>
        </w:rPr>
        <w:noBreakHyphen/>
        <w:t>dessus ont diminué par rapport à la période précédente.</w:t>
      </w:r>
    </w:p>
    <w:p w:rsidR="005476C3" w:rsidRPr="000D103A" w:rsidRDefault="005476C3" w:rsidP="00BA2BE8">
      <w:pPr>
        <w:pStyle w:val="Heading3"/>
      </w:pPr>
      <w:r w:rsidRPr="000D103A">
        <w:t xml:space="preserve">Tableau </w:t>
      </w:r>
      <w:proofErr w:type="gramStart"/>
      <w:r w:rsidRPr="000D103A">
        <w:t>2 :</w:t>
      </w:r>
      <w:proofErr w:type="gramEnd"/>
      <w:r w:rsidRPr="000D103A">
        <w:t xml:space="preserve"> Exceptions</w:t>
      </w:r>
    </w:p>
    <w:tbl>
      <w:tblPr>
        <w:tblW w:w="9607" w:type="dxa"/>
        <w:tblInd w:w="98" w:type="dxa"/>
        <w:tblLook w:val="04A0"/>
      </w:tblPr>
      <w:tblGrid>
        <w:gridCol w:w="5518"/>
        <w:gridCol w:w="1363"/>
        <w:gridCol w:w="1363"/>
        <w:gridCol w:w="1363"/>
      </w:tblGrid>
      <w:tr w:rsidR="005476C3" w:rsidRPr="000D103A" w:rsidTr="005476C3">
        <w:trPr>
          <w:trHeight w:val="308"/>
        </w:trPr>
        <w:tc>
          <w:tcPr>
            <w:tcW w:w="5518"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Exceptions </w:t>
            </w:r>
          </w:p>
        </w:tc>
        <w:tc>
          <w:tcPr>
            <w:tcW w:w="1363" w:type="dxa"/>
            <w:tcBorders>
              <w:top w:val="single" w:sz="8" w:space="0" w:color="auto"/>
              <w:left w:val="nil"/>
              <w:bottom w:val="single" w:sz="8" w:space="0" w:color="auto"/>
              <w:right w:val="nil"/>
            </w:tcBorders>
            <w:shd w:val="clear" w:color="000000" w:fill="DBE5F1"/>
            <w:noWrap/>
            <w:vAlign w:val="bottom"/>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2012-2013</w:t>
            </w:r>
          </w:p>
        </w:tc>
        <w:tc>
          <w:tcPr>
            <w:tcW w:w="1363" w:type="dxa"/>
            <w:tcBorders>
              <w:top w:val="single" w:sz="8" w:space="0" w:color="auto"/>
              <w:left w:val="nil"/>
              <w:bottom w:val="single" w:sz="8" w:space="0" w:color="auto"/>
              <w:right w:val="nil"/>
            </w:tcBorders>
            <w:shd w:val="clear" w:color="000000" w:fill="DBE5F1"/>
            <w:noWrap/>
            <w:vAlign w:val="bottom"/>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2013-2014</w:t>
            </w:r>
          </w:p>
        </w:tc>
        <w:tc>
          <w:tcPr>
            <w:tcW w:w="1363"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0D103A" w:rsidRDefault="005476C3" w:rsidP="005476C3">
            <w:pPr>
              <w:spacing w:after="0" w:line="240" w:lineRule="auto"/>
              <w:jc w:val="center"/>
              <w:rPr>
                <w:rFonts w:ascii="Calibri" w:eastAsia="Times New Roman" w:hAnsi="Calibri" w:cs="Times New Roman"/>
                <w:b/>
                <w:bCs/>
                <w:color w:val="000000"/>
                <w:lang w:val="fr-CA"/>
              </w:rPr>
            </w:pPr>
            <w:r w:rsidRPr="000D103A">
              <w:rPr>
                <w:rFonts w:ascii="Calibri" w:eastAsia="Times New Roman" w:hAnsi="Calibri" w:cs="Times New Roman"/>
                <w:b/>
                <w:bCs/>
                <w:color w:val="000000"/>
                <w:lang w:val="fr-CA"/>
              </w:rPr>
              <w:t>2014-2015</w:t>
            </w:r>
          </w:p>
        </w:tc>
      </w:tr>
      <w:tr w:rsidR="005476C3" w:rsidRPr="000D103A" w:rsidTr="005476C3">
        <w:trPr>
          <w:trHeight w:val="293"/>
        </w:trPr>
        <w:tc>
          <w:tcPr>
            <w:tcW w:w="5518" w:type="dxa"/>
            <w:tcBorders>
              <w:top w:val="nil"/>
              <w:left w:val="single" w:sz="8" w:space="0" w:color="auto"/>
              <w:bottom w:val="nil"/>
              <w:right w:val="nil"/>
            </w:tcBorders>
            <w:shd w:val="clear" w:color="auto" w:fill="auto"/>
            <w:noWrap/>
            <w:vAlign w:val="bottom"/>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363" w:type="dxa"/>
            <w:tcBorders>
              <w:top w:val="nil"/>
              <w:left w:val="nil"/>
              <w:bottom w:val="nil"/>
              <w:right w:val="nil"/>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1 367</w:t>
            </w:r>
          </w:p>
        </w:tc>
        <w:tc>
          <w:tcPr>
            <w:tcW w:w="1363" w:type="dxa"/>
            <w:tcBorders>
              <w:top w:val="nil"/>
              <w:left w:val="nil"/>
              <w:bottom w:val="nil"/>
              <w:right w:val="nil"/>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1 011</w:t>
            </w:r>
          </w:p>
        </w:tc>
        <w:tc>
          <w:tcPr>
            <w:tcW w:w="1363" w:type="dxa"/>
            <w:tcBorders>
              <w:top w:val="nil"/>
              <w:left w:val="nil"/>
              <w:bottom w:val="nil"/>
              <w:right w:val="single" w:sz="8" w:space="0" w:color="auto"/>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769</w:t>
            </w:r>
          </w:p>
        </w:tc>
      </w:tr>
      <w:tr w:rsidR="005476C3" w:rsidRPr="000D103A" w:rsidTr="005476C3">
        <w:trPr>
          <w:trHeight w:val="293"/>
        </w:trPr>
        <w:tc>
          <w:tcPr>
            <w:tcW w:w="5518" w:type="dxa"/>
            <w:tcBorders>
              <w:top w:val="nil"/>
              <w:left w:val="single" w:sz="8" w:space="0" w:color="auto"/>
              <w:bottom w:val="nil"/>
              <w:right w:val="nil"/>
            </w:tcBorders>
            <w:shd w:val="clear" w:color="auto" w:fill="auto"/>
            <w:noWrap/>
            <w:vAlign w:val="bottom"/>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363" w:type="dxa"/>
            <w:tcBorders>
              <w:top w:val="nil"/>
              <w:left w:val="nil"/>
              <w:bottom w:val="nil"/>
              <w:right w:val="nil"/>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860</w:t>
            </w:r>
          </w:p>
        </w:tc>
        <w:tc>
          <w:tcPr>
            <w:tcW w:w="1363" w:type="dxa"/>
            <w:tcBorders>
              <w:top w:val="nil"/>
              <w:left w:val="nil"/>
              <w:bottom w:val="nil"/>
              <w:right w:val="nil"/>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865</w:t>
            </w:r>
          </w:p>
        </w:tc>
        <w:tc>
          <w:tcPr>
            <w:tcW w:w="1363" w:type="dxa"/>
            <w:tcBorders>
              <w:top w:val="nil"/>
              <w:left w:val="nil"/>
              <w:bottom w:val="nil"/>
              <w:right w:val="single" w:sz="8" w:space="0" w:color="auto"/>
            </w:tcBorders>
            <w:shd w:val="clear" w:color="auto" w:fill="auto"/>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705</w:t>
            </w:r>
          </w:p>
        </w:tc>
      </w:tr>
      <w:tr w:rsidR="005476C3" w:rsidRPr="000D103A" w:rsidTr="005476C3">
        <w:trPr>
          <w:trHeight w:val="308"/>
        </w:trPr>
        <w:tc>
          <w:tcPr>
            <w:tcW w:w="5518" w:type="dxa"/>
            <w:tcBorders>
              <w:top w:val="nil"/>
              <w:left w:val="single" w:sz="8" w:space="0" w:color="auto"/>
              <w:bottom w:val="single" w:sz="8" w:space="0" w:color="auto"/>
              <w:right w:val="nil"/>
            </w:tcBorders>
            <w:shd w:val="clear" w:color="000000" w:fill="DBE5F1"/>
            <w:noWrap/>
            <w:vAlign w:val="bottom"/>
            <w:hideMark/>
          </w:tcPr>
          <w:p w:rsidR="005476C3" w:rsidRPr="000D103A" w:rsidRDefault="005476C3" w:rsidP="005476C3">
            <w:pPr>
              <w:spacing w:after="0" w:line="240" w:lineRule="auto"/>
              <w:rPr>
                <w:rFonts w:ascii="Calibri" w:eastAsia="Times New Roman" w:hAnsi="Calibri" w:cs="Times New Roman"/>
                <w:color w:val="000000"/>
                <w:lang w:val="fr-CA"/>
              </w:rPr>
            </w:pPr>
            <w:r w:rsidRPr="000D103A">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363" w:type="dxa"/>
            <w:tcBorders>
              <w:top w:val="nil"/>
              <w:left w:val="nil"/>
              <w:bottom w:val="single" w:sz="8" w:space="0" w:color="auto"/>
              <w:right w:val="nil"/>
            </w:tcBorders>
            <w:shd w:val="clear" w:color="000000" w:fill="DBE5F1"/>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w:t>
            </w:r>
            <w:r>
              <w:rPr>
                <w:rFonts w:ascii="Calibri" w:eastAsia="Times New Roman" w:hAnsi="Calibri" w:cs="Times New Roman"/>
                <w:color w:val="000000"/>
                <w:lang w:val="fr-CA"/>
              </w:rPr>
              <w:t>59</w:t>
            </w:r>
          </w:p>
        </w:tc>
        <w:tc>
          <w:tcPr>
            <w:tcW w:w="1363" w:type="dxa"/>
            <w:tcBorders>
              <w:top w:val="nil"/>
              <w:left w:val="nil"/>
              <w:bottom w:val="single" w:sz="8" w:space="0" w:color="auto"/>
              <w:right w:val="nil"/>
            </w:tcBorders>
            <w:shd w:val="clear" w:color="000000" w:fill="DBE5F1"/>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w:t>
            </w:r>
            <w:r>
              <w:rPr>
                <w:rFonts w:ascii="Calibri" w:eastAsia="Times New Roman" w:hAnsi="Calibri" w:cs="Times New Roman"/>
                <w:color w:val="000000"/>
                <w:lang w:val="fr-CA"/>
              </w:rPr>
              <w:t>17</w:t>
            </w:r>
          </w:p>
        </w:tc>
        <w:tc>
          <w:tcPr>
            <w:tcW w:w="1363" w:type="dxa"/>
            <w:tcBorders>
              <w:top w:val="nil"/>
              <w:left w:val="nil"/>
              <w:bottom w:val="single" w:sz="8" w:space="0" w:color="auto"/>
              <w:right w:val="single" w:sz="8" w:space="0" w:color="auto"/>
            </w:tcBorders>
            <w:shd w:val="clear" w:color="000000" w:fill="DBE5F1"/>
            <w:noWrap/>
            <w:vAlign w:val="bottom"/>
            <w:hideMark/>
          </w:tcPr>
          <w:p w:rsidR="005476C3" w:rsidRPr="000D103A" w:rsidRDefault="005476C3" w:rsidP="005476C3">
            <w:pPr>
              <w:spacing w:after="0" w:line="240" w:lineRule="auto"/>
              <w:jc w:val="center"/>
              <w:rPr>
                <w:rFonts w:ascii="Calibri" w:eastAsia="Times New Roman" w:hAnsi="Calibri" w:cs="Times New Roman"/>
                <w:color w:val="000000"/>
                <w:lang w:val="fr-CA"/>
              </w:rPr>
            </w:pPr>
            <w:r w:rsidRPr="000D103A">
              <w:rPr>
                <w:rFonts w:ascii="Calibri" w:eastAsia="Times New Roman" w:hAnsi="Calibri" w:cs="Times New Roman"/>
                <w:color w:val="000000"/>
                <w:lang w:val="fr-CA"/>
              </w:rPr>
              <w:t>1,</w:t>
            </w:r>
            <w:r>
              <w:rPr>
                <w:rFonts w:ascii="Calibri" w:eastAsia="Times New Roman" w:hAnsi="Calibri" w:cs="Times New Roman"/>
                <w:color w:val="000000"/>
                <w:lang w:val="fr-CA"/>
              </w:rPr>
              <w:t>09</w:t>
            </w:r>
          </w:p>
        </w:tc>
      </w:tr>
    </w:tbl>
    <w:p w:rsidR="005476C3" w:rsidRDefault="005476C3" w:rsidP="005476C3">
      <w:pPr>
        <w:pStyle w:val="Heading2"/>
        <w:spacing w:before="240"/>
      </w:pPr>
    </w:p>
    <w:p w:rsidR="005476C3" w:rsidRDefault="005476C3" w:rsidP="005476C3">
      <w:pPr>
        <w:rPr>
          <w:lang w:val="fr-CA"/>
        </w:rPr>
      </w:pPr>
      <w:r>
        <w:br w:type="page"/>
      </w:r>
    </w:p>
    <w:p w:rsidR="005476C3" w:rsidRPr="00EC1BEA" w:rsidRDefault="005476C3" w:rsidP="005476C3">
      <w:pPr>
        <w:pStyle w:val="Heading2"/>
        <w:spacing w:before="240"/>
      </w:pPr>
      <w:r w:rsidRPr="00EC1BEA">
        <w:lastRenderedPageBreak/>
        <w:t>Plaintes au Commissariat à l’information</w:t>
      </w:r>
    </w:p>
    <w:p w:rsidR="005476C3" w:rsidRDefault="005476C3" w:rsidP="005476C3">
      <w:pPr>
        <w:jc w:val="both"/>
        <w:rPr>
          <w:lang w:val="fr-CA"/>
        </w:rPr>
      </w:pPr>
      <w:r>
        <w:rPr>
          <w:lang w:val="fr-CA"/>
        </w:rPr>
        <w:t>Le Commissariat à l’information du Canada</w:t>
      </w:r>
      <w:r w:rsidRPr="000D103A">
        <w:rPr>
          <w:lang w:val="fr-CA"/>
        </w:rPr>
        <w:t xml:space="preserve"> a reçu 11 plaintes</w:t>
      </w:r>
      <w:r>
        <w:rPr>
          <w:rStyle w:val="FootnoteReference"/>
          <w:lang w:val="fr-CA"/>
        </w:rPr>
        <w:footnoteReference w:id="63"/>
      </w:r>
      <w:r w:rsidRPr="000D103A">
        <w:rPr>
          <w:lang w:val="fr-CA"/>
        </w:rPr>
        <w:t xml:space="preserve"> concernant </w:t>
      </w:r>
      <w:r>
        <w:rPr>
          <w:lang w:val="fr-CA"/>
        </w:rPr>
        <w:t>ISDE en 2014-</w:t>
      </w:r>
      <w:r w:rsidRPr="000D103A">
        <w:rPr>
          <w:lang w:val="fr-CA"/>
        </w:rPr>
        <w:t xml:space="preserve">2015, soit une </w:t>
      </w:r>
      <w:r>
        <w:rPr>
          <w:lang w:val="fr-CA"/>
        </w:rPr>
        <w:t>diminution</w:t>
      </w:r>
      <w:r w:rsidRPr="000D103A">
        <w:rPr>
          <w:lang w:val="fr-CA"/>
        </w:rPr>
        <w:t xml:space="preserve"> marquée par rapport aux 42 plaintes reçues lors de la période précédente. À l’image de la période précédente, la plupart des plaintes étaient attribuables à des </w:t>
      </w:r>
      <w:r>
        <w:rPr>
          <w:lang w:val="fr-CA"/>
        </w:rPr>
        <w:t>refus.</w:t>
      </w:r>
    </w:p>
    <w:p w:rsidR="005476C3" w:rsidRPr="000D103A" w:rsidRDefault="005476C3" w:rsidP="005476C3">
      <w:pPr>
        <w:jc w:val="both"/>
        <w:rPr>
          <w:lang w:val="fr-CA"/>
        </w:rPr>
      </w:pPr>
      <w:r w:rsidRPr="001B2C25">
        <w:rPr>
          <w:lang w:val="fr-CA"/>
        </w:rPr>
        <w:t>Pour la période de référence actuelle, le Commissariat a reçu 8 plaintes pour refus et 3 plaintes de nature administrative, par rapport à 36 plaintes pour refus et 6 plaintes d</w:t>
      </w:r>
      <w:r>
        <w:rPr>
          <w:lang w:val="fr-CA"/>
        </w:rPr>
        <w:t>e nature administrative en 2013-</w:t>
      </w:r>
      <w:r w:rsidRPr="001B2C25">
        <w:rPr>
          <w:lang w:val="fr-CA"/>
        </w:rPr>
        <w:t>2014. Sur ces 11 plaintes, 2 étaient fondées, 2 étaient non fondées, 6 étaient abandonn</w:t>
      </w:r>
      <w:r w:rsidR="008303C9">
        <w:rPr>
          <w:lang w:val="fr-CA"/>
        </w:rPr>
        <w:t>ées et 1 étai</w:t>
      </w:r>
      <w:r>
        <w:rPr>
          <w:lang w:val="fr-CA"/>
        </w:rPr>
        <w:t>t toujours</w:t>
      </w:r>
      <w:r w:rsidRPr="001B2C25">
        <w:rPr>
          <w:lang w:val="fr-CA"/>
        </w:rPr>
        <w:t xml:space="preserve"> en suspens.</w:t>
      </w:r>
    </w:p>
    <w:p w:rsidR="005476C3" w:rsidRDefault="005476C3">
      <w:pPr>
        <w:rPr>
          <w:lang w:val="fr-CA"/>
        </w:rPr>
      </w:pPr>
      <w:r>
        <w:rPr>
          <w:lang w:val="fr-CA"/>
        </w:rPr>
        <w:br w:type="page"/>
      </w:r>
    </w:p>
    <w:p w:rsidR="005476C3" w:rsidRPr="006078E6" w:rsidRDefault="005476C3" w:rsidP="005476C3">
      <w:pPr>
        <w:pStyle w:val="FootnoteText"/>
        <w:spacing w:after="200" w:line="276" w:lineRule="auto"/>
        <w:rPr>
          <w:b/>
          <w:sz w:val="22"/>
          <w:szCs w:val="22"/>
          <w:lang w:val="fr-CA"/>
        </w:rPr>
      </w:pPr>
      <w:r w:rsidRPr="006078E6">
        <w:rPr>
          <w:rStyle w:val="Heading1Char"/>
        </w:rPr>
        <w:lastRenderedPageBreak/>
        <w:t>Services publics et Approvisionnement Canada</w:t>
      </w:r>
      <w:r w:rsidRPr="00C93BDE">
        <w:rPr>
          <w:rStyle w:val="FootnoteReference"/>
          <w:b/>
          <w:sz w:val="22"/>
          <w:szCs w:val="22"/>
          <w:lang w:val="fr-CA"/>
        </w:rPr>
        <w:footnoteReference w:id="64"/>
      </w:r>
    </w:p>
    <w:p w:rsidR="005476C3" w:rsidRPr="006078E6" w:rsidRDefault="005476C3" w:rsidP="005476C3">
      <w:pPr>
        <w:jc w:val="both"/>
        <w:rPr>
          <w:b/>
          <w:lang w:val="fr-CA"/>
        </w:rPr>
      </w:pPr>
      <w:r w:rsidRPr="006078E6">
        <w:rPr>
          <w:rStyle w:val="Heading2Char"/>
        </w:rPr>
        <w:t>Rendement global</w:t>
      </w:r>
      <w:r w:rsidRPr="00C93BDE">
        <w:rPr>
          <w:rStyle w:val="FootnoteReference"/>
          <w:b/>
          <w:lang w:val="fr-CA"/>
        </w:rPr>
        <w:footnoteReference w:id="65"/>
      </w:r>
    </w:p>
    <w:p w:rsidR="005476C3" w:rsidRPr="00C93BDE" w:rsidRDefault="005476C3" w:rsidP="005476C3">
      <w:pPr>
        <w:jc w:val="both"/>
        <w:rPr>
          <w:lang w:val="fr-CA"/>
        </w:rPr>
      </w:pPr>
      <w:r w:rsidRPr="00C93BDE">
        <w:rPr>
          <w:lang w:val="fr-CA"/>
        </w:rPr>
        <w:t>En 2014-2015, Services publics et Approvisionnement Canada (SPAC) a observé une légère diminution du nombre de demandes reçues et a amélioré son pourcentage de demandes complétées en 30 jours ou</w:t>
      </w:r>
      <w:r>
        <w:rPr>
          <w:lang w:val="fr-CA"/>
        </w:rPr>
        <w:t xml:space="preserve"> moins de 8,9 </w:t>
      </w:r>
      <w:r w:rsidRPr="00C93BDE">
        <w:rPr>
          <w:lang w:val="fr-CA"/>
        </w:rPr>
        <w:t>% .PSPC a aussi amélioré son taux de divulgation complète de 3,0</w:t>
      </w:r>
      <w:r>
        <w:rPr>
          <w:lang w:val="fr-CA"/>
        </w:rPr>
        <w:t xml:space="preserve"> </w:t>
      </w:r>
      <w:r w:rsidRPr="00C93BDE">
        <w:rPr>
          <w:lang w:val="fr-CA"/>
        </w:rPr>
        <w:t>%. Le présent rapport contient des statistiques comparatives pour les trois dernières périodes (2012 à 2015).</w:t>
      </w:r>
    </w:p>
    <w:p w:rsidR="005476C3" w:rsidRPr="006078E6" w:rsidRDefault="005476C3" w:rsidP="005476C3">
      <w:pPr>
        <w:pStyle w:val="Heading2"/>
      </w:pPr>
      <w:r w:rsidRPr="006078E6">
        <w:t>Charge de travail</w:t>
      </w:r>
    </w:p>
    <w:p w:rsidR="005476C3" w:rsidRPr="009C2959" w:rsidRDefault="005476C3" w:rsidP="005476C3">
      <w:pPr>
        <w:jc w:val="both"/>
        <w:rPr>
          <w:lang w:val="fr-CA"/>
        </w:rPr>
      </w:pPr>
      <w:r w:rsidRPr="00C93BDE">
        <w:rPr>
          <w:lang w:val="fr-CA"/>
        </w:rPr>
        <w:t xml:space="preserve">SPAC a reçu 691 demandes en vertu de la </w:t>
      </w:r>
      <w:r w:rsidRPr="00C93BDE">
        <w:rPr>
          <w:i/>
          <w:lang w:val="fr-CA"/>
        </w:rPr>
        <w:t>Loi sur l’accès à l‘information</w:t>
      </w:r>
      <w:r w:rsidRPr="00C93BDE">
        <w:rPr>
          <w:lang w:val="fr-CA"/>
        </w:rPr>
        <w:t xml:space="preserve"> (la </w:t>
      </w:r>
      <w:r w:rsidRPr="00C93BDE">
        <w:rPr>
          <w:i/>
          <w:lang w:val="fr-CA"/>
        </w:rPr>
        <w:t>Loi</w:t>
      </w:r>
      <w:r w:rsidRPr="00C93BDE">
        <w:rPr>
          <w:lang w:val="fr-CA"/>
        </w:rPr>
        <w:t>), représentant 1</w:t>
      </w:r>
      <w:r>
        <w:rPr>
          <w:lang w:val="fr-CA"/>
        </w:rPr>
        <w:t>,0</w:t>
      </w:r>
      <w:r w:rsidRPr="00C93BDE">
        <w:rPr>
          <w:lang w:val="fr-CA"/>
        </w:rPr>
        <w:t> % du nombre total de demandes reçues à l’échelle du gouvernement en 2014</w:t>
      </w:r>
      <w:r>
        <w:rPr>
          <w:lang w:val="fr-CA"/>
        </w:rPr>
        <w:t>-</w:t>
      </w:r>
      <w:r w:rsidRPr="00C93BDE">
        <w:rPr>
          <w:lang w:val="fr-CA"/>
        </w:rPr>
        <w:t>2015. En 2013</w:t>
      </w:r>
      <w:r>
        <w:rPr>
          <w:lang w:val="fr-CA"/>
        </w:rPr>
        <w:t>-</w:t>
      </w:r>
      <w:r w:rsidRPr="00C93BDE">
        <w:rPr>
          <w:lang w:val="fr-CA"/>
        </w:rPr>
        <w:t>2014, SPAC avait reçu 718 demandes. La plupart des demandes</w:t>
      </w:r>
      <w:r>
        <w:rPr>
          <w:lang w:val="fr-CA"/>
        </w:rPr>
        <w:t xml:space="preserve"> reçues</w:t>
      </w:r>
      <w:r w:rsidRPr="00C93BDE">
        <w:rPr>
          <w:lang w:val="fr-CA"/>
        </w:rPr>
        <w:t xml:space="preserve"> </w:t>
      </w:r>
      <w:r>
        <w:rPr>
          <w:lang w:val="fr-CA"/>
        </w:rPr>
        <w:t>en 2014-</w:t>
      </w:r>
      <w:r w:rsidRPr="00C93BDE">
        <w:rPr>
          <w:lang w:val="fr-CA"/>
        </w:rPr>
        <w:t>2015 provenaient des médias (36,8 %), suivies de celles du public (25</w:t>
      </w:r>
      <w:r>
        <w:rPr>
          <w:lang w:val="fr-CA"/>
        </w:rPr>
        <w:t>,2</w:t>
      </w:r>
      <w:r w:rsidRPr="00C93BDE">
        <w:rPr>
          <w:lang w:val="fr-CA"/>
        </w:rPr>
        <w:t> %) et du secteur privé (24,5 %). Nous constatons aussi une réduction du volume de demandes provenant de presque toutes les sources, à l’exception des demandes des médias qui ont augmentées, les demandes ont augmenté de 31,6 % par rapport à 2013</w:t>
      </w:r>
      <w:r>
        <w:rPr>
          <w:lang w:val="fr-CA"/>
        </w:rPr>
        <w:t>-</w:t>
      </w:r>
      <w:r w:rsidRPr="00C93BDE">
        <w:rPr>
          <w:lang w:val="fr-CA"/>
        </w:rPr>
        <w:t>2014.</w:t>
      </w:r>
    </w:p>
    <w:p w:rsidR="005476C3" w:rsidRPr="009C2959" w:rsidRDefault="005476C3" w:rsidP="005476C3">
      <w:pPr>
        <w:jc w:val="both"/>
        <w:rPr>
          <w:lang w:val="fr-CA"/>
        </w:rPr>
      </w:pPr>
      <w:r w:rsidRPr="009C2959">
        <w:rPr>
          <w:lang w:val="fr-CA"/>
        </w:rPr>
        <w:t xml:space="preserve">SPAC a </w:t>
      </w:r>
      <w:r>
        <w:rPr>
          <w:lang w:val="fr-CA"/>
        </w:rPr>
        <w:t>complété</w:t>
      </w:r>
      <w:r w:rsidRPr="009C2959">
        <w:rPr>
          <w:lang w:val="fr-CA"/>
        </w:rPr>
        <w:t xml:space="preserve"> 641 demandes pour cette période de référence. Le taux d’achèvement</w:t>
      </w:r>
      <w:r>
        <w:rPr>
          <w:rStyle w:val="FootnoteReference"/>
          <w:lang w:val="fr-CA"/>
        </w:rPr>
        <w:footnoteReference w:id="66"/>
      </w:r>
      <w:r w:rsidRPr="009C2959">
        <w:rPr>
          <w:lang w:val="fr-CA"/>
        </w:rPr>
        <w:t xml:space="preserve"> était de 74,4 %, soit inférieur à </w:t>
      </w:r>
      <w:r w:rsidRPr="002A4895">
        <w:rPr>
          <w:lang w:val="fr-CA"/>
        </w:rPr>
        <w:t>celui rapporté pour l’ensemble du gouvernement qui lui, était de 85,1%. En 2013</w:t>
      </w:r>
      <w:r>
        <w:rPr>
          <w:lang w:val="fr-CA"/>
        </w:rPr>
        <w:t>-</w:t>
      </w:r>
      <w:r w:rsidRPr="002A4895">
        <w:rPr>
          <w:lang w:val="fr-CA"/>
        </w:rPr>
        <w:t>2014, le taux d’achèvement pour SPAC était de 83,0 %. SPAC a aussi reçu 182 demandes informelles en 2014</w:t>
      </w:r>
      <w:r>
        <w:rPr>
          <w:lang w:val="fr-CA"/>
        </w:rPr>
        <w:t>-</w:t>
      </w:r>
      <w:r w:rsidRPr="002A4895">
        <w:rPr>
          <w:lang w:val="fr-CA"/>
        </w:rPr>
        <w:t xml:space="preserve">2015, dont </w:t>
      </w:r>
      <w:r>
        <w:rPr>
          <w:lang w:val="fr-CA"/>
        </w:rPr>
        <w:t>79,7</w:t>
      </w:r>
      <w:r w:rsidRPr="002A4895">
        <w:rPr>
          <w:lang w:val="fr-CA"/>
        </w:rPr>
        <w:t xml:space="preserve"> % qui ont été complétées en 30 jours ou moins. Le nombre de demandes de consultation reçues par SPAC en provenance d’autres institutions fédérales a augmenté de </w:t>
      </w:r>
      <w:r>
        <w:rPr>
          <w:lang w:val="fr-CA"/>
        </w:rPr>
        <w:t>331 en 2013-</w:t>
      </w:r>
      <w:r w:rsidRPr="002A4895">
        <w:rPr>
          <w:lang w:val="fr-CA"/>
        </w:rPr>
        <w:t>2014</w:t>
      </w:r>
      <w:r>
        <w:rPr>
          <w:lang w:val="fr-CA"/>
        </w:rPr>
        <w:t xml:space="preserve"> à 375</w:t>
      </w:r>
      <w:r w:rsidRPr="002A4895">
        <w:rPr>
          <w:lang w:val="fr-CA"/>
        </w:rPr>
        <w:t>.</w:t>
      </w:r>
    </w:p>
    <w:p w:rsidR="005476C3" w:rsidRPr="009C2959" w:rsidRDefault="005476C3" w:rsidP="005476C3">
      <w:pPr>
        <w:jc w:val="both"/>
        <w:rPr>
          <w:lang w:val="fr-CA"/>
        </w:rPr>
      </w:pPr>
      <w:r w:rsidRPr="009C2959">
        <w:rPr>
          <w:lang w:val="fr-CA"/>
        </w:rPr>
        <w:t>En tout, SPAC a traité 194 435 </w:t>
      </w:r>
      <w:r>
        <w:rPr>
          <w:lang w:val="fr-CA"/>
        </w:rPr>
        <w:t xml:space="preserve">pages ce qui représente </w:t>
      </w:r>
      <w:r w:rsidRPr="009C2959">
        <w:rPr>
          <w:lang w:val="fr-CA"/>
        </w:rPr>
        <w:t>une réduction importante par rapport aux 255</w:t>
      </w:r>
      <w:r>
        <w:rPr>
          <w:lang w:val="fr-CA"/>
        </w:rPr>
        <w:t> 377 pages traitées en 2013-</w:t>
      </w:r>
      <w:r w:rsidRPr="009C2959">
        <w:rPr>
          <w:lang w:val="fr-CA"/>
        </w:rPr>
        <w:t xml:space="preserve">2014. On constate que le nombre moyen de pages traitées par demande </w:t>
      </w:r>
      <w:r>
        <w:rPr>
          <w:lang w:val="fr-CA"/>
        </w:rPr>
        <w:t>complétée</w:t>
      </w:r>
      <w:r w:rsidRPr="009C2959">
        <w:rPr>
          <w:lang w:val="fr-CA"/>
        </w:rPr>
        <w:t xml:space="preserve"> a diminué de 7 pages (de 360 pages en 2013</w:t>
      </w:r>
      <w:r>
        <w:rPr>
          <w:lang w:val="fr-CA"/>
        </w:rPr>
        <w:t>-</w:t>
      </w:r>
      <w:r w:rsidRPr="009C2959">
        <w:rPr>
          <w:lang w:val="fr-CA"/>
        </w:rPr>
        <w:t>2014 à 352 pages en 2014</w:t>
      </w:r>
      <w:r>
        <w:rPr>
          <w:lang w:val="fr-CA"/>
        </w:rPr>
        <w:t>-</w:t>
      </w:r>
      <w:r w:rsidRPr="009C2959">
        <w:rPr>
          <w:lang w:val="fr-CA"/>
        </w:rPr>
        <w:t>2015)</w:t>
      </w:r>
      <w:r>
        <w:rPr>
          <w:lang w:val="fr-CA"/>
        </w:rPr>
        <w:t>.</w:t>
      </w:r>
    </w:p>
    <w:p w:rsidR="005476C3" w:rsidRDefault="005476C3" w:rsidP="005476C3">
      <w:pPr>
        <w:jc w:val="both"/>
        <w:rPr>
          <w:lang w:val="fr-CA"/>
        </w:rPr>
      </w:pPr>
      <w:r w:rsidRPr="009C2959">
        <w:rPr>
          <w:lang w:val="fr-CA"/>
        </w:rPr>
        <w:t>L’information diffusée par SPAC</w:t>
      </w:r>
      <w:r>
        <w:rPr>
          <w:lang w:val="fr-CA"/>
        </w:rPr>
        <w:t xml:space="preserve"> en 2014-2015</w:t>
      </w:r>
      <w:r w:rsidRPr="009C2959">
        <w:rPr>
          <w:lang w:val="fr-CA"/>
        </w:rPr>
        <w:t xml:space="preserve"> était </w:t>
      </w:r>
      <w:r>
        <w:rPr>
          <w:color w:val="000000" w:themeColor="text1"/>
          <w:lang w:val="fr-CA"/>
        </w:rPr>
        <w:t>majoritairement</w:t>
      </w:r>
      <w:r>
        <w:rPr>
          <w:lang w:val="fr-CA"/>
        </w:rPr>
        <w:t xml:space="preserve"> en format papier : 315 demandes en format papier par rapport à 168 demandes en format électronique.</w:t>
      </w:r>
    </w:p>
    <w:p w:rsidR="005476C3" w:rsidRPr="006078E6" w:rsidRDefault="005476C3" w:rsidP="00BA2BE8">
      <w:pPr>
        <w:pStyle w:val="Heading3"/>
      </w:pPr>
      <w:r>
        <w:t xml:space="preserve">Tableau </w:t>
      </w:r>
      <w:proofErr w:type="gramStart"/>
      <w:r>
        <w:t>1 :</w:t>
      </w:r>
      <w:proofErr w:type="gramEnd"/>
      <w:r>
        <w:t xml:space="preserve"> Charge de travail</w:t>
      </w:r>
    </w:p>
    <w:tbl>
      <w:tblPr>
        <w:tblW w:w="9660" w:type="dxa"/>
        <w:tblInd w:w="98" w:type="dxa"/>
        <w:tblLook w:val="04A0"/>
      </w:tblPr>
      <w:tblGrid>
        <w:gridCol w:w="6123"/>
        <w:gridCol w:w="1179"/>
        <w:gridCol w:w="1179"/>
        <w:gridCol w:w="1179"/>
      </w:tblGrid>
      <w:tr w:rsidR="005476C3" w:rsidRPr="009C2959" w:rsidTr="005476C3">
        <w:trPr>
          <w:trHeight w:val="442"/>
        </w:trPr>
        <w:tc>
          <w:tcPr>
            <w:tcW w:w="6123" w:type="dxa"/>
            <w:tcBorders>
              <w:top w:val="single" w:sz="4" w:space="0" w:color="auto"/>
              <w:left w:val="single" w:sz="4" w:space="0" w:color="auto"/>
              <w:bottom w:val="single" w:sz="8" w:space="0" w:color="auto"/>
              <w:right w:val="nil"/>
            </w:tcBorders>
            <w:shd w:val="clear" w:color="auto" w:fill="auto"/>
            <w:noWrap/>
            <w:vAlign w:val="bottom"/>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Mesures </w:t>
            </w:r>
          </w:p>
        </w:tc>
        <w:tc>
          <w:tcPr>
            <w:tcW w:w="1179" w:type="dxa"/>
            <w:tcBorders>
              <w:top w:val="single" w:sz="4" w:space="0" w:color="auto"/>
              <w:left w:val="nil"/>
              <w:bottom w:val="single" w:sz="8" w:space="0" w:color="auto"/>
              <w:right w:val="nil"/>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2012-2013</w:t>
            </w:r>
          </w:p>
        </w:tc>
        <w:tc>
          <w:tcPr>
            <w:tcW w:w="1179" w:type="dxa"/>
            <w:tcBorders>
              <w:top w:val="single" w:sz="4" w:space="0" w:color="auto"/>
              <w:left w:val="nil"/>
              <w:bottom w:val="single" w:sz="8" w:space="0" w:color="auto"/>
              <w:right w:val="nil"/>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2013-2014</w:t>
            </w:r>
          </w:p>
        </w:tc>
        <w:tc>
          <w:tcPr>
            <w:tcW w:w="1179" w:type="dxa"/>
            <w:tcBorders>
              <w:top w:val="single" w:sz="4" w:space="0" w:color="auto"/>
              <w:left w:val="nil"/>
              <w:bottom w:val="single" w:sz="8" w:space="0" w:color="auto"/>
              <w:right w:val="single" w:sz="4" w:space="0" w:color="auto"/>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2014-2015</w:t>
            </w:r>
          </w:p>
        </w:tc>
      </w:tr>
      <w:tr w:rsidR="005476C3" w:rsidRPr="009C2959" w:rsidTr="005476C3">
        <w:trPr>
          <w:trHeight w:val="304"/>
        </w:trPr>
        <w:tc>
          <w:tcPr>
            <w:tcW w:w="6123" w:type="dxa"/>
            <w:tcBorders>
              <w:top w:val="nil"/>
              <w:left w:val="single" w:sz="4" w:space="0" w:color="auto"/>
              <w:bottom w:val="nil"/>
              <w:right w:val="nil"/>
            </w:tcBorders>
            <w:shd w:val="clear" w:color="000000" w:fill="DBE5F1"/>
            <w:noWrap/>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Nombre de demandes reçues </w:t>
            </w:r>
          </w:p>
        </w:tc>
        <w:tc>
          <w:tcPr>
            <w:tcW w:w="1179" w:type="dxa"/>
            <w:tcBorders>
              <w:top w:val="nil"/>
              <w:left w:val="nil"/>
              <w:bottom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810</w:t>
            </w:r>
          </w:p>
        </w:tc>
        <w:tc>
          <w:tcPr>
            <w:tcW w:w="1179" w:type="dxa"/>
            <w:tcBorders>
              <w:top w:val="nil"/>
              <w:left w:val="nil"/>
              <w:bottom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718</w:t>
            </w:r>
          </w:p>
        </w:tc>
        <w:tc>
          <w:tcPr>
            <w:tcW w:w="1179" w:type="dxa"/>
            <w:tcBorders>
              <w:top w:val="nil"/>
              <w:left w:val="nil"/>
              <w:bottom w:val="nil"/>
              <w:right w:val="single" w:sz="4" w:space="0" w:color="auto"/>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691</w:t>
            </w:r>
          </w:p>
        </w:tc>
      </w:tr>
      <w:tr w:rsidR="005476C3" w:rsidRPr="009C2959" w:rsidTr="005476C3">
        <w:trPr>
          <w:trHeight w:val="500"/>
        </w:trPr>
        <w:tc>
          <w:tcPr>
            <w:tcW w:w="6123" w:type="dxa"/>
            <w:tcBorders>
              <w:top w:val="nil"/>
              <w:left w:val="single" w:sz="4" w:space="0" w:color="auto"/>
              <w:bottom w:val="nil"/>
              <w:right w:val="nil"/>
            </w:tcBorders>
            <w:shd w:val="clear" w:color="auto" w:fill="auto"/>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Variation annuelle en %</w:t>
            </w:r>
          </w:p>
        </w:tc>
        <w:tc>
          <w:tcPr>
            <w:tcW w:w="1179" w:type="dxa"/>
            <w:tcBorders>
              <w:top w:val="nil"/>
              <w:left w:val="nil"/>
              <w:bottom w:val="nil"/>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w:t>
            </w:r>
          </w:p>
        </w:tc>
        <w:tc>
          <w:tcPr>
            <w:tcW w:w="1179" w:type="dxa"/>
            <w:tcBorders>
              <w:top w:val="nil"/>
              <w:left w:val="nil"/>
              <w:bottom w:val="nil"/>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-11,4 %</w:t>
            </w:r>
          </w:p>
        </w:tc>
        <w:tc>
          <w:tcPr>
            <w:tcW w:w="1179" w:type="dxa"/>
            <w:tcBorders>
              <w:top w:val="nil"/>
              <w:left w:val="nil"/>
              <w:bottom w:val="nil"/>
              <w:right w:val="single" w:sz="4" w:space="0" w:color="auto"/>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-3,8 %</w:t>
            </w:r>
          </w:p>
        </w:tc>
      </w:tr>
      <w:tr w:rsidR="005476C3" w:rsidRPr="009C2959" w:rsidTr="005476C3">
        <w:trPr>
          <w:trHeight w:val="435"/>
        </w:trPr>
        <w:tc>
          <w:tcPr>
            <w:tcW w:w="6123" w:type="dxa"/>
            <w:tcBorders>
              <w:top w:val="nil"/>
              <w:left w:val="single" w:sz="4" w:space="0" w:color="auto"/>
              <w:right w:val="nil"/>
            </w:tcBorders>
            <w:shd w:val="clear" w:color="000000" w:fill="DBE5F1"/>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179" w:type="dxa"/>
            <w:tcBorders>
              <w:top w:val="nil"/>
              <w:left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813</w:t>
            </w:r>
          </w:p>
        </w:tc>
        <w:tc>
          <w:tcPr>
            <w:tcW w:w="1179" w:type="dxa"/>
            <w:tcBorders>
              <w:top w:val="nil"/>
              <w:left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828</w:t>
            </w:r>
          </w:p>
        </w:tc>
        <w:tc>
          <w:tcPr>
            <w:tcW w:w="1179" w:type="dxa"/>
            <w:tcBorders>
              <w:top w:val="nil"/>
              <w:left w:val="nil"/>
              <w:right w:val="single" w:sz="4" w:space="0" w:color="auto"/>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641</w:t>
            </w:r>
          </w:p>
        </w:tc>
      </w:tr>
      <w:tr w:rsidR="005476C3" w:rsidRPr="009C2959" w:rsidTr="005476C3">
        <w:trPr>
          <w:trHeight w:val="413"/>
        </w:trPr>
        <w:tc>
          <w:tcPr>
            <w:tcW w:w="6123" w:type="dxa"/>
            <w:tcBorders>
              <w:top w:val="nil"/>
              <w:left w:val="single" w:sz="4" w:space="0" w:color="auto"/>
              <w:right w:val="nil"/>
            </w:tcBorders>
            <w:shd w:val="clear" w:color="auto" w:fill="auto"/>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lastRenderedPageBreak/>
              <w:t>Variation annuelle en %</w:t>
            </w:r>
          </w:p>
        </w:tc>
        <w:tc>
          <w:tcPr>
            <w:tcW w:w="1179" w:type="dxa"/>
            <w:tcBorders>
              <w:top w:val="nil"/>
              <w:left w:val="nil"/>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w:t>
            </w:r>
          </w:p>
        </w:tc>
        <w:tc>
          <w:tcPr>
            <w:tcW w:w="1179" w:type="dxa"/>
            <w:tcBorders>
              <w:top w:val="nil"/>
              <w:left w:val="nil"/>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1,8 %</w:t>
            </w:r>
          </w:p>
        </w:tc>
        <w:tc>
          <w:tcPr>
            <w:tcW w:w="1179" w:type="dxa"/>
            <w:tcBorders>
              <w:top w:val="nil"/>
              <w:left w:val="nil"/>
              <w:right w:val="single" w:sz="4" w:space="0" w:color="auto"/>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-22,6 %</w:t>
            </w:r>
          </w:p>
        </w:tc>
      </w:tr>
      <w:tr w:rsidR="005476C3" w:rsidRPr="009C2959" w:rsidTr="005476C3">
        <w:trPr>
          <w:trHeight w:val="554"/>
        </w:trPr>
        <w:tc>
          <w:tcPr>
            <w:tcW w:w="6123" w:type="dxa"/>
            <w:tcBorders>
              <w:top w:val="nil"/>
              <w:left w:val="single" w:sz="4" w:space="0" w:color="auto"/>
              <w:right w:val="nil"/>
            </w:tcBorders>
            <w:shd w:val="clear" w:color="000000" w:fill="DBE5F1"/>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Nombre de demandes de consultation reçues (d’autres institutions fédérales)</w:t>
            </w:r>
          </w:p>
        </w:tc>
        <w:tc>
          <w:tcPr>
            <w:tcW w:w="1179" w:type="dxa"/>
            <w:tcBorders>
              <w:top w:val="nil"/>
              <w:left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316</w:t>
            </w:r>
          </w:p>
        </w:tc>
        <w:tc>
          <w:tcPr>
            <w:tcW w:w="1179" w:type="dxa"/>
            <w:tcBorders>
              <w:top w:val="nil"/>
              <w:left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331</w:t>
            </w:r>
          </w:p>
        </w:tc>
        <w:tc>
          <w:tcPr>
            <w:tcW w:w="1179" w:type="dxa"/>
            <w:tcBorders>
              <w:top w:val="nil"/>
              <w:left w:val="nil"/>
              <w:right w:val="single" w:sz="4" w:space="0" w:color="auto"/>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375</w:t>
            </w:r>
          </w:p>
        </w:tc>
      </w:tr>
      <w:tr w:rsidR="005476C3" w:rsidRPr="009C2959" w:rsidTr="005476C3">
        <w:trPr>
          <w:trHeight w:val="459"/>
        </w:trPr>
        <w:tc>
          <w:tcPr>
            <w:tcW w:w="6123" w:type="dxa"/>
            <w:tcBorders>
              <w:top w:val="nil"/>
              <w:left w:val="single" w:sz="4" w:space="0" w:color="auto"/>
              <w:right w:val="nil"/>
            </w:tcBorders>
            <w:shd w:val="clear" w:color="auto" w:fill="auto"/>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Variation annuelle en %</w:t>
            </w:r>
          </w:p>
        </w:tc>
        <w:tc>
          <w:tcPr>
            <w:tcW w:w="1179" w:type="dxa"/>
            <w:tcBorders>
              <w:top w:val="nil"/>
              <w:left w:val="nil"/>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w:t>
            </w:r>
          </w:p>
        </w:tc>
        <w:tc>
          <w:tcPr>
            <w:tcW w:w="1179" w:type="dxa"/>
            <w:tcBorders>
              <w:top w:val="nil"/>
              <w:left w:val="nil"/>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4,7 %</w:t>
            </w:r>
          </w:p>
        </w:tc>
        <w:tc>
          <w:tcPr>
            <w:tcW w:w="1179" w:type="dxa"/>
            <w:tcBorders>
              <w:top w:val="nil"/>
              <w:left w:val="nil"/>
              <w:right w:val="single" w:sz="4" w:space="0" w:color="auto"/>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13,3 %</w:t>
            </w:r>
          </w:p>
        </w:tc>
      </w:tr>
      <w:tr w:rsidR="005476C3" w:rsidRPr="009C2959" w:rsidTr="005476C3">
        <w:trPr>
          <w:trHeight w:val="623"/>
        </w:trPr>
        <w:tc>
          <w:tcPr>
            <w:tcW w:w="6123" w:type="dxa"/>
            <w:tcBorders>
              <w:left w:val="single" w:sz="4" w:space="0" w:color="auto"/>
              <w:bottom w:val="nil"/>
              <w:right w:val="nil"/>
            </w:tcBorders>
            <w:shd w:val="clear" w:color="000000" w:fill="DBE5F1"/>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179" w:type="dxa"/>
            <w:tcBorders>
              <w:left w:val="nil"/>
              <w:bottom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514</w:t>
            </w:r>
          </w:p>
        </w:tc>
        <w:tc>
          <w:tcPr>
            <w:tcW w:w="1179" w:type="dxa"/>
            <w:tcBorders>
              <w:left w:val="nil"/>
              <w:bottom w:val="nil"/>
              <w:right w:val="nil"/>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360</w:t>
            </w:r>
          </w:p>
        </w:tc>
        <w:tc>
          <w:tcPr>
            <w:tcW w:w="1179" w:type="dxa"/>
            <w:tcBorders>
              <w:left w:val="nil"/>
              <w:bottom w:val="nil"/>
              <w:right w:val="single" w:sz="4" w:space="0" w:color="auto"/>
            </w:tcBorders>
            <w:shd w:val="clear" w:color="000000" w:fill="DBE5F1"/>
            <w:noWrap/>
            <w:vAlign w:val="center"/>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352</w:t>
            </w:r>
          </w:p>
        </w:tc>
      </w:tr>
      <w:tr w:rsidR="005476C3" w:rsidRPr="009C2959" w:rsidTr="005476C3">
        <w:trPr>
          <w:trHeight w:val="530"/>
        </w:trPr>
        <w:tc>
          <w:tcPr>
            <w:tcW w:w="6123" w:type="dxa"/>
            <w:tcBorders>
              <w:top w:val="nil"/>
              <w:left w:val="single" w:sz="4" w:space="0" w:color="auto"/>
              <w:bottom w:val="single" w:sz="4" w:space="0" w:color="auto"/>
              <w:right w:val="nil"/>
            </w:tcBorders>
            <w:shd w:val="clear" w:color="auto" w:fill="auto"/>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des demandes pour lesquelles plus de 1 000 pages ont été traitées</w:t>
            </w:r>
          </w:p>
        </w:tc>
        <w:tc>
          <w:tcPr>
            <w:tcW w:w="1179" w:type="dxa"/>
            <w:tcBorders>
              <w:top w:val="nil"/>
              <w:left w:val="nil"/>
              <w:bottom w:val="single" w:sz="4" w:space="0" w:color="auto"/>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11,9 %</w:t>
            </w:r>
          </w:p>
        </w:tc>
        <w:tc>
          <w:tcPr>
            <w:tcW w:w="1179" w:type="dxa"/>
            <w:tcBorders>
              <w:top w:val="nil"/>
              <w:left w:val="nil"/>
              <w:bottom w:val="single" w:sz="4" w:space="0" w:color="auto"/>
              <w:right w:val="nil"/>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7,7 %</w:t>
            </w:r>
          </w:p>
        </w:tc>
        <w:tc>
          <w:tcPr>
            <w:tcW w:w="1179" w:type="dxa"/>
            <w:tcBorders>
              <w:top w:val="nil"/>
              <w:left w:val="nil"/>
              <w:bottom w:val="single" w:sz="4" w:space="0" w:color="auto"/>
              <w:right w:val="single" w:sz="4" w:space="0" w:color="auto"/>
            </w:tcBorders>
            <w:shd w:val="clear" w:color="auto" w:fill="auto"/>
            <w:noWrap/>
            <w:vAlign w:val="center"/>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6,3 %</w:t>
            </w:r>
          </w:p>
        </w:tc>
      </w:tr>
    </w:tbl>
    <w:p w:rsidR="005476C3" w:rsidRPr="006078E6" w:rsidRDefault="005476C3" w:rsidP="005476C3">
      <w:pPr>
        <w:pStyle w:val="Heading2"/>
        <w:spacing w:before="240"/>
      </w:pPr>
      <w:r w:rsidRPr="006078E6">
        <w:t>Délai de traitement des demandes</w:t>
      </w:r>
    </w:p>
    <w:p w:rsidR="005476C3" w:rsidRPr="006078E6" w:rsidRDefault="005476C3" w:rsidP="005476C3">
      <w:pPr>
        <w:pStyle w:val="Heading4"/>
      </w:pPr>
      <w:r w:rsidRPr="006078E6">
        <w:t>Rapidité</w:t>
      </w:r>
    </w:p>
    <w:p w:rsidR="005476C3" w:rsidRPr="009C2959" w:rsidRDefault="005476C3" w:rsidP="005476C3">
      <w:pPr>
        <w:jc w:val="both"/>
        <w:rPr>
          <w:lang w:val="fr-CA"/>
        </w:rPr>
      </w:pPr>
      <w:r w:rsidRPr="009C2959">
        <w:rPr>
          <w:lang w:val="fr-CA"/>
        </w:rPr>
        <w:t xml:space="preserve">La figure 1 révèle que 50,5 % des demandes ont été </w:t>
      </w:r>
      <w:r>
        <w:rPr>
          <w:lang w:val="fr-CA"/>
        </w:rPr>
        <w:t>complétées</w:t>
      </w:r>
      <w:r w:rsidRPr="009C2959">
        <w:rPr>
          <w:lang w:val="fr-CA"/>
        </w:rPr>
        <w:t xml:space="preserve"> en 30 jours ou moins, un résultat</w:t>
      </w:r>
      <w:r>
        <w:rPr>
          <w:lang w:val="fr-CA"/>
        </w:rPr>
        <w:t xml:space="preserve"> supérieur de</w:t>
      </w:r>
      <w:r w:rsidRPr="009C2959">
        <w:rPr>
          <w:lang w:val="fr-CA"/>
        </w:rPr>
        <w:t xml:space="preserve"> </w:t>
      </w:r>
      <w:r>
        <w:rPr>
          <w:lang w:val="fr-CA"/>
        </w:rPr>
        <w:t>8,</w:t>
      </w:r>
      <w:r w:rsidRPr="009C2959">
        <w:rPr>
          <w:lang w:val="fr-CA"/>
        </w:rPr>
        <w:t>9 % à celui observé en 2013</w:t>
      </w:r>
      <w:r>
        <w:rPr>
          <w:lang w:val="fr-CA"/>
        </w:rPr>
        <w:t>-2014.</w:t>
      </w:r>
    </w:p>
    <w:p w:rsidR="005476C3" w:rsidRPr="00F20F0F" w:rsidRDefault="005476C3" w:rsidP="005476C3">
      <w:pPr>
        <w:spacing w:line="240" w:lineRule="auto"/>
        <w:rPr>
          <w:szCs w:val="24"/>
          <w:lang w:val="fr-CA"/>
        </w:rPr>
      </w:pPr>
      <w:r w:rsidRPr="005476C3">
        <w:rPr>
          <w:rStyle w:val="Heading3Char"/>
          <w:lang w:val="fr-FR"/>
        </w:rPr>
        <w:t>Figure 1 : Délai de traitement des demandes</w:t>
      </w:r>
      <w:r w:rsidRPr="00722138">
        <w:rPr>
          <w:noProof/>
        </w:rPr>
        <w:drawing>
          <wp:inline distT="0" distB="0" distL="0" distR="0">
            <wp:extent cx="5954573" cy="4030675"/>
            <wp:effectExtent l="0" t="0" r="27305" b="27305"/>
            <wp:docPr id="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476C3" w:rsidRPr="006078E6" w:rsidRDefault="005476C3" w:rsidP="005476C3">
      <w:pPr>
        <w:pStyle w:val="Heading4"/>
      </w:pPr>
      <w:r w:rsidRPr="006078E6">
        <w:t>Prorogations</w:t>
      </w:r>
    </w:p>
    <w:p w:rsidR="005476C3" w:rsidRPr="00914576" w:rsidRDefault="005476C3" w:rsidP="005476C3">
      <w:pPr>
        <w:jc w:val="both"/>
        <w:rPr>
          <w:lang w:val="fr-CA"/>
        </w:rPr>
      </w:pPr>
      <w:r w:rsidRPr="00914576">
        <w:rPr>
          <w:lang w:val="fr-CA"/>
        </w:rPr>
        <w:t>SPAC a eu recours à 372 prorogations en 2014-2015 par rapport à 673 en 2013-2014. Les consultations était la raison la plus fréquemment invoquée pour demander une prorogation (47,0 %), suivie de l’avis à des tiers (34,1 %) et de l’entrave au fonctionnement de l’institution (18,8 %).</w:t>
      </w:r>
    </w:p>
    <w:p w:rsidR="005476C3" w:rsidRPr="00914576" w:rsidRDefault="005476C3" w:rsidP="005476C3">
      <w:pPr>
        <w:jc w:val="both"/>
        <w:rPr>
          <w:lang w:val="fr-CA"/>
        </w:rPr>
      </w:pPr>
      <w:r w:rsidRPr="00914576">
        <w:rPr>
          <w:lang w:val="fr-CA"/>
        </w:rPr>
        <w:lastRenderedPageBreak/>
        <w:t>La figure 2 montre que 15,3 % des prorogations étaient de 30 jours ou moins, un résultat supérieur de 4,3 % par rapport à 2013-2014. La figure 2 montre également que le nombre des prorogations de 31 à 60 jours a augmenté de 2,3 % en 2014-2015.</w:t>
      </w:r>
    </w:p>
    <w:p w:rsidR="005476C3" w:rsidRPr="00722138" w:rsidRDefault="005476C3" w:rsidP="005476C3">
      <w:pPr>
        <w:rPr>
          <w:lang w:val="fr-CA"/>
        </w:rPr>
      </w:pPr>
      <w:r w:rsidRPr="005476C3">
        <w:rPr>
          <w:rStyle w:val="Heading3Char"/>
          <w:lang w:val="fr-FR"/>
        </w:rPr>
        <w:t>Figure 2 : Durée des prorogations</w:t>
      </w:r>
      <w:r w:rsidRPr="00722138">
        <w:rPr>
          <w:noProof/>
        </w:rPr>
        <w:drawing>
          <wp:inline distT="0" distB="0" distL="0" distR="0">
            <wp:extent cx="5947258" cy="3781959"/>
            <wp:effectExtent l="0" t="0" r="15875" b="9525"/>
            <wp:docPr id="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476C3" w:rsidRPr="006078E6" w:rsidRDefault="005476C3" w:rsidP="005476C3">
      <w:pPr>
        <w:pStyle w:val="Heading4"/>
      </w:pPr>
      <w:r>
        <w:t>Présomptions de refus</w:t>
      </w:r>
    </w:p>
    <w:p w:rsidR="005476C3" w:rsidRPr="00914576" w:rsidRDefault="005476C3" w:rsidP="005476C3">
      <w:pPr>
        <w:jc w:val="both"/>
        <w:rPr>
          <w:lang w:val="fr-CA"/>
        </w:rPr>
      </w:pPr>
      <w:r w:rsidRPr="00914576">
        <w:rPr>
          <w:lang w:val="fr-CA"/>
        </w:rPr>
        <w:t>En 2014-2015, 31 demandes ont été fermées après l’échéancier réglementaire, ce qui représente 4,8 % des demandes complétées. Ce résultat procure une note de « A »</w:t>
      </w:r>
      <w:r w:rsidRPr="00914576">
        <w:rPr>
          <w:rStyle w:val="FootnoteReference"/>
          <w:lang w:val="fr-CA"/>
        </w:rPr>
        <w:footnoteReference w:id="67"/>
      </w:r>
      <w:r w:rsidRPr="00914576">
        <w:rPr>
          <w:lang w:val="fr-CA"/>
        </w:rPr>
        <w:t xml:space="preserve"> pour SPAC. Il s’agit d’une amélioration significative par rapport à la note de « C » obtenue en 2013-2014.</w:t>
      </w:r>
    </w:p>
    <w:p w:rsidR="005476C3" w:rsidRPr="00914576" w:rsidRDefault="005476C3" w:rsidP="005476C3">
      <w:pPr>
        <w:jc w:val="both"/>
        <w:rPr>
          <w:lang w:val="fr-CA"/>
        </w:rPr>
      </w:pPr>
      <w:r w:rsidRPr="00914576">
        <w:rPr>
          <w:lang w:val="fr-CA"/>
        </w:rPr>
        <w:t>La figure 3 montre que 45,2 % des demandes échues étaient en retard de plus de 365 jours, ce qui représente une grande part des demandes échues en 2014-2015. Deux demandes étaient en retard de 30 jours ou moins par rapport à 18 demandes en 2013-2014. La charge de travail (67,7 %) et les consultations externes (22,6 %) sont les deux principales raisons invoquées pour expliquer ces retards.</w:t>
      </w:r>
    </w:p>
    <w:p w:rsidR="005476C3" w:rsidRPr="00F20F0F" w:rsidRDefault="005476C3" w:rsidP="005476C3">
      <w:pPr>
        <w:rPr>
          <w:sz w:val="24"/>
          <w:szCs w:val="24"/>
          <w:lang w:val="fr-CA"/>
        </w:rPr>
      </w:pPr>
      <w:r w:rsidRPr="005476C3">
        <w:rPr>
          <w:rStyle w:val="Heading3Char"/>
          <w:lang w:val="fr-FR"/>
        </w:rPr>
        <w:lastRenderedPageBreak/>
        <w:t>Figure 3 : Retard des demandes échues</w:t>
      </w:r>
      <w:r w:rsidRPr="00C26AB7">
        <w:rPr>
          <w:noProof/>
        </w:rPr>
        <w:drawing>
          <wp:inline distT="0" distB="0" distL="0" distR="0">
            <wp:extent cx="5939942" cy="3935578"/>
            <wp:effectExtent l="0" t="0" r="22860" b="27305"/>
            <wp:docPr id="5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476C3" w:rsidRPr="00753AC1" w:rsidRDefault="005476C3" w:rsidP="005476C3">
      <w:pPr>
        <w:pStyle w:val="Heading2"/>
      </w:pPr>
      <w:r w:rsidRPr="00753AC1">
        <w:t>Divulgation</w:t>
      </w:r>
    </w:p>
    <w:p w:rsidR="005476C3" w:rsidRPr="00753AC1" w:rsidRDefault="005476C3" w:rsidP="005476C3">
      <w:pPr>
        <w:pStyle w:val="Heading4"/>
      </w:pPr>
      <w:r w:rsidRPr="00753AC1">
        <w:t>Pourcentage de demandes pour lesquelles l’information a été divulguée</w:t>
      </w:r>
    </w:p>
    <w:p w:rsidR="005476C3" w:rsidRPr="009C2959" w:rsidRDefault="005476C3" w:rsidP="005476C3">
      <w:pPr>
        <w:jc w:val="both"/>
        <w:rPr>
          <w:lang w:val="fr-CA"/>
        </w:rPr>
      </w:pPr>
      <w:r w:rsidRPr="009C2959">
        <w:rPr>
          <w:lang w:val="fr-CA"/>
        </w:rPr>
        <w:t>En 2014</w:t>
      </w:r>
      <w:r w:rsidRPr="009C2959">
        <w:rPr>
          <w:lang w:val="fr-CA"/>
        </w:rPr>
        <w:noBreakHyphen/>
        <w:t xml:space="preserve">2015, 20,9 % des demandes ont fait l’objet d’une divulgation complète, ce qui représente le taux de divulgation le plus élevé depuis 2012 (voir figure 4). La figure 4 montre également </w:t>
      </w:r>
      <w:r>
        <w:rPr>
          <w:lang w:val="fr-CA"/>
        </w:rPr>
        <w:t>que le taux de</w:t>
      </w:r>
      <w:r w:rsidRPr="009C2959">
        <w:rPr>
          <w:lang w:val="fr-CA"/>
        </w:rPr>
        <w:t xml:space="preserve"> demandes faisant l’objet d’une divulgation partiell</w:t>
      </w:r>
      <w:r>
        <w:rPr>
          <w:lang w:val="fr-CA"/>
        </w:rPr>
        <w:t>e es</w:t>
      </w:r>
      <w:r w:rsidRPr="009C2959">
        <w:rPr>
          <w:lang w:val="fr-CA"/>
        </w:rPr>
        <w:t xml:space="preserve">t </w:t>
      </w:r>
      <w:r>
        <w:rPr>
          <w:lang w:val="fr-CA"/>
        </w:rPr>
        <w:t>similaire d’une année à l’autre.</w:t>
      </w:r>
    </w:p>
    <w:p w:rsidR="005476C3" w:rsidRDefault="005476C3" w:rsidP="005476C3">
      <w:pPr>
        <w:spacing w:line="240" w:lineRule="auto"/>
        <w:rPr>
          <w:lang w:val="fr-CA"/>
        </w:rPr>
      </w:pPr>
      <w:r w:rsidRPr="00957E09">
        <w:rPr>
          <w:rStyle w:val="Heading3Char"/>
          <w:lang w:val="fr-FR"/>
        </w:rPr>
        <w:lastRenderedPageBreak/>
        <w:t>Figure 4 : Niveau de divulgation</w:t>
      </w:r>
      <w:r w:rsidRPr="00722138">
        <w:rPr>
          <w:noProof/>
        </w:rPr>
        <w:drawing>
          <wp:inline distT="0" distB="0" distL="0" distR="0">
            <wp:extent cx="5947258" cy="3935577"/>
            <wp:effectExtent l="0" t="0" r="15875" b="27305"/>
            <wp:docPr id="5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476C3" w:rsidRPr="00753AC1" w:rsidRDefault="005476C3" w:rsidP="005476C3">
      <w:pPr>
        <w:pStyle w:val="Heading4"/>
      </w:pPr>
      <w:r>
        <w:t>Exceptions</w:t>
      </w:r>
    </w:p>
    <w:p w:rsidR="005476C3" w:rsidRPr="00753AC1" w:rsidRDefault="005476C3" w:rsidP="005476C3">
      <w:pPr>
        <w:jc w:val="both"/>
        <w:rPr>
          <w:lang w:val="fr-CA"/>
        </w:rPr>
      </w:pPr>
      <w:r w:rsidRPr="00C93BDE">
        <w:rPr>
          <w:lang w:val="fr-CA"/>
        </w:rPr>
        <w:t>Le nombre moyen d’exceptions par demande complétée a diminué de 1,83 en 2013-</w:t>
      </w:r>
      <w:r>
        <w:rPr>
          <w:lang w:val="fr-CA"/>
        </w:rPr>
        <w:t>20</w:t>
      </w:r>
      <w:r w:rsidRPr="00C93BDE">
        <w:rPr>
          <w:lang w:val="fr-CA"/>
        </w:rPr>
        <w:t>14 à 1,52 en 2014-2015 (voir tableau 2).</w:t>
      </w:r>
    </w:p>
    <w:p w:rsidR="005476C3" w:rsidRPr="00914576" w:rsidRDefault="005476C3" w:rsidP="005476C3">
      <w:pPr>
        <w:jc w:val="both"/>
        <w:rPr>
          <w:lang w:val="fr-CA"/>
        </w:rPr>
      </w:pPr>
      <w:r w:rsidRPr="00914576">
        <w:rPr>
          <w:lang w:val="fr-CA"/>
        </w:rPr>
        <w:t>Les exceptions les plus fréquemment invoquées en 2014-2015 étaient l’article 20 (renseignements de tiers) (30,4 %), suivies de l’article 19 (les renseignements personnels) (26,8 %) et de l’article 21 (opérations du gouvernement) (13,9 %).</w:t>
      </w:r>
    </w:p>
    <w:p w:rsidR="005476C3" w:rsidRPr="00753AC1" w:rsidRDefault="005476C3" w:rsidP="00BA2BE8">
      <w:pPr>
        <w:pStyle w:val="Heading3"/>
      </w:pPr>
      <w:r w:rsidRPr="009C2959">
        <w:t xml:space="preserve">Tableau </w:t>
      </w:r>
      <w:proofErr w:type="gramStart"/>
      <w:r w:rsidRPr="009C2959">
        <w:t>2 :</w:t>
      </w:r>
      <w:proofErr w:type="gramEnd"/>
      <w:r w:rsidRPr="009C2959">
        <w:t xml:space="preserve"> Exceptions</w:t>
      </w:r>
    </w:p>
    <w:tbl>
      <w:tblPr>
        <w:tblW w:w="9676" w:type="dxa"/>
        <w:tblInd w:w="98" w:type="dxa"/>
        <w:tblLook w:val="04A0"/>
      </w:tblPr>
      <w:tblGrid>
        <w:gridCol w:w="6133"/>
        <w:gridCol w:w="1181"/>
        <w:gridCol w:w="1181"/>
        <w:gridCol w:w="1181"/>
      </w:tblGrid>
      <w:tr w:rsidR="005476C3" w:rsidRPr="009C2959" w:rsidTr="005476C3">
        <w:trPr>
          <w:trHeight w:val="338"/>
        </w:trPr>
        <w:tc>
          <w:tcPr>
            <w:tcW w:w="6133"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Exceptions </w:t>
            </w:r>
          </w:p>
        </w:tc>
        <w:tc>
          <w:tcPr>
            <w:tcW w:w="1181" w:type="dxa"/>
            <w:tcBorders>
              <w:top w:val="single" w:sz="8" w:space="0" w:color="auto"/>
              <w:left w:val="nil"/>
              <w:bottom w:val="single" w:sz="8" w:space="0" w:color="auto"/>
              <w:right w:val="nil"/>
            </w:tcBorders>
            <w:shd w:val="clear" w:color="000000" w:fill="DBE5F1"/>
            <w:noWrap/>
            <w:vAlign w:val="bottom"/>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2012-2013</w:t>
            </w:r>
          </w:p>
        </w:tc>
        <w:tc>
          <w:tcPr>
            <w:tcW w:w="1181" w:type="dxa"/>
            <w:tcBorders>
              <w:top w:val="single" w:sz="8" w:space="0" w:color="auto"/>
              <w:left w:val="nil"/>
              <w:bottom w:val="single" w:sz="8" w:space="0" w:color="auto"/>
              <w:right w:val="nil"/>
            </w:tcBorders>
            <w:shd w:val="clear" w:color="000000" w:fill="DBE5F1"/>
            <w:noWrap/>
            <w:vAlign w:val="bottom"/>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2013-2014</w:t>
            </w:r>
          </w:p>
        </w:tc>
        <w:tc>
          <w:tcPr>
            <w:tcW w:w="1181"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9C2959" w:rsidRDefault="005476C3" w:rsidP="005476C3">
            <w:pPr>
              <w:spacing w:after="0" w:line="240" w:lineRule="auto"/>
              <w:jc w:val="center"/>
              <w:rPr>
                <w:rFonts w:ascii="Calibri" w:eastAsia="Times New Roman" w:hAnsi="Calibri" w:cs="Times New Roman"/>
                <w:b/>
                <w:bCs/>
                <w:color w:val="000000"/>
                <w:lang w:val="fr-CA"/>
              </w:rPr>
            </w:pPr>
            <w:r w:rsidRPr="009C2959">
              <w:rPr>
                <w:rFonts w:ascii="Calibri" w:eastAsia="Times New Roman" w:hAnsi="Calibri" w:cs="Times New Roman"/>
                <w:b/>
                <w:bCs/>
                <w:color w:val="000000"/>
                <w:lang w:val="fr-CA"/>
              </w:rPr>
              <w:t>2014-2015</w:t>
            </w:r>
          </w:p>
        </w:tc>
      </w:tr>
      <w:tr w:rsidR="005476C3" w:rsidRPr="009C2959" w:rsidTr="005476C3">
        <w:trPr>
          <w:trHeight w:val="321"/>
        </w:trPr>
        <w:tc>
          <w:tcPr>
            <w:tcW w:w="6133" w:type="dxa"/>
            <w:tcBorders>
              <w:top w:val="nil"/>
              <w:left w:val="single" w:sz="8" w:space="0" w:color="auto"/>
              <w:bottom w:val="nil"/>
              <w:right w:val="nil"/>
            </w:tcBorders>
            <w:shd w:val="clear" w:color="auto" w:fill="auto"/>
            <w:noWrap/>
            <w:vAlign w:val="bottom"/>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181" w:type="dxa"/>
            <w:tcBorders>
              <w:top w:val="nil"/>
              <w:left w:val="nil"/>
              <w:bottom w:val="nil"/>
              <w:right w:val="nil"/>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1 468</w:t>
            </w:r>
          </w:p>
        </w:tc>
        <w:tc>
          <w:tcPr>
            <w:tcW w:w="1181" w:type="dxa"/>
            <w:tcBorders>
              <w:top w:val="nil"/>
              <w:left w:val="nil"/>
              <w:bottom w:val="nil"/>
              <w:right w:val="nil"/>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1 514</w:t>
            </w:r>
          </w:p>
        </w:tc>
        <w:tc>
          <w:tcPr>
            <w:tcW w:w="1181" w:type="dxa"/>
            <w:tcBorders>
              <w:top w:val="nil"/>
              <w:left w:val="nil"/>
              <w:bottom w:val="nil"/>
              <w:right w:val="single" w:sz="8" w:space="0" w:color="auto"/>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974</w:t>
            </w:r>
          </w:p>
        </w:tc>
      </w:tr>
      <w:tr w:rsidR="005476C3" w:rsidRPr="009C2959" w:rsidTr="005476C3">
        <w:trPr>
          <w:trHeight w:val="321"/>
        </w:trPr>
        <w:tc>
          <w:tcPr>
            <w:tcW w:w="6133" w:type="dxa"/>
            <w:tcBorders>
              <w:top w:val="nil"/>
              <w:left w:val="single" w:sz="8" w:space="0" w:color="auto"/>
              <w:bottom w:val="nil"/>
              <w:right w:val="nil"/>
            </w:tcBorders>
            <w:shd w:val="clear" w:color="auto" w:fill="auto"/>
            <w:noWrap/>
            <w:vAlign w:val="bottom"/>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181" w:type="dxa"/>
            <w:tcBorders>
              <w:top w:val="nil"/>
              <w:left w:val="nil"/>
              <w:bottom w:val="nil"/>
              <w:right w:val="nil"/>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813</w:t>
            </w:r>
          </w:p>
        </w:tc>
        <w:tc>
          <w:tcPr>
            <w:tcW w:w="1181" w:type="dxa"/>
            <w:tcBorders>
              <w:top w:val="nil"/>
              <w:left w:val="nil"/>
              <w:bottom w:val="nil"/>
              <w:right w:val="nil"/>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828</w:t>
            </w:r>
          </w:p>
        </w:tc>
        <w:tc>
          <w:tcPr>
            <w:tcW w:w="1181" w:type="dxa"/>
            <w:tcBorders>
              <w:top w:val="nil"/>
              <w:left w:val="nil"/>
              <w:bottom w:val="nil"/>
              <w:right w:val="single" w:sz="8" w:space="0" w:color="auto"/>
            </w:tcBorders>
            <w:shd w:val="clear" w:color="auto" w:fill="auto"/>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641</w:t>
            </w:r>
          </w:p>
        </w:tc>
      </w:tr>
      <w:tr w:rsidR="005476C3" w:rsidRPr="009C2959" w:rsidTr="005476C3">
        <w:trPr>
          <w:trHeight w:val="338"/>
        </w:trPr>
        <w:tc>
          <w:tcPr>
            <w:tcW w:w="6133" w:type="dxa"/>
            <w:tcBorders>
              <w:top w:val="nil"/>
              <w:left w:val="single" w:sz="8" w:space="0" w:color="auto"/>
              <w:bottom w:val="single" w:sz="8" w:space="0" w:color="auto"/>
              <w:right w:val="nil"/>
            </w:tcBorders>
            <w:shd w:val="clear" w:color="000000" w:fill="DBE5F1"/>
            <w:noWrap/>
            <w:vAlign w:val="bottom"/>
            <w:hideMark/>
          </w:tcPr>
          <w:p w:rsidR="005476C3" w:rsidRPr="009C2959" w:rsidRDefault="005476C3" w:rsidP="005476C3">
            <w:pPr>
              <w:spacing w:after="0" w:line="240" w:lineRule="auto"/>
              <w:rPr>
                <w:rFonts w:ascii="Calibri" w:eastAsia="Times New Roman" w:hAnsi="Calibri" w:cs="Times New Roman"/>
                <w:color w:val="000000"/>
                <w:lang w:val="fr-CA"/>
              </w:rPr>
            </w:pPr>
            <w:r w:rsidRPr="009C2959">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181" w:type="dxa"/>
            <w:tcBorders>
              <w:top w:val="nil"/>
              <w:left w:val="nil"/>
              <w:bottom w:val="single" w:sz="8" w:space="0" w:color="auto"/>
              <w:right w:val="nil"/>
            </w:tcBorders>
            <w:shd w:val="clear" w:color="000000" w:fill="DBE5F1"/>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1,8</w:t>
            </w:r>
            <w:r>
              <w:rPr>
                <w:rFonts w:ascii="Calibri" w:eastAsia="Times New Roman" w:hAnsi="Calibri" w:cs="Times New Roman"/>
                <w:color w:val="000000"/>
                <w:lang w:val="fr-CA"/>
              </w:rPr>
              <w:t>1</w:t>
            </w:r>
          </w:p>
        </w:tc>
        <w:tc>
          <w:tcPr>
            <w:tcW w:w="1181" w:type="dxa"/>
            <w:tcBorders>
              <w:top w:val="nil"/>
              <w:left w:val="nil"/>
              <w:bottom w:val="single" w:sz="8" w:space="0" w:color="auto"/>
              <w:right w:val="nil"/>
            </w:tcBorders>
            <w:shd w:val="clear" w:color="000000" w:fill="DBE5F1"/>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1,8</w:t>
            </w:r>
            <w:r>
              <w:rPr>
                <w:rFonts w:ascii="Calibri" w:eastAsia="Times New Roman" w:hAnsi="Calibri" w:cs="Times New Roman"/>
                <w:color w:val="000000"/>
                <w:lang w:val="fr-CA"/>
              </w:rPr>
              <w:t>3</w:t>
            </w:r>
          </w:p>
        </w:tc>
        <w:tc>
          <w:tcPr>
            <w:tcW w:w="1181" w:type="dxa"/>
            <w:tcBorders>
              <w:top w:val="nil"/>
              <w:left w:val="nil"/>
              <w:bottom w:val="single" w:sz="8" w:space="0" w:color="auto"/>
              <w:right w:val="single" w:sz="8" w:space="0" w:color="auto"/>
            </w:tcBorders>
            <w:shd w:val="clear" w:color="000000" w:fill="DBE5F1"/>
            <w:noWrap/>
            <w:vAlign w:val="bottom"/>
            <w:hideMark/>
          </w:tcPr>
          <w:p w:rsidR="005476C3" w:rsidRPr="009C2959" w:rsidRDefault="005476C3" w:rsidP="005476C3">
            <w:pPr>
              <w:spacing w:after="0" w:line="240" w:lineRule="auto"/>
              <w:jc w:val="center"/>
              <w:rPr>
                <w:rFonts w:ascii="Calibri" w:eastAsia="Times New Roman" w:hAnsi="Calibri" w:cs="Times New Roman"/>
                <w:color w:val="000000"/>
                <w:lang w:val="fr-CA"/>
              </w:rPr>
            </w:pPr>
            <w:r w:rsidRPr="009C2959">
              <w:rPr>
                <w:rFonts w:ascii="Calibri" w:eastAsia="Times New Roman" w:hAnsi="Calibri" w:cs="Times New Roman"/>
                <w:color w:val="000000"/>
                <w:lang w:val="fr-CA"/>
              </w:rPr>
              <w:t>1,5</w:t>
            </w:r>
            <w:r>
              <w:rPr>
                <w:rFonts w:ascii="Calibri" w:eastAsia="Times New Roman" w:hAnsi="Calibri" w:cs="Times New Roman"/>
                <w:color w:val="000000"/>
                <w:lang w:val="fr-CA"/>
              </w:rPr>
              <w:t>2</w:t>
            </w:r>
          </w:p>
        </w:tc>
      </w:tr>
    </w:tbl>
    <w:p w:rsidR="005476C3" w:rsidRDefault="005476C3" w:rsidP="005476C3">
      <w:pPr>
        <w:pStyle w:val="Heading2"/>
        <w:spacing w:before="240"/>
      </w:pPr>
    </w:p>
    <w:p w:rsidR="005476C3" w:rsidRDefault="005476C3" w:rsidP="005476C3">
      <w:pPr>
        <w:rPr>
          <w:lang w:val="fr-CA"/>
        </w:rPr>
      </w:pPr>
      <w:r>
        <w:br w:type="page"/>
      </w:r>
    </w:p>
    <w:p w:rsidR="005476C3" w:rsidRPr="00753AC1" w:rsidRDefault="005476C3" w:rsidP="005476C3">
      <w:pPr>
        <w:pStyle w:val="Heading2"/>
        <w:spacing w:before="240"/>
      </w:pPr>
      <w:r w:rsidRPr="00753AC1">
        <w:lastRenderedPageBreak/>
        <w:t>Plaintes au Commissariat à l’information</w:t>
      </w:r>
    </w:p>
    <w:p w:rsidR="005476C3" w:rsidRDefault="005476C3" w:rsidP="005476C3">
      <w:pPr>
        <w:jc w:val="both"/>
        <w:rPr>
          <w:lang w:val="fr-CA"/>
        </w:rPr>
      </w:pPr>
      <w:r>
        <w:rPr>
          <w:lang w:val="fr-CA"/>
        </w:rPr>
        <w:t>En 2014-2015, le Commissariat</w:t>
      </w:r>
      <w:r w:rsidRPr="009C2959">
        <w:rPr>
          <w:lang w:val="fr-CA"/>
        </w:rPr>
        <w:t xml:space="preserve"> a reçu 26 plaintes</w:t>
      </w:r>
      <w:r>
        <w:rPr>
          <w:rStyle w:val="FootnoteReference"/>
          <w:lang w:val="fr-CA"/>
        </w:rPr>
        <w:footnoteReference w:id="68"/>
      </w:r>
      <w:r w:rsidRPr="009C2959">
        <w:rPr>
          <w:lang w:val="fr-CA"/>
        </w:rPr>
        <w:t xml:space="preserve"> concernant SPAC, par rapport à 28  en 2013</w:t>
      </w:r>
      <w:r>
        <w:rPr>
          <w:lang w:val="fr-CA"/>
        </w:rPr>
        <w:t>-</w:t>
      </w:r>
      <w:r w:rsidRPr="009C2959">
        <w:rPr>
          <w:lang w:val="fr-CA"/>
        </w:rPr>
        <w:t xml:space="preserve">2014. Seize plaintes étaient attribuables à des refus et 10 étaient de nature administrative. Le nombre de plaintes fondées est passé de </w:t>
      </w:r>
      <w:r>
        <w:rPr>
          <w:lang w:val="fr-CA"/>
        </w:rPr>
        <w:t>12 à 6 en 2014-2015.</w:t>
      </w:r>
    </w:p>
    <w:p w:rsidR="005476C3" w:rsidRPr="009C2959" w:rsidRDefault="005476C3" w:rsidP="005476C3">
      <w:pPr>
        <w:jc w:val="both"/>
        <w:rPr>
          <w:lang w:val="fr-CA"/>
        </w:rPr>
      </w:pPr>
      <w:r w:rsidRPr="009C2959">
        <w:rPr>
          <w:lang w:val="fr-CA"/>
        </w:rPr>
        <w:t xml:space="preserve">En 2014-2015, on rapporte 6 plaintes </w:t>
      </w:r>
      <w:r>
        <w:rPr>
          <w:lang w:val="fr-CA"/>
        </w:rPr>
        <w:t>abandonnées</w:t>
      </w:r>
      <w:r w:rsidRPr="009C2959">
        <w:rPr>
          <w:lang w:val="fr-CA"/>
        </w:rPr>
        <w:t xml:space="preserve"> et 7 plaintes</w:t>
      </w:r>
      <w:r>
        <w:rPr>
          <w:lang w:val="fr-CA"/>
        </w:rPr>
        <w:t xml:space="preserve"> qui étaient encore en </w:t>
      </w:r>
      <w:r w:rsidRPr="009C2959">
        <w:rPr>
          <w:lang w:val="fr-CA"/>
        </w:rPr>
        <w:t>suspens.</w:t>
      </w:r>
    </w:p>
    <w:p w:rsidR="005476C3" w:rsidRDefault="005476C3">
      <w:pPr>
        <w:rPr>
          <w:lang w:val="fr-CA"/>
        </w:rPr>
      </w:pPr>
      <w:r>
        <w:rPr>
          <w:lang w:val="fr-CA"/>
        </w:rPr>
        <w:br w:type="page"/>
      </w:r>
    </w:p>
    <w:p w:rsidR="005476C3" w:rsidRPr="00077288" w:rsidRDefault="005476C3" w:rsidP="005476C3">
      <w:pPr>
        <w:pStyle w:val="Heading1"/>
      </w:pPr>
      <w:r w:rsidRPr="00077288">
        <w:lastRenderedPageBreak/>
        <w:t>Ressources naturelles Canada</w:t>
      </w:r>
    </w:p>
    <w:p w:rsidR="005476C3" w:rsidRPr="00077288" w:rsidRDefault="005476C3" w:rsidP="005476C3">
      <w:pPr>
        <w:jc w:val="both"/>
        <w:rPr>
          <w:b/>
          <w:lang w:val="fr-CA"/>
        </w:rPr>
      </w:pPr>
      <w:r w:rsidRPr="00077288">
        <w:rPr>
          <w:rStyle w:val="Heading2Char"/>
        </w:rPr>
        <w:t>Rendement global</w:t>
      </w:r>
      <w:r w:rsidRPr="0027254F">
        <w:rPr>
          <w:rStyle w:val="FootnoteReference"/>
          <w:b/>
          <w:lang w:val="fr-CA"/>
        </w:rPr>
        <w:footnoteReference w:id="69"/>
      </w:r>
    </w:p>
    <w:p w:rsidR="005476C3" w:rsidRPr="0027254F" w:rsidRDefault="005476C3" w:rsidP="005476C3">
      <w:pPr>
        <w:jc w:val="both"/>
        <w:rPr>
          <w:lang w:val="fr-CA"/>
        </w:rPr>
      </w:pPr>
      <w:r w:rsidRPr="0027254F">
        <w:rPr>
          <w:lang w:val="fr-CA"/>
        </w:rPr>
        <w:t>Ressources naturelles Canada (</w:t>
      </w:r>
      <w:proofErr w:type="spellStart"/>
      <w:r w:rsidRPr="0027254F">
        <w:rPr>
          <w:lang w:val="fr-CA"/>
        </w:rPr>
        <w:t>RNC</w:t>
      </w:r>
      <w:r>
        <w:rPr>
          <w:lang w:val="fr-CA"/>
        </w:rPr>
        <w:t>an</w:t>
      </w:r>
      <w:proofErr w:type="spellEnd"/>
      <w:r w:rsidRPr="0027254F">
        <w:rPr>
          <w:lang w:val="fr-CA"/>
        </w:rPr>
        <w:t>) a observé une diminution de 2,8 % du nombre de demandes reçues et une diminution de 5,5 % au niveau du nombre de demandes complétées en 30 jours ou moins. Le présent rapport contient des statistiques comparatives pour les trois dernières périodes (2012 à 2015).</w:t>
      </w:r>
    </w:p>
    <w:p w:rsidR="005476C3" w:rsidRPr="00077288" w:rsidRDefault="005476C3" w:rsidP="005476C3">
      <w:pPr>
        <w:pStyle w:val="Heading2"/>
      </w:pPr>
      <w:r w:rsidRPr="00077288">
        <w:t>Charge de travail</w:t>
      </w:r>
    </w:p>
    <w:p w:rsidR="005476C3" w:rsidRPr="0027254F" w:rsidRDefault="005476C3" w:rsidP="005476C3">
      <w:pPr>
        <w:jc w:val="both"/>
        <w:rPr>
          <w:lang w:val="fr-CA"/>
        </w:rPr>
      </w:pPr>
      <w:proofErr w:type="spellStart"/>
      <w:r w:rsidRPr="0027254F">
        <w:rPr>
          <w:lang w:val="fr-CA"/>
        </w:rPr>
        <w:t>RNC</w:t>
      </w:r>
      <w:r>
        <w:rPr>
          <w:lang w:val="fr-CA"/>
        </w:rPr>
        <w:t>an</w:t>
      </w:r>
      <w:proofErr w:type="spellEnd"/>
      <w:r w:rsidRPr="0027254F">
        <w:rPr>
          <w:lang w:val="fr-CA"/>
        </w:rPr>
        <w:t xml:space="preserve"> a reçu 670 demandes en vertu de la </w:t>
      </w:r>
      <w:r w:rsidRPr="0027254F">
        <w:rPr>
          <w:i/>
          <w:lang w:val="fr-CA"/>
        </w:rPr>
        <w:t>Loi sur l’accès à l‘information</w:t>
      </w:r>
      <w:r w:rsidRPr="0027254F">
        <w:rPr>
          <w:lang w:val="fr-CA"/>
        </w:rPr>
        <w:t xml:space="preserve"> (la </w:t>
      </w:r>
      <w:r w:rsidRPr="0027254F">
        <w:rPr>
          <w:i/>
          <w:lang w:val="fr-CA"/>
        </w:rPr>
        <w:t>Loi</w:t>
      </w:r>
      <w:r w:rsidRPr="0027254F">
        <w:rPr>
          <w:lang w:val="fr-CA"/>
        </w:rPr>
        <w:t>), représentant 1</w:t>
      </w:r>
      <w:r>
        <w:rPr>
          <w:lang w:val="fr-CA"/>
        </w:rPr>
        <w:t>,0</w:t>
      </w:r>
      <w:r w:rsidRPr="0027254F">
        <w:rPr>
          <w:lang w:val="fr-CA"/>
        </w:rPr>
        <w:t> % du nombre total de demandes reçues à l’échelle du gouvernement en 2014</w:t>
      </w:r>
      <w:r>
        <w:rPr>
          <w:lang w:val="fr-CA"/>
        </w:rPr>
        <w:t>-</w:t>
      </w:r>
      <w:r w:rsidRPr="0027254F">
        <w:rPr>
          <w:lang w:val="fr-CA"/>
        </w:rPr>
        <w:t>2015. Cela représente une diminution de 2,8 % par rapport au nombre de demandes reçues</w:t>
      </w:r>
      <w:r>
        <w:rPr>
          <w:lang w:val="fr-CA"/>
        </w:rPr>
        <w:t xml:space="preserve"> en 2013-</w:t>
      </w:r>
      <w:r w:rsidRPr="0027254F">
        <w:rPr>
          <w:lang w:val="fr-CA"/>
        </w:rPr>
        <w:t xml:space="preserve">2014. La majorité des demandes reçues par </w:t>
      </w:r>
      <w:proofErr w:type="spellStart"/>
      <w:r w:rsidRPr="0027254F">
        <w:rPr>
          <w:lang w:val="fr-CA"/>
        </w:rPr>
        <w:t>RNC</w:t>
      </w:r>
      <w:r>
        <w:rPr>
          <w:lang w:val="fr-CA"/>
        </w:rPr>
        <w:t>an</w:t>
      </w:r>
      <w:proofErr w:type="spellEnd"/>
      <w:r w:rsidRPr="0027254F">
        <w:rPr>
          <w:lang w:val="fr-CA"/>
        </w:rPr>
        <w:t xml:space="preserve"> provenaient du public (38</w:t>
      </w:r>
      <w:r>
        <w:rPr>
          <w:lang w:val="fr-CA"/>
        </w:rPr>
        <w:t>,2</w:t>
      </w:r>
      <w:r w:rsidRPr="0027254F">
        <w:rPr>
          <w:lang w:val="fr-CA"/>
        </w:rPr>
        <w:t> %). En fait, par rapport à la période précédente, le nombre de demandes du public a presque triplé. On constate également une diminution marquée des demandes des médias avec une baisse de 85,5 % par rapport à 2013</w:t>
      </w:r>
      <w:r>
        <w:rPr>
          <w:lang w:val="fr-CA"/>
        </w:rPr>
        <w:t>-2014.</w:t>
      </w:r>
    </w:p>
    <w:p w:rsidR="005476C3" w:rsidRPr="009C2959" w:rsidRDefault="005476C3" w:rsidP="005476C3">
      <w:pPr>
        <w:jc w:val="both"/>
        <w:rPr>
          <w:lang w:val="fr-CA"/>
        </w:rPr>
      </w:pPr>
      <w:proofErr w:type="spellStart"/>
      <w:r w:rsidRPr="0027254F">
        <w:rPr>
          <w:lang w:val="fr-CA"/>
        </w:rPr>
        <w:t>RNC</w:t>
      </w:r>
      <w:r>
        <w:rPr>
          <w:lang w:val="fr-CA"/>
        </w:rPr>
        <w:t>an</w:t>
      </w:r>
      <w:proofErr w:type="spellEnd"/>
      <w:r w:rsidRPr="0027254F">
        <w:rPr>
          <w:lang w:val="fr-CA"/>
        </w:rPr>
        <w:t xml:space="preserve"> a complété 657 demandes pour cette période de référence. Le taux d’achèvement</w:t>
      </w:r>
      <w:r w:rsidRPr="0027254F">
        <w:rPr>
          <w:rStyle w:val="FootnoteReference"/>
          <w:lang w:val="fr-CA"/>
        </w:rPr>
        <w:footnoteReference w:id="70"/>
      </w:r>
      <w:r w:rsidRPr="0027254F">
        <w:rPr>
          <w:lang w:val="fr-CA"/>
        </w:rPr>
        <w:t xml:space="preserve"> était de 76,0 %, soit inférieur à celui rapporté pour l’ensemble du gouvernement qui lui, était de 85,1 %. En 2013</w:t>
      </w:r>
      <w:r>
        <w:rPr>
          <w:lang w:val="fr-CA"/>
        </w:rPr>
        <w:t>-</w:t>
      </w:r>
      <w:r w:rsidRPr="0027254F">
        <w:rPr>
          <w:lang w:val="fr-CA"/>
        </w:rPr>
        <w:t xml:space="preserve">2014, le taux d’achèvement était de 77,9 %. </w:t>
      </w:r>
      <w:proofErr w:type="spellStart"/>
      <w:r w:rsidRPr="0027254F">
        <w:rPr>
          <w:lang w:val="fr-CA"/>
        </w:rPr>
        <w:t>RNC</w:t>
      </w:r>
      <w:r>
        <w:rPr>
          <w:lang w:val="fr-CA"/>
        </w:rPr>
        <w:t>an</w:t>
      </w:r>
      <w:proofErr w:type="spellEnd"/>
      <w:r w:rsidRPr="0027254F">
        <w:rPr>
          <w:lang w:val="fr-CA"/>
        </w:rPr>
        <w:t xml:space="preserve"> a aussi reçu 70 demandes informelles en 2014</w:t>
      </w:r>
      <w:r>
        <w:rPr>
          <w:lang w:val="fr-CA"/>
        </w:rPr>
        <w:t>-</w:t>
      </w:r>
      <w:r w:rsidRPr="0027254F">
        <w:rPr>
          <w:lang w:val="fr-CA"/>
        </w:rPr>
        <w:t xml:space="preserve">2015, dont près de 25,7 % qui ont été complétées en 30 jours ou moins. Le nombre de demandes de consultation reçues par </w:t>
      </w:r>
      <w:proofErr w:type="spellStart"/>
      <w:r w:rsidRPr="0027254F">
        <w:rPr>
          <w:lang w:val="fr-CA"/>
        </w:rPr>
        <w:t>RNC</w:t>
      </w:r>
      <w:r>
        <w:rPr>
          <w:lang w:val="fr-CA"/>
        </w:rPr>
        <w:t>an</w:t>
      </w:r>
      <w:proofErr w:type="spellEnd"/>
      <w:r w:rsidRPr="0027254F">
        <w:rPr>
          <w:lang w:val="fr-CA"/>
        </w:rPr>
        <w:t xml:space="preserve"> en provenance d’autres institutions fédérales a augmenté de 194 à 157, ce qui représente représentant une hausse de 19,1</w:t>
      </w:r>
      <w:r>
        <w:rPr>
          <w:lang w:val="fr-CA"/>
        </w:rPr>
        <w:t xml:space="preserve"> % par rapport à 2013-</w:t>
      </w:r>
      <w:r w:rsidRPr="0027254F">
        <w:rPr>
          <w:lang w:val="fr-CA"/>
        </w:rPr>
        <w:t>2014.</w:t>
      </w:r>
    </w:p>
    <w:p w:rsidR="005476C3" w:rsidRPr="007A00FF" w:rsidRDefault="005476C3" w:rsidP="005476C3">
      <w:pPr>
        <w:jc w:val="both"/>
        <w:rPr>
          <w:lang w:val="fr-CA"/>
        </w:rPr>
      </w:pPr>
      <w:r w:rsidRPr="007A00FF">
        <w:rPr>
          <w:lang w:val="fr-CA"/>
        </w:rPr>
        <w:t xml:space="preserve">Le nombre total de pages traitées pour la période de référence actuelle était de 124 823 pages. </w:t>
      </w:r>
      <w:r>
        <w:rPr>
          <w:lang w:val="fr-CA"/>
        </w:rPr>
        <w:t>Cela est un résultat deux fois plus élevé que celui observé</w:t>
      </w:r>
      <w:r w:rsidRPr="007A00FF">
        <w:rPr>
          <w:lang w:val="fr-CA"/>
        </w:rPr>
        <w:t xml:space="preserve"> pour la période précédente. Le nombre moyen de pages trait</w:t>
      </w:r>
      <w:r>
        <w:rPr>
          <w:lang w:val="fr-CA"/>
        </w:rPr>
        <w:t>ées par demande complétée a augmenté, passant</w:t>
      </w:r>
      <w:r w:rsidRPr="007A00FF">
        <w:rPr>
          <w:lang w:val="fr-CA"/>
        </w:rPr>
        <w:t xml:space="preserve"> de 109 pages en 2013</w:t>
      </w:r>
      <w:r>
        <w:rPr>
          <w:lang w:val="fr-CA"/>
        </w:rPr>
        <w:t>-</w:t>
      </w:r>
      <w:r w:rsidRPr="007A00FF">
        <w:rPr>
          <w:lang w:val="fr-CA"/>
        </w:rPr>
        <w:t>2014 à 217 en 2014</w:t>
      </w:r>
      <w:r>
        <w:rPr>
          <w:lang w:val="fr-CA"/>
        </w:rPr>
        <w:t>-2015.</w:t>
      </w:r>
    </w:p>
    <w:p w:rsidR="005476C3" w:rsidRDefault="005476C3" w:rsidP="005476C3">
      <w:pPr>
        <w:jc w:val="both"/>
        <w:rPr>
          <w:lang w:val="fr-CA"/>
        </w:rPr>
      </w:pPr>
      <w:r w:rsidRPr="007A00FF">
        <w:rPr>
          <w:lang w:val="fr-CA"/>
        </w:rPr>
        <w:t xml:space="preserve">L’information diffusée par </w:t>
      </w:r>
      <w:proofErr w:type="spellStart"/>
      <w:r w:rsidRPr="007A00FF">
        <w:rPr>
          <w:lang w:val="fr-CA"/>
        </w:rPr>
        <w:t>RNC</w:t>
      </w:r>
      <w:r>
        <w:rPr>
          <w:lang w:val="fr-CA"/>
        </w:rPr>
        <w:t>an</w:t>
      </w:r>
      <w:proofErr w:type="spellEnd"/>
      <w:r w:rsidRPr="007A00FF">
        <w:rPr>
          <w:lang w:val="fr-CA"/>
        </w:rPr>
        <w:t xml:space="preserve"> était</w:t>
      </w:r>
      <w:r w:rsidRPr="00EB624B">
        <w:rPr>
          <w:color w:val="000000" w:themeColor="text1"/>
          <w:lang w:val="fr-CA"/>
        </w:rPr>
        <w:t xml:space="preserve"> </w:t>
      </w:r>
      <w:r>
        <w:rPr>
          <w:color w:val="000000" w:themeColor="text1"/>
          <w:lang w:val="fr-CA"/>
        </w:rPr>
        <w:t xml:space="preserve">majoritairement </w:t>
      </w:r>
      <w:r w:rsidRPr="007A00FF">
        <w:rPr>
          <w:lang w:val="fr-CA"/>
        </w:rPr>
        <w:t>en format papier : 457 demandes en format papier par rapport à 53 d</w:t>
      </w:r>
      <w:r>
        <w:rPr>
          <w:lang w:val="fr-CA"/>
        </w:rPr>
        <w:t>emandes en format électronique.</w:t>
      </w:r>
    </w:p>
    <w:p w:rsidR="005476C3" w:rsidRPr="00077288" w:rsidRDefault="005476C3" w:rsidP="00BA2BE8">
      <w:pPr>
        <w:pStyle w:val="Heading3"/>
      </w:pPr>
      <w:r w:rsidRPr="00077288">
        <w:t xml:space="preserve">Tableau </w:t>
      </w:r>
      <w:proofErr w:type="gramStart"/>
      <w:r w:rsidRPr="00077288">
        <w:t>1 :</w:t>
      </w:r>
      <w:proofErr w:type="gramEnd"/>
      <w:r w:rsidRPr="00077288">
        <w:t xml:space="preserve"> Charge de travail</w:t>
      </w:r>
    </w:p>
    <w:tbl>
      <w:tblPr>
        <w:tblW w:w="9389" w:type="dxa"/>
        <w:tblInd w:w="98" w:type="dxa"/>
        <w:tblLook w:val="04A0"/>
      </w:tblPr>
      <w:tblGrid>
        <w:gridCol w:w="4808"/>
        <w:gridCol w:w="1527"/>
        <w:gridCol w:w="1527"/>
        <w:gridCol w:w="1527"/>
      </w:tblGrid>
      <w:tr w:rsidR="005476C3" w:rsidRPr="007A00FF" w:rsidTr="005476C3">
        <w:trPr>
          <w:trHeight w:val="190"/>
        </w:trPr>
        <w:tc>
          <w:tcPr>
            <w:tcW w:w="4808" w:type="dxa"/>
            <w:tcBorders>
              <w:top w:val="single" w:sz="4" w:space="0" w:color="auto"/>
              <w:left w:val="single" w:sz="4" w:space="0" w:color="auto"/>
              <w:right w:val="nil"/>
            </w:tcBorders>
            <w:shd w:val="clear" w:color="auto" w:fill="auto"/>
            <w:noWrap/>
            <w:vAlign w:val="bottom"/>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xml:space="preserve">Mesures </w:t>
            </w:r>
          </w:p>
        </w:tc>
        <w:tc>
          <w:tcPr>
            <w:tcW w:w="1527" w:type="dxa"/>
            <w:tcBorders>
              <w:top w:val="single" w:sz="4" w:space="0" w:color="auto"/>
              <w:left w:val="nil"/>
              <w:right w:val="nil"/>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2012-2013</w:t>
            </w:r>
          </w:p>
        </w:tc>
        <w:tc>
          <w:tcPr>
            <w:tcW w:w="1527" w:type="dxa"/>
            <w:tcBorders>
              <w:top w:val="single" w:sz="4" w:space="0" w:color="auto"/>
              <w:left w:val="nil"/>
              <w:right w:val="nil"/>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2013-2014</w:t>
            </w:r>
          </w:p>
        </w:tc>
        <w:tc>
          <w:tcPr>
            <w:tcW w:w="1527" w:type="dxa"/>
            <w:tcBorders>
              <w:top w:val="single" w:sz="4" w:space="0" w:color="auto"/>
              <w:left w:val="nil"/>
              <w:right w:val="single" w:sz="4" w:space="0" w:color="auto"/>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2014-2015</w:t>
            </w:r>
          </w:p>
        </w:tc>
      </w:tr>
      <w:tr w:rsidR="005476C3" w:rsidRPr="007A00FF" w:rsidTr="005476C3">
        <w:trPr>
          <w:trHeight w:val="180"/>
        </w:trPr>
        <w:tc>
          <w:tcPr>
            <w:tcW w:w="4808" w:type="dxa"/>
            <w:tcBorders>
              <w:top w:val="nil"/>
              <w:left w:val="single" w:sz="4" w:space="0" w:color="auto"/>
              <w:bottom w:val="nil"/>
              <w:right w:val="nil"/>
            </w:tcBorders>
            <w:shd w:val="clear" w:color="000000" w:fill="DBE5F1"/>
            <w:noWrap/>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xml:space="preserve">Nombre de demandes reçues </w:t>
            </w:r>
          </w:p>
        </w:tc>
        <w:tc>
          <w:tcPr>
            <w:tcW w:w="1527" w:type="dxa"/>
            <w:tcBorders>
              <w:top w:val="nil"/>
              <w:left w:val="nil"/>
              <w:bottom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769</w:t>
            </w:r>
          </w:p>
        </w:tc>
        <w:tc>
          <w:tcPr>
            <w:tcW w:w="1527" w:type="dxa"/>
            <w:tcBorders>
              <w:top w:val="nil"/>
              <w:left w:val="nil"/>
              <w:bottom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689</w:t>
            </w:r>
          </w:p>
        </w:tc>
        <w:tc>
          <w:tcPr>
            <w:tcW w:w="1527" w:type="dxa"/>
            <w:tcBorders>
              <w:top w:val="nil"/>
              <w:left w:val="nil"/>
              <w:bottom w:val="nil"/>
              <w:right w:val="single" w:sz="4" w:space="0" w:color="auto"/>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670</w:t>
            </w:r>
          </w:p>
        </w:tc>
      </w:tr>
      <w:tr w:rsidR="005476C3" w:rsidRPr="007A00FF" w:rsidTr="005476C3">
        <w:trPr>
          <w:trHeight w:val="180"/>
        </w:trPr>
        <w:tc>
          <w:tcPr>
            <w:tcW w:w="4808" w:type="dxa"/>
            <w:tcBorders>
              <w:top w:val="nil"/>
              <w:left w:val="single" w:sz="4" w:space="0" w:color="auto"/>
              <w:bottom w:val="nil"/>
              <w:right w:val="nil"/>
            </w:tcBorders>
            <w:shd w:val="clear" w:color="auto" w:fill="auto"/>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Variation annuelle en %</w:t>
            </w:r>
          </w:p>
        </w:tc>
        <w:tc>
          <w:tcPr>
            <w:tcW w:w="1527" w:type="dxa"/>
            <w:tcBorders>
              <w:top w:val="nil"/>
              <w:left w:val="nil"/>
              <w:bottom w:val="nil"/>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w:t>
            </w:r>
          </w:p>
        </w:tc>
        <w:tc>
          <w:tcPr>
            <w:tcW w:w="1527" w:type="dxa"/>
            <w:tcBorders>
              <w:top w:val="nil"/>
              <w:left w:val="nil"/>
              <w:bottom w:val="nil"/>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-10,4 %</w:t>
            </w:r>
          </w:p>
        </w:tc>
        <w:tc>
          <w:tcPr>
            <w:tcW w:w="1527" w:type="dxa"/>
            <w:tcBorders>
              <w:top w:val="nil"/>
              <w:left w:val="nil"/>
              <w:bottom w:val="nil"/>
              <w:right w:val="single" w:sz="4" w:space="0" w:color="auto"/>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-2,8 %</w:t>
            </w:r>
          </w:p>
        </w:tc>
      </w:tr>
      <w:tr w:rsidR="005476C3" w:rsidRPr="007A00FF" w:rsidTr="005476C3">
        <w:trPr>
          <w:trHeight w:val="180"/>
        </w:trPr>
        <w:tc>
          <w:tcPr>
            <w:tcW w:w="4808" w:type="dxa"/>
            <w:tcBorders>
              <w:top w:val="nil"/>
              <w:left w:val="single" w:sz="4" w:space="0" w:color="auto"/>
              <w:bottom w:val="nil"/>
              <w:right w:val="nil"/>
            </w:tcBorders>
            <w:shd w:val="clear" w:color="000000" w:fill="DBE5F1"/>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527" w:type="dxa"/>
            <w:tcBorders>
              <w:top w:val="nil"/>
              <w:left w:val="nil"/>
              <w:bottom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687</w:t>
            </w:r>
          </w:p>
        </w:tc>
        <w:tc>
          <w:tcPr>
            <w:tcW w:w="1527" w:type="dxa"/>
            <w:tcBorders>
              <w:top w:val="nil"/>
              <w:left w:val="nil"/>
              <w:bottom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685</w:t>
            </w:r>
          </w:p>
        </w:tc>
        <w:tc>
          <w:tcPr>
            <w:tcW w:w="1527" w:type="dxa"/>
            <w:tcBorders>
              <w:top w:val="nil"/>
              <w:left w:val="nil"/>
              <w:bottom w:val="nil"/>
              <w:right w:val="single" w:sz="4" w:space="0" w:color="auto"/>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657</w:t>
            </w:r>
          </w:p>
        </w:tc>
      </w:tr>
      <w:tr w:rsidR="005476C3" w:rsidRPr="007A00FF" w:rsidTr="005476C3">
        <w:trPr>
          <w:trHeight w:val="190"/>
        </w:trPr>
        <w:tc>
          <w:tcPr>
            <w:tcW w:w="4808" w:type="dxa"/>
            <w:tcBorders>
              <w:top w:val="nil"/>
              <w:left w:val="single" w:sz="4" w:space="0" w:color="auto"/>
              <w:right w:val="nil"/>
            </w:tcBorders>
            <w:shd w:val="clear" w:color="auto" w:fill="auto"/>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Variation annuelle en %</w:t>
            </w:r>
          </w:p>
        </w:tc>
        <w:tc>
          <w:tcPr>
            <w:tcW w:w="1527" w:type="dxa"/>
            <w:tcBorders>
              <w:top w:val="nil"/>
              <w:left w:val="nil"/>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w:t>
            </w:r>
          </w:p>
        </w:tc>
        <w:tc>
          <w:tcPr>
            <w:tcW w:w="1527" w:type="dxa"/>
            <w:tcBorders>
              <w:top w:val="nil"/>
              <w:left w:val="nil"/>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-0,3 %</w:t>
            </w:r>
          </w:p>
        </w:tc>
        <w:tc>
          <w:tcPr>
            <w:tcW w:w="1527" w:type="dxa"/>
            <w:tcBorders>
              <w:top w:val="nil"/>
              <w:left w:val="nil"/>
              <w:right w:val="single" w:sz="4" w:space="0" w:color="auto"/>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-4,1 %</w:t>
            </w:r>
          </w:p>
        </w:tc>
      </w:tr>
      <w:tr w:rsidR="005476C3" w:rsidRPr="007A00FF" w:rsidTr="005476C3">
        <w:trPr>
          <w:trHeight w:val="552"/>
        </w:trPr>
        <w:tc>
          <w:tcPr>
            <w:tcW w:w="4808" w:type="dxa"/>
            <w:tcBorders>
              <w:top w:val="nil"/>
              <w:left w:val="single" w:sz="4" w:space="0" w:color="auto"/>
              <w:right w:val="nil"/>
            </w:tcBorders>
            <w:shd w:val="clear" w:color="000000" w:fill="DBE5F1"/>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lastRenderedPageBreak/>
              <w:t>Nombre de demandes de consultation reçues (d’autres institutions fédérales)</w:t>
            </w:r>
          </w:p>
        </w:tc>
        <w:tc>
          <w:tcPr>
            <w:tcW w:w="1527" w:type="dxa"/>
            <w:tcBorders>
              <w:top w:val="nil"/>
              <w:left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269</w:t>
            </w:r>
          </w:p>
        </w:tc>
        <w:tc>
          <w:tcPr>
            <w:tcW w:w="1527" w:type="dxa"/>
            <w:tcBorders>
              <w:top w:val="nil"/>
              <w:left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194</w:t>
            </w:r>
          </w:p>
        </w:tc>
        <w:tc>
          <w:tcPr>
            <w:tcW w:w="1527" w:type="dxa"/>
            <w:tcBorders>
              <w:top w:val="nil"/>
              <w:left w:val="nil"/>
              <w:right w:val="single" w:sz="4" w:space="0" w:color="auto"/>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157</w:t>
            </w:r>
          </w:p>
        </w:tc>
      </w:tr>
      <w:tr w:rsidR="005476C3" w:rsidRPr="007A00FF" w:rsidTr="005476C3">
        <w:trPr>
          <w:trHeight w:val="347"/>
        </w:trPr>
        <w:tc>
          <w:tcPr>
            <w:tcW w:w="4808" w:type="dxa"/>
            <w:tcBorders>
              <w:top w:val="nil"/>
              <w:left w:val="single" w:sz="4" w:space="0" w:color="auto"/>
              <w:bottom w:val="single" w:sz="4" w:space="0" w:color="auto"/>
              <w:right w:val="nil"/>
            </w:tcBorders>
            <w:shd w:val="clear" w:color="auto" w:fill="auto"/>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Variation annuelle en %</w:t>
            </w:r>
          </w:p>
        </w:tc>
        <w:tc>
          <w:tcPr>
            <w:tcW w:w="1527" w:type="dxa"/>
            <w:tcBorders>
              <w:top w:val="nil"/>
              <w:left w:val="nil"/>
              <w:bottom w:val="single" w:sz="4" w:space="0" w:color="auto"/>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w:t>
            </w:r>
          </w:p>
        </w:tc>
        <w:tc>
          <w:tcPr>
            <w:tcW w:w="1527" w:type="dxa"/>
            <w:tcBorders>
              <w:top w:val="nil"/>
              <w:left w:val="nil"/>
              <w:bottom w:val="single" w:sz="4" w:space="0" w:color="auto"/>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-27,9 %</w:t>
            </w:r>
          </w:p>
        </w:tc>
        <w:tc>
          <w:tcPr>
            <w:tcW w:w="1527" w:type="dxa"/>
            <w:tcBorders>
              <w:top w:val="nil"/>
              <w:left w:val="nil"/>
              <w:bottom w:val="single" w:sz="4" w:space="0" w:color="auto"/>
              <w:right w:val="single" w:sz="4" w:space="0" w:color="auto"/>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-19,2 %</w:t>
            </w:r>
          </w:p>
        </w:tc>
      </w:tr>
      <w:tr w:rsidR="005476C3" w:rsidRPr="007A00FF" w:rsidTr="005476C3">
        <w:trPr>
          <w:trHeight w:val="552"/>
        </w:trPr>
        <w:tc>
          <w:tcPr>
            <w:tcW w:w="4808" w:type="dxa"/>
            <w:tcBorders>
              <w:top w:val="single" w:sz="4" w:space="0" w:color="auto"/>
              <w:left w:val="single" w:sz="4" w:space="0" w:color="auto"/>
              <w:right w:val="nil"/>
            </w:tcBorders>
            <w:shd w:val="clear" w:color="000000" w:fill="DBE5F1"/>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527" w:type="dxa"/>
            <w:tcBorders>
              <w:top w:val="single" w:sz="4" w:space="0" w:color="auto"/>
              <w:left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160</w:t>
            </w:r>
          </w:p>
        </w:tc>
        <w:tc>
          <w:tcPr>
            <w:tcW w:w="1527" w:type="dxa"/>
            <w:tcBorders>
              <w:top w:val="single" w:sz="4" w:space="0" w:color="auto"/>
              <w:left w:val="nil"/>
              <w:right w:val="nil"/>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109</w:t>
            </w:r>
          </w:p>
        </w:tc>
        <w:tc>
          <w:tcPr>
            <w:tcW w:w="1527" w:type="dxa"/>
            <w:tcBorders>
              <w:top w:val="single" w:sz="4" w:space="0" w:color="auto"/>
              <w:left w:val="nil"/>
              <w:right w:val="single" w:sz="4" w:space="0" w:color="auto"/>
            </w:tcBorders>
            <w:shd w:val="clear" w:color="000000" w:fill="DBE5F1"/>
            <w:noWrap/>
            <w:vAlign w:val="center"/>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217</w:t>
            </w:r>
          </w:p>
        </w:tc>
      </w:tr>
      <w:tr w:rsidR="005476C3" w:rsidRPr="007A00FF" w:rsidTr="005476C3">
        <w:trPr>
          <w:trHeight w:val="552"/>
        </w:trPr>
        <w:tc>
          <w:tcPr>
            <w:tcW w:w="4808" w:type="dxa"/>
            <w:tcBorders>
              <w:left w:val="single" w:sz="4" w:space="0" w:color="auto"/>
              <w:bottom w:val="single" w:sz="4" w:space="0" w:color="auto"/>
              <w:right w:val="nil"/>
            </w:tcBorders>
            <w:shd w:val="clear" w:color="auto" w:fill="auto"/>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des demandes pour lesquelles plus de 1 000 pages ont été traitées</w:t>
            </w:r>
          </w:p>
        </w:tc>
        <w:tc>
          <w:tcPr>
            <w:tcW w:w="1527" w:type="dxa"/>
            <w:tcBorders>
              <w:left w:val="nil"/>
              <w:bottom w:val="single" w:sz="4" w:space="0" w:color="auto"/>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3,9 %</w:t>
            </w:r>
          </w:p>
        </w:tc>
        <w:tc>
          <w:tcPr>
            <w:tcW w:w="1527" w:type="dxa"/>
            <w:tcBorders>
              <w:left w:val="nil"/>
              <w:bottom w:val="single" w:sz="4" w:space="0" w:color="auto"/>
              <w:right w:val="nil"/>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2,2 %</w:t>
            </w:r>
          </w:p>
        </w:tc>
        <w:tc>
          <w:tcPr>
            <w:tcW w:w="1527" w:type="dxa"/>
            <w:tcBorders>
              <w:left w:val="nil"/>
              <w:bottom w:val="single" w:sz="4" w:space="0" w:color="auto"/>
              <w:right w:val="single" w:sz="4" w:space="0" w:color="auto"/>
            </w:tcBorders>
            <w:shd w:val="clear" w:color="auto" w:fill="auto"/>
            <w:noWrap/>
            <w:vAlign w:val="center"/>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5,4 %</w:t>
            </w:r>
          </w:p>
        </w:tc>
      </w:tr>
    </w:tbl>
    <w:p w:rsidR="005476C3" w:rsidRPr="00077288" w:rsidRDefault="005476C3" w:rsidP="005476C3">
      <w:pPr>
        <w:pStyle w:val="Heading2"/>
        <w:spacing w:before="240"/>
      </w:pPr>
      <w:r w:rsidRPr="00077288">
        <w:t>Délai de traitement des demandes</w:t>
      </w:r>
    </w:p>
    <w:p w:rsidR="005476C3" w:rsidRPr="00077288" w:rsidRDefault="005476C3" w:rsidP="005476C3">
      <w:pPr>
        <w:pStyle w:val="Heading4"/>
      </w:pPr>
      <w:r w:rsidRPr="00077288">
        <w:t>Rapidité</w:t>
      </w:r>
    </w:p>
    <w:p w:rsidR="005476C3" w:rsidRPr="007A00FF" w:rsidRDefault="005476C3" w:rsidP="005476C3">
      <w:pPr>
        <w:jc w:val="both"/>
        <w:rPr>
          <w:lang w:val="fr-CA"/>
        </w:rPr>
      </w:pPr>
      <w:r w:rsidRPr="007A00FF">
        <w:rPr>
          <w:lang w:val="fr-CA"/>
        </w:rPr>
        <w:t xml:space="preserve">La figure 1 révèle que 44,3 % des demandes ont été </w:t>
      </w:r>
      <w:r>
        <w:rPr>
          <w:lang w:val="fr-CA"/>
        </w:rPr>
        <w:t>complétées</w:t>
      </w:r>
      <w:r w:rsidRPr="007A00FF">
        <w:rPr>
          <w:lang w:val="fr-CA"/>
        </w:rPr>
        <w:t xml:space="preserve"> en 30 jours ou moins, soit une diminution de 5</w:t>
      </w:r>
      <w:r>
        <w:rPr>
          <w:lang w:val="fr-CA"/>
        </w:rPr>
        <w:t>,5</w:t>
      </w:r>
      <w:r w:rsidRPr="007A00FF">
        <w:rPr>
          <w:lang w:val="fr-CA"/>
        </w:rPr>
        <w:t xml:space="preserve"> % par rapport aux </w:t>
      </w:r>
      <w:r>
        <w:rPr>
          <w:lang w:val="fr-CA"/>
        </w:rPr>
        <w:t>résultats observés en 2013-</w:t>
      </w:r>
      <w:r w:rsidRPr="007A00FF">
        <w:rPr>
          <w:lang w:val="fr-CA"/>
        </w:rPr>
        <w:t>2014</w:t>
      </w:r>
      <w:r>
        <w:rPr>
          <w:lang w:val="fr-CA"/>
        </w:rPr>
        <w:t>.</w:t>
      </w:r>
    </w:p>
    <w:p w:rsidR="005476C3" w:rsidRPr="00957E09" w:rsidRDefault="005476C3" w:rsidP="005476C3">
      <w:pPr>
        <w:spacing w:line="240" w:lineRule="auto"/>
        <w:rPr>
          <w:noProof/>
          <w:color w:val="FF0000"/>
          <w:sz w:val="24"/>
          <w:szCs w:val="24"/>
          <w:lang w:val="fr-FR"/>
        </w:rPr>
      </w:pPr>
      <w:r w:rsidRPr="005476C3">
        <w:rPr>
          <w:rStyle w:val="Heading3Char"/>
          <w:lang w:val="fr-FR"/>
        </w:rPr>
        <w:t>Figure 1 : Délai de traitement des demandes</w:t>
      </w:r>
    </w:p>
    <w:p w:rsidR="00957E09" w:rsidRPr="00957E09" w:rsidRDefault="00957E09" w:rsidP="00957E09">
      <w:pPr>
        <w:rPr>
          <w:lang w:val="fr-FR"/>
        </w:rPr>
      </w:pPr>
      <w:r w:rsidRPr="006A2A45">
        <w:rPr>
          <w:noProof/>
          <w:color w:val="FF0000"/>
          <w:sz w:val="24"/>
          <w:szCs w:val="24"/>
        </w:rPr>
        <w:drawing>
          <wp:inline distT="0" distB="0" distL="0" distR="0">
            <wp:extent cx="5943600" cy="3696706"/>
            <wp:effectExtent l="0" t="0" r="19050" b="18415"/>
            <wp:docPr id="9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bookmarkStart w:id="2" w:name="_GoBack"/>
      <w:bookmarkEnd w:id="2"/>
    </w:p>
    <w:p w:rsidR="005476C3" w:rsidRPr="00077288" w:rsidRDefault="005476C3" w:rsidP="005476C3">
      <w:pPr>
        <w:pStyle w:val="Heading4"/>
      </w:pPr>
      <w:r w:rsidRPr="00077288">
        <w:t>Prorogations</w:t>
      </w:r>
    </w:p>
    <w:p w:rsidR="005476C3" w:rsidRPr="005053C9" w:rsidRDefault="005476C3" w:rsidP="005476C3">
      <w:pPr>
        <w:jc w:val="both"/>
        <w:rPr>
          <w:lang w:val="fr-CA"/>
        </w:rPr>
      </w:pPr>
      <w:proofErr w:type="spellStart"/>
      <w:r w:rsidRPr="005053C9">
        <w:rPr>
          <w:lang w:val="fr-CA"/>
        </w:rPr>
        <w:t>RNCan</w:t>
      </w:r>
      <w:proofErr w:type="spellEnd"/>
      <w:r w:rsidRPr="005053C9">
        <w:rPr>
          <w:lang w:val="fr-CA"/>
        </w:rPr>
        <w:t xml:space="preserve"> a eu recours à 422 prorogations en 2014-2015 par rapport à 356 en 2013-2014. Les demandes de consultation (70,9 %) étaient la raison la plus fréquemment invoquée pour demander une prorogation.</w:t>
      </w:r>
    </w:p>
    <w:p w:rsidR="005476C3" w:rsidRPr="005053C9" w:rsidRDefault="005476C3" w:rsidP="005476C3">
      <w:pPr>
        <w:jc w:val="both"/>
        <w:rPr>
          <w:lang w:val="fr-CA"/>
        </w:rPr>
      </w:pPr>
      <w:r w:rsidRPr="005053C9">
        <w:rPr>
          <w:lang w:val="fr-CA"/>
        </w:rPr>
        <w:t xml:space="preserve">La figure 2 montre que 17,1 % des prorogations étaient de 30 jours ou moins, soit 4,7 % de plus que l’année précédente. La figure 2 montre également que le nombre de prorogations de 31 à 60 jours en </w:t>
      </w:r>
      <w:r w:rsidRPr="005053C9">
        <w:rPr>
          <w:lang w:val="fr-CA"/>
        </w:rPr>
        <w:lastRenderedPageBreak/>
        <w:t>2014-2015 a augmenté de 4.7 % tandis que le nombre de prorogations de 181 à 365 jours à diminué de 16,1 % par rapport à 2013-2014.</w:t>
      </w:r>
    </w:p>
    <w:p w:rsidR="005476C3" w:rsidRPr="00B13BE7" w:rsidRDefault="005476C3" w:rsidP="005476C3">
      <w:pPr>
        <w:rPr>
          <w:lang w:val="fr-CA"/>
        </w:rPr>
      </w:pPr>
      <w:r w:rsidRPr="005476C3">
        <w:rPr>
          <w:rStyle w:val="Heading3Char"/>
          <w:lang w:val="fr-FR"/>
        </w:rPr>
        <w:t>Figure 2 : Durée des prorogations</w:t>
      </w:r>
      <w:r w:rsidRPr="006A2A45">
        <w:rPr>
          <w:noProof/>
        </w:rPr>
        <w:drawing>
          <wp:inline distT="0" distB="0" distL="0" distR="0">
            <wp:extent cx="5947576" cy="4007458"/>
            <wp:effectExtent l="0" t="0" r="15240" b="12700"/>
            <wp:docPr id="5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476C3" w:rsidRPr="00077288" w:rsidRDefault="005476C3" w:rsidP="005476C3">
      <w:pPr>
        <w:pStyle w:val="Heading4"/>
      </w:pPr>
      <w:r w:rsidRPr="00077288">
        <w:t>Présomptions de refus</w:t>
      </w:r>
    </w:p>
    <w:p w:rsidR="005476C3" w:rsidRPr="005053C9" w:rsidRDefault="005476C3" w:rsidP="005476C3">
      <w:pPr>
        <w:jc w:val="both"/>
        <w:rPr>
          <w:lang w:val="fr-CA"/>
        </w:rPr>
      </w:pPr>
      <w:r w:rsidRPr="005053C9">
        <w:rPr>
          <w:lang w:val="fr-CA"/>
        </w:rPr>
        <w:t>En 2014-2015, 59 demandes ont été fermées après l’échéancier réglementaire, ce qui représente 9,0 % des demandes complétées. Ce résultat procure à RNC la note de « B »</w:t>
      </w:r>
      <w:r w:rsidRPr="005053C9">
        <w:rPr>
          <w:rStyle w:val="FootnoteReference"/>
          <w:lang w:val="fr-CA"/>
        </w:rPr>
        <w:footnoteReference w:id="71"/>
      </w:r>
      <w:r w:rsidRPr="005053C9">
        <w:rPr>
          <w:lang w:val="fr-CA"/>
        </w:rPr>
        <w:t>. La charge de travail (78,0 %) était la raison la plus fréquemment invoquée pour justifier ces retards.</w:t>
      </w:r>
    </w:p>
    <w:p w:rsidR="005476C3" w:rsidRPr="005053C9" w:rsidRDefault="005476C3" w:rsidP="005476C3">
      <w:pPr>
        <w:jc w:val="both"/>
        <w:rPr>
          <w:lang w:val="fr-CA"/>
        </w:rPr>
      </w:pPr>
      <w:r w:rsidRPr="005053C9">
        <w:rPr>
          <w:lang w:val="fr-CA"/>
        </w:rPr>
        <w:t>La figure 3 montre que 35,6 % des demandes échues étaient en retard de 30 jours ou moins, alors que 32,2 % étaient en retard de plus de 180 jours. Dans la période précédente, 14 demandes étaient échues, dont 50,0 % qui étaient en retard de 30 jours ou moins.</w:t>
      </w:r>
    </w:p>
    <w:p w:rsidR="005476C3" w:rsidRDefault="005476C3" w:rsidP="005476C3">
      <w:pPr>
        <w:rPr>
          <w:noProof/>
          <w:lang w:val="fr-CA"/>
        </w:rPr>
      </w:pPr>
      <w:r w:rsidRPr="005476C3">
        <w:rPr>
          <w:rStyle w:val="Heading3Char"/>
          <w:lang w:val="fr-FR"/>
        </w:rPr>
        <w:lastRenderedPageBreak/>
        <w:t>Figure 3 : Retard des demandes échues</w:t>
      </w:r>
      <w:r w:rsidRPr="006A2A45">
        <w:rPr>
          <w:noProof/>
        </w:rPr>
        <w:drawing>
          <wp:inline distT="0" distB="0" distL="0" distR="0">
            <wp:extent cx="5931673" cy="4039263"/>
            <wp:effectExtent l="0" t="0" r="12065" b="18415"/>
            <wp:docPr id="5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476C3" w:rsidRPr="00077288" w:rsidRDefault="005476C3" w:rsidP="005476C3">
      <w:pPr>
        <w:pStyle w:val="Heading2"/>
      </w:pPr>
      <w:r w:rsidRPr="00077288">
        <w:t>Divulgation</w:t>
      </w:r>
    </w:p>
    <w:p w:rsidR="005476C3" w:rsidRDefault="005476C3" w:rsidP="005476C3">
      <w:pPr>
        <w:pStyle w:val="Heading4"/>
      </w:pPr>
      <w:r w:rsidRPr="00077288">
        <w:t>Pourcentage de demandes pour lesquelle</w:t>
      </w:r>
      <w:r>
        <w:t>s l’information a été divulguée</w:t>
      </w:r>
    </w:p>
    <w:p w:rsidR="005476C3" w:rsidRPr="00957E09" w:rsidRDefault="005476C3" w:rsidP="005476C3">
      <w:pPr>
        <w:rPr>
          <w:lang w:val="fr-FR"/>
        </w:rPr>
      </w:pPr>
      <w:r w:rsidRPr="00957E09">
        <w:rPr>
          <w:lang w:val="fr-FR"/>
        </w:rPr>
        <w:t>En 2014-2015, 23,3 % des demandes complétées ont fait l’objet d’une divulgation complète, ce qui représente une augmentation de 2,4 % par rapport à la période précédente (voir figure 4). La figure 4 montre également que le taux de demandes faisant l’objet d’une divulgation partielle était de 54,3 % en 2014-2015, ce qui représente une augmentation de 5,4 % par rapport à la période précédente.</w:t>
      </w:r>
    </w:p>
    <w:p w:rsidR="005476C3" w:rsidRPr="007A00FF" w:rsidRDefault="005476C3" w:rsidP="005476C3">
      <w:pPr>
        <w:spacing w:line="240" w:lineRule="auto"/>
        <w:rPr>
          <w:lang w:val="fr-CA"/>
        </w:rPr>
      </w:pPr>
      <w:r w:rsidRPr="00957E09">
        <w:rPr>
          <w:rStyle w:val="Heading3Char"/>
          <w:lang w:val="fr-FR"/>
        </w:rPr>
        <w:lastRenderedPageBreak/>
        <w:t>Figure 4 : Niveau de divulgation</w:t>
      </w:r>
      <w:r w:rsidRPr="006A2A45">
        <w:rPr>
          <w:noProof/>
        </w:rPr>
        <w:drawing>
          <wp:inline distT="0" distB="0" distL="0" distR="0">
            <wp:extent cx="5791200" cy="3810000"/>
            <wp:effectExtent l="0" t="0" r="19050" b="19050"/>
            <wp:docPr id="5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476C3" w:rsidRPr="00077288" w:rsidRDefault="005476C3" w:rsidP="005476C3">
      <w:pPr>
        <w:pStyle w:val="Heading4"/>
      </w:pPr>
      <w:r w:rsidRPr="00077288">
        <w:t>Exceptions</w:t>
      </w:r>
    </w:p>
    <w:p w:rsidR="005476C3" w:rsidRPr="005053C9" w:rsidRDefault="005476C3" w:rsidP="005476C3">
      <w:pPr>
        <w:jc w:val="both"/>
        <w:rPr>
          <w:lang w:val="fr-CA"/>
        </w:rPr>
      </w:pPr>
      <w:r w:rsidRPr="005053C9">
        <w:rPr>
          <w:lang w:val="fr-CA"/>
        </w:rPr>
        <w:t>Le nombre moyen d’exceptions par demande complétée était de 1,79 en 2014-2015 par rapport à 1,32 en 2013-2014 (voir tableau 2). Les exceptions les plus fréquemment invoquées en 2014-2015 étaient l’article 21 (opérations du gouvernement) (41,0 %), l’article 19 (les renseignements personnels) (13,2 %) et l’article 20 (renseignement de tiers) (12,1 %).</w:t>
      </w:r>
    </w:p>
    <w:p w:rsidR="005476C3" w:rsidRPr="007A00FF" w:rsidRDefault="005476C3" w:rsidP="00BA2BE8">
      <w:pPr>
        <w:pStyle w:val="Heading3"/>
      </w:pPr>
      <w:r w:rsidRPr="007A00FF">
        <w:t xml:space="preserve">Tableau </w:t>
      </w:r>
      <w:proofErr w:type="gramStart"/>
      <w:r w:rsidRPr="007A00FF">
        <w:t>2 :</w:t>
      </w:r>
      <w:proofErr w:type="gramEnd"/>
      <w:r w:rsidRPr="007A00FF">
        <w:t xml:space="preserve"> Exceptions</w:t>
      </w:r>
    </w:p>
    <w:tbl>
      <w:tblPr>
        <w:tblW w:w="9366" w:type="dxa"/>
        <w:tblInd w:w="98" w:type="dxa"/>
        <w:tblLook w:val="04A0"/>
      </w:tblPr>
      <w:tblGrid>
        <w:gridCol w:w="5539"/>
        <w:gridCol w:w="1275"/>
        <w:gridCol w:w="1276"/>
        <w:gridCol w:w="1276"/>
      </w:tblGrid>
      <w:tr w:rsidR="005476C3" w:rsidRPr="007A00FF" w:rsidTr="005476C3">
        <w:trPr>
          <w:trHeight w:val="376"/>
        </w:trPr>
        <w:tc>
          <w:tcPr>
            <w:tcW w:w="5539"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xml:space="preserve">Exceptions </w:t>
            </w:r>
          </w:p>
        </w:tc>
        <w:tc>
          <w:tcPr>
            <w:tcW w:w="1275" w:type="dxa"/>
            <w:tcBorders>
              <w:top w:val="single" w:sz="8" w:space="0" w:color="auto"/>
              <w:left w:val="nil"/>
              <w:bottom w:val="single" w:sz="8" w:space="0" w:color="auto"/>
              <w:right w:val="nil"/>
            </w:tcBorders>
            <w:shd w:val="clear" w:color="000000" w:fill="DBE5F1"/>
            <w:noWrap/>
            <w:vAlign w:val="bottom"/>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2012-2013</w:t>
            </w:r>
          </w:p>
        </w:tc>
        <w:tc>
          <w:tcPr>
            <w:tcW w:w="1276" w:type="dxa"/>
            <w:tcBorders>
              <w:top w:val="single" w:sz="8" w:space="0" w:color="auto"/>
              <w:left w:val="nil"/>
              <w:bottom w:val="single" w:sz="8" w:space="0" w:color="auto"/>
              <w:right w:val="nil"/>
            </w:tcBorders>
            <w:shd w:val="clear" w:color="000000" w:fill="DBE5F1"/>
            <w:noWrap/>
            <w:vAlign w:val="bottom"/>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2013-2014</w:t>
            </w:r>
          </w:p>
        </w:tc>
        <w:tc>
          <w:tcPr>
            <w:tcW w:w="1276"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7A00FF" w:rsidRDefault="005476C3" w:rsidP="005476C3">
            <w:pPr>
              <w:spacing w:after="0" w:line="240" w:lineRule="auto"/>
              <w:jc w:val="center"/>
              <w:rPr>
                <w:rFonts w:ascii="Calibri" w:eastAsia="Times New Roman" w:hAnsi="Calibri" w:cs="Times New Roman"/>
                <w:b/>
                <w:bCs/>
                <w:color w:val="000000"/>
                <w:lang w:val="fr-CA"/>
              </w:rPr>
            </w:pPr>
            <w:r w:rsidRPr="007A00FF">
              <w:rPr>
                <w:rFonts w:ascii="Calibri" w:eastAsia="Times New Roman" w:hAnsi="Calibri" w:cs="Times New Roman"/>
                <w:b/>
                <w:bCs/>
                <w:color w:val="000000"/>
                <w:lang w:val="fr-CA"/>
              </w:rPr>
              <w:t>2014-2015</w:t>
            </w:r>
          </w:p>
        </w:tc>
      </w:tr>
      <w:tr w:rsidR="005476C3" w:rsidRPr="007A00FF" w:rsidTr="005476C3">
        <w:trPr>
          <w:trHeight w:val="358"/>
        </w:trPr>
        <w:tc>
          <w:tcPr>
            <w:tcW w:w="5539" w:type="dxa"/>
            <w:tcBorders>
              <w:top w:val="nil"/>
              <w:left w:val="single" w:sz="8" w:space="0" w:color="auto"/>
              <w:bottom w:val="nil"/>
              <w:right w:val="nil"/>
            </w:tcBorders>
            <w:shd w:val="clear" w:color="auto" w:fill="auto"/>
            <w:noWrap/>
            <w:vAlign w:val="bottom"/>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Nombre total d’exceptions</w:t>
            </w:r>
          </w:p>
        </w:tc>
        <w:tc>
          <w:tcPr>
            <w:tcW w:w="1275" w:type="dxa"/>
            <w:tcBorders>
              <w:top w:val="nil"/>
              <w:left w:val="nil"/>
              <w:bottom w:val="nil"/>
              <w:right w:val="nil"/>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1 246</w:t>
            </w:r>
          </w:p>
        </w:tc>
        <w:tc>
          <w:tcPr>
            <w:tcW w:w="1276" w:type="dxa"/>
            <w:tcBorders>
              <w:top w:val="nil"/>
              <w:left w:val="nil"/>
              <w:bottom w:val="nil"/>
              <w:right w:val="nil"/>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904</w:t>
            </w:r>
          </w:p>
        </w:tc>
        <w:tc>
          <w:tcPr>
            <w:tcW w:w="1276" w:type="dxa"/>
            <w:tcBorders>
              <w:top w:val="nil"/>
              <w:left w:val="nil"/>
              <w:bottom w:val="nil"/>
              <w:right w:val="single" w:sz="8" w:space="0" w:color="auto"/>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1 178</w:t>
            </w:r>
          </w:p>
        </w:tc>
      </w:tr>
      <w:tr w:rsidR="005476C3" w:rsidRPr="007A00FF" w:rsidTr="005476C3">
        <w:trPr>
          <w:trHeight w:val="358"/>
        </w:trPr>
        <w:tc>
          <w:tcPr>
            <w:tcW w:w="5539" w:type="dxa"/>
            <w:tcBorders>
              <w:top w:val="nil"/>
              <w:left w:val="single" w:sz="8" w:space="0" w:color="auto"/>
              <w:bottom w:val="nil"/>
              <w:right w:val="nil"/>
            </w:tcBorders>
            <w:shd w:val="clear" w:color="auto" w:fill="auto"/>
            <w:noWrap/>
            <w:vAlign w:val="bottom"/>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275" w:type="dxa"/>
            <w:tcBorders>
              <w:top w:val="nil"/>
              <w:left w:val="nil"/>
              <w:bottom w:val="nil"/>
              <w:right w:val="nil"/>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687</w:t>
            </w:r>
          </w:p>
        </w:tc>
        <w:tc>
          <w:tcPr>
            <w:tcW w:w="1276" w:type="dxa"/>
            <w:tcBorders>
              <w:top w:val="nil"/>
              <w:left w:val="nil"/>
              <w:bottom w:val="nil"/>
              <w:right w:val="nil"/>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685</w:t>
            </w:r>
          </w:p>
        </w:tc>
        <w:tc>
          <w:tcPr>
            <w:tcW w:w="1276" w:type="dxa"/>
            <w:tcBorders>
              <w:top w:val="nil"/>
              <w:left w:val="nil"/>
              <w:bottom w:val="nil"/>
              <w:right w:val="single" w:sz="8" w:space="0" w:color="auto"/>
            </w:tcBorders>
            <w:shd w:val="clear" w:color="auto" w:fill="auto"/>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657</w:t>
            </w:r>
          </w:p>
        </w:tc>
      </w:tr>
      <w:tr w:rsidR="005476C3" w:rsidRPr="007A00FF" w:rsidTr="005476C3">
        <w:trPr>
          <w:trHeight w:val="376"/>
        </w:trPr>
        <w:tc>
          <w:tcPr>
            <w:tcW w:w="5539" w:type="dxa"/>
            <w:tcBorders>
              <w:top w:val="nil"/>
              <w:left w:val="single" w:sz="8" w:space="0" w:color="auto"/>
              <w:bottom w:val="single" w:sz="8" w:space="0" w:color="auto"/>
              <w:right w:val="nil"/>
            </w:tcBorders>
            <w:shd w:val="clear" w:color="000000" w:fill="DBE5F1"/>
            <w:noWrap/>
            <w:vAlign w:val="bottom"/>
            <w:hideMark/>
          </w:tcPr>
          <w:p w:rsidR="005476C3" w:rsidRPr="007A00FF" w:rsidRDefault="005476C3" w:rsidP="005476C3">
            <w:pPr>
              <w:spacing w:after="0" w:line="240" w:lineRule="auto"/>
              <w:rPr>
                <w:rFonts w:ascii="Calibri" w:eastAsia="Times New Roman" w:hAnsi="Calibri" w:cs="Times New Roman"/>
                <w:color w:val="000000"/>
                <w:lang w:val="fr-CA"/>
              </w:rPr>
            </w:pPr>
            <w:r w:rsidRPr="007A00FF">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275" w:type="dxa"/>
            <w:tcBorders>
              <w:top w:val="nil"/>
              <w:left w:val="nil"/>
              <w:bottom w:val="single" w:sz="8" w:space="0" w:color="auto"/>
              <w:right w:val="nil"/>
            </w:tcBorders>
            <w:shd w:val="clear" w:color="000000" w:fill="DBE5F1"/>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1,8</w:t>
            </w:r>
            <w:r>
              <w:rPr>
                <w:rFonts w:ascii="Calibri" w:eastAsia="Times New Roman" w:hAnsi="Calibri" w:cs="Times New Roman"/>
                <w:color w:val="000000"/>
                <w:lang w:val="fr-CA"/>
              </w:rPr>
              <w:t>1</w:t>
            </w:r>
          </w:p>
        </w:tc>
        <w:tc>
          <w:tcPr>
            <w:tcW w:w="1276" w:type="dxa"/>
            <w:tcBorders>
              <w:top w:val="nil"/>
              <w:left w:val="nil"/>
              <w:bottom w:val="single" w:sz="8" w:space="0" w:color="auto"/>
              <w:right w:val="nil"/>
            </w:tcBorders>
            <w:shd w:val="clear" w:color="000000" w:fill="DBE5F1"/>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1,3</w:t>
            </w:r>
            <w:r>
              <w:rPr>
                <w:rFonts w:ascii="Calibri" w:eastAsia="Times New Roman" w:hAnsi="Calibri" w:cs="Times New Roman"/>
                <w:color w:val="000000"/>
                <w:lang w:val="fr-CA"/>
              </w:rPr>
              <w:t>2</w:t>
            </w:r>
          </w:p>
        </w:tc>
        <w:tc>
          <w:tcPr>
            <w:tcW w:w="1276" w:type="dxa"/>
            <w:tcBorders>
              <w:top w:val="nil"/>
              <w:left w:val="nil"/>
              <w:bottom w:val="single" w:sz="8" w:space="0" w:color="auto"/>
              <w:right w:val="single" w:sz="8" w:space="0" w:color="auto"/>
            </w:tcBorders>
            <w:shd w:val="clear" w:color="000000" w:fill="DBE5F1"/>
            <w:noWrap/>
            <w:vAlign w:val="bottom"/>
            <w:hideMark/>
          </w:tcPr>
          <w:p w:rsidR="005476C3" w:rsidRPr="007A00FF" w:rsidRDefault="005476C3" w:rsidP="005476C3">
            <w:pPr>
              <w:spacing w:after="0" w:line="240" w:lineRule="auto"/>
              <w:jc w:val="center"/>
              <w:rPr>
                <w:rFonts w:ascii="Calibri" w:eastAsia="Times New Roman" w:hAnsi="Calibri" w:cs="Times New Roman"/>
                <w:color w:val="000000"/>
                <w:lang w:val="fr-CA"/>
              </w:rPr>
            </w:pPr>
            <w:r w:rsidRPr="007A00FF">
              <w:rPr>
                <w:rFonts w:ascii="Calibri" w:eastAsia="Times New Roman" w:hAnsi="Calibri" w:cs="Times New Roman"/>
                <w:color w:val="000000"/>
                <w:lang w:val="fr-CA"/>
              </w:rPr>
              <w:t>1,</w:t>
            </w:r>
            <w:r>
              <w:rPr>
                <w:rFonts w:ascii="Calibri" w:eastAsia="Times New Roman" w:hAnsi="Calibri" w:cs="Times New Roman"/>
                <w:color w:val="000000"/>
                <w:lang w:val="fr-CA"/>
              </w:rPr>
              <w:t>79</w:t>
            </w:r>
          </w:p>
        </w:tc>
      </w:tr>
    </w:tbl>
    <w:p w:rsidR="005476C3" w:rsidRPr="00077288" w:rsidRDefault="005476C3" w:rsidP="005476C3">
      <w:pPr>
        <w:pStyle w:val="Heading2"/>
        <w:spacing w:before="240"/>
      </w:pPr>
      <w:r w:rsidRPr="00077288">
        <w:t>Plaintes au Commissariat à l’information</w:t>
      </w:r>
    </w:p>
    <w:p w:rsidR="005476C3" w:rsidRDefault="005476C3" w:rsidP="005476C3">
      <w:pPr>
        <w:jc w:val="both"/>
        <w:rPr>
          <w:lang w:val="fr-CA"/>
        </w:rPr>
      </w:pPr>
      <w:r w:rsidRPr="007A00FF">
        <w:rPr>
          <w:lang w:val="fr-CA"/>
        </w:rPr>
        <w:t>En 2014</w:t>
      </w:r>
      <w:r>
        <w:rPr>
          <w:lang w:val="fr-CA"/>
        </w:rPr>
        <w:t>-</w:t>
      </w:r>
      <w:r w:rsidRPr="007A00FF">
        <w:rPr>
          <w:lang w:val="fr-CA"/>
        </w:rPr>
        <w:t>2015, le Commissariat a reçu 35 plaintes</w:t>
      </w:r>
      <w:r>
        <w:rPr>
          <w:rStyle w:val="FootnoteReference"/>
          <w:lang w:val="fr-CA"/>
        </w:rPr>
        <w:footnoteReference w:id="72"/>
      </w:r>
      <w:r w:rsidRPr="007A00FF">
        <w:rPr>
          <w:lang w:val="fr-CA"/>
        </w:rPr>
        <w:t xml:space="preserve"> concernant </w:t>
      </w:r>
      <w:proofErr w:type="spellStart"/>
      <w:r w:rsidRPr="007A00FF">
        <w:rPr>
          <w:lang w:val="fr-CA"/>
        </w:rPr>
        <w:t>RNC</w:t>
      </w:r>
      <w:r>
        <w:rPr>
          <w:lang w:val="fr-CA"/>
        </w:rPr>
        <w:t>an</w:t>
      </w:r>
      <w:proofErr w:type="spellEnd"/>
      <w:r w:rsidRPr="007A00FF">
        <w:rPr>
          <w:lang w:val="fr-CA"/>
        </w:rPr>
        <w:t>, par rapport à 38 plaintes en 2013</w:t>
      </w:r>
      <w:r>
        <w:rPr>
          <w:lang w:val="fr-CA"/>
        </w:rPr>
        <w:t>-</w:t>
      </w:r>
      <w:r w:rsidRPr="007A00FF">
        <w:rPr>
          <w:lang w:val="fr-CA"/>
        </w:rPr>
        <w:t xml:space="preserve">2014. </w:t>
      </w:r>
      <w:r w:rsidRPr="0027254F">
        <w:rPr>
          <w:lang w:val="fr-CA"/>
        </w:rPr>
        <w:t xml:space="preserve">Pour la période précédente, il y avait autant de plaintes pour refus que de plaintes de nature </w:t>
      </w:r>
      <w:r w:rsidRPr="0027254F">
        <w:rPr>
          <w:lang w:val="fr-CA"/>
        </w:rPr>
        <w:lastRenderedPageBreak/>
        <w:t>administrative, alors que pour la période de référence actuelle, la part de plaintes pour refus s’est accrue de 1</w:t>
      </w:r>
      <w:r>
        <w:rPr>
          <w:lang w:val="fr-CA"/>
        </w:rPr>
        <w:t>8,7 %.</w:t>
      </w:r>
    </w:p>
    <w:p w:rsidR="005476C3" w:rsidRPr="007A00FF" w:rsidRDefault="005476C3" w:rsidP="005476C3">
      <w:pPr>
        <w:jc w:val="both"/>
        <w:rPr>
          <w:lang w:val="fr-CA"/>
        </w:rPr>
      </w:pPr>
      <w:r>
        <w:rPr>
          <w:lang w:val="fr-CA"/>
        </w:rPr>
        <w:t xml:space="preserve">Des plaintes reçues en 2014-2015, </w:t>
      </w:r>
      <w:r w:rsidRPr="0027254F">
        <w:rPr>
          <w:lang w:val="fr-CA"/>
        </w:rPr>
        <w:t xml:space="preserve">28 % étaient fondées, soit une diminution de 19,3 % par rapport à la période précédente. Le nombre de plaintes abandonnées et en suspens </w:t>
      </w:r>
      <w:r>
        <w:rPr>
          <w:lang w:val="fr-CA"/>
        </w:rPr>
        <w:t>étaient de</w:t>
      </w:r>
      <w:r w:rsidRPr="0027254F">
        <w:rPr>
          <w:lang w:val="fr-CA"/>
        </w:rPr>
        <w:t xml:space="preserve"> 4 et 18 plaintes, respectivement.</w:t>
      </w:r>
    </w:p>
    <w:p w:rsidR="005476C3" w:rsidRDefault="005476C3">
      <w:pPr>
        <w:rPr>
          <w:lang w:val="fr-CA"/>
        </w:rPr>
      </w:pPr>
      <w:r>
        <w:rPr>
          <w:lang w:val="fr-CA"/>
        </w:rPr>
        <w:br w:type="page"/>
      </w:r>
    </w:p>
    <w:p w:rsidR="005476C3" w:rsidRPr="0047347E" w:rsidRDefault="005476C3" w:rsidP="005476C3">
      <w:pPr>
        <w:pStyle w:val="Heading1"/>
      </w:pPr>
      <w:r w:rsidRPr="0047347E">
        <w:lastRenderedPageBreak/>
        <w:t>Bureau du Conseil privé</w:t>
      </w:r>
    </w:p>
    <w:p w:rsidR="005476C3" w:rsidRPr="0047347E" w:rsidRDefault="005476C3" w:rsidP="005476C3">
      <w:pPr>
        <w:jc w:val="both"/>
        <w:rPr>
          <w:b/>
          <w:lang w:val="fr-CA"/>
        </w:rPr>
      </w:pPr>
      <w:r w:rsidRPr="0047347E">
        <w:rPr>
          <w:rStyle w:val="Heading2Char"/>
        </w:rPr>
        <w:t>Rendement global</w:t>
      </w:r>
      <w:r w:rsidRPr="009C7D48">
        <w:rPr>
          <w:rStyle w:val="FootnoteReference"/>
          <w:b/>
          <w:lang w:val="fr-CA"/>
        </w:rPr>
        <w:footnoteReference w:id="73"/>
      </w:r>
    </w:p>
    <w:p w:rsidR="005476C3" w:rsidRPr="009C7D48" w:rsidRDefault="005476C3" w:rsidP="005476C3">
      <w:pPr>
        <w:jc w:val="both"/>
        <w:rPr>
          <w:lang w:val="fr-CA"/>
        </w:rPr>
      </w:pPr>
      <w:r w:rsidRPr="009C7D48">
        <w:rPr>
          <w:lang w:val="fr-CA"/>
        </w:rPr>
        <w:t>Le Bureau du Conseil privé (BCP) a observé une diminution de 28,8 % dans le nombre de demandes</w:t>
      </w:r>
      <w:r>
        <w:rPr>
          <w:lang w:val="fr-CA"/>
        </w:rPr>
        <w:t xml:space="preserve"> reçues en 2014-</w:t>
      </w:r>
      <w:r w:rsidRPr="009C7D48">
        <w:rPr>
          <w:lang w:val="fr-CA"/>
        </w:rPr>
        <w:t>2015. Le pourcentage de demandes complétées en 30 jours ou moins a diminué de 11,4 %. Le présent rapport contient des statistiques comparatives pour les trois dernières périodes (2012 à 2015).</w:t>
      </w:r>
    </w:p>
    <w:p w:rsidR="005476C3" w:rsidRPr="0047347E" w:rsidRDefault="005476C3" w:rsidP="005476C3">
      <w:pPr>
        <w:pStyle w:val="Heading2"/>
      </w:pPr>
      <w:r w:rsidRPr="0047347E">
        <w:t>Charge de travail</w:t>
      </w:r>
    </w:p>
    <w:p w:rsidR="005476C3" w:rsidRPr="009C7D48" w:rsidRDefault="005476C3" w:rsidP="005476C3">
      <w:pPr>
        <w:jc w:val="both"/>
        <w:rPr>
          <w:lang w:val="fr-CA"/>
        </w:rPr>
      </w:pPr>
      <w:r w:rsidRPr="009C7D48">
        <w:rPr>
          <w:lang w:val="fr-CA"/>
        </w:rPr>
        <w:t xml:space="preserve">Le BCP a reçu 646 demandes en vertu de la </w:t>
      </w:r>
      <w:r w:rsidRPr="009C7D48">
        <w:rPr>
          <w:i/>
          <w:lang w:val="fr-CA"/>
        </w:rPr>
        <w:t>Loi sur l’accès à l‘information</w:t>
      </w:r>
      <w:r w:rsidRPr="009C7D48">
        <w:rPr>
          <w:lang w:val="fr-CA"/>
        </w:rPr>
        <w:t xml:space="preserve"> (la </w:t>
      </w:r>
      <w:r w:rsidRPr="009C7D48">
        <w:rPr>
          <w:i/>
          <w:lang w:val="fr-CA"/>
        </w:rPr>
        <w:t>Loi</w:t>
      </w:r>
      <w:r w:rsidRPr="009C7D48">
        <w:rPr>
          <w:lang w:val="fr-CA"/>
        </w:rPr>
        <w:t>), représentant un peu moins de 1</w:t>
      </w:r>
      <w:r>
        <w:rPr>
          <w:lang w:val="fr-CA"/>
        </w:rPr>
        <w:t>,0</w:t>
      </w:r>
      <w:r w:rsidRPr="009C7D48">
        <w:rPr>
          <w:lang w:val="fr-CA"/>
        </w:rPr>
        <w:t> % du nombre total de demandes reçues à l’échelle du gouvernement en 2014</w:t>
      </w:r>
      <w:r>
        <w:rPr>
          <w:lang w:val="fr-CA"/>
        </w:rPr>
        <w:t>-</w:t>
      </w:r>
      <w:r w:rsidRPr="009C7D48">
        <w:rPr>
          <w:lang w:val="fr-CA"/>
        </w:rPr>
        <w:t xml:space="preserve">2015. </w:t>
      </w:r>
      <w:r>
        <w:rPr>
          <w:lang w:val="fr-CA"/>
        </w:rPr>
        <w:t>En 2013-</w:t>
      </w:r>
      <w:r w:rsidRPr="009C7D48">
        <w:rPr>
          <w:lang w:val="fr-CA"/>
        </w:rPr>
        <w:t xml:space="preserve">2014, le BCP a reçu 907 demandes, ce qui représente une diminution de 28,8 % par rapport à cette année. La majorité des demandes </w:t>
      </w:r>
      <w:r>
        <w:rPr>
          <w:lang w:val="fr-CA"/>
        </w:rPr>
        <w:t>reçues en 2014-</w:t>
      </w:r>
      <w:r w:rsidRPr="009C7D48">
        <w:rPr>
          <w:lang w:val="fr-CA"/>
        </w:rPr>
        <w:t>2015 provenaient des médias (71,2 %), suivies de celles du public (17,3 %).</w:t>
      </w:r>
    </w:p>
    <w:p w:rsidR="005476C3" w:rsidRPr="009C7D48" w:rsidRDefault="005476C3" w:rsidP="005476C3">
      <w:pPr>
        <w:jc w:val="both"/>
        <w:rPr>
          <w:lang w:val="fr-CA"/>
        </w:rPr>
      </w:pPr>
      <w:r w:rsidRPr="009C7D48">
        <w:rPr>
          <w:lang w:val="fr-CA"/>
        </w:rPr>
        <w:t>Le BCP a complété 677 demandes en 2014</w:t>
      </w:r>
      <w:r>
        <w:rPr>
          <w:lang w:val="fr-CA"/>
        </w:rPr>
        <w:t>-</w:t>
      </w:r>
      <w:r w:rsidRPr="009C7D48">
        <w:rPr>
          <w:lang w:val="fr-CA"/>
        </w:rPr>
        <w:t>2015, ce qui correspond à un taux d’achèvement</w:t>
      </w:r>
      <w:r w:rsidRPr="009C7D48">
        <w:rPr>
          <w:rStyle w:val="FootnoteReference"/>
          <w:lang w:val="fr-CA"/>
        </w:rPr>
        <w:footnoteReference w:id="74"/>
      </w:r>
      <w:r w:rsidRPr="009C7D48">
        <w:rPr>
          <w:lang w:val="fr-CA"/>
        </w:rPr>
        <w:t xml:space="preserve"> de 73</w:t>
      </w:r>
      <w:r>
        <w:rPr>
          <w:lang w:val="fr-CA"/>
        </w:rPr>
        <w:t>,0</w:t>
      </w:r>
      <w:r w:rsidRPr="009C7D48">
        <w:rPr>
          <w:lang w:val="fr-CA"/>
        </w:rPr>
        <w:t> %</w:t>
      </w:r>
      <w:r>
        <w:rPr>
          <w:lang w:val="fr-CA"/>
        </w:rPr>
        <w:t xml:space="preserve">, soit </w:t>
      </w:r>
      <w:r w:rsidRPr="009C7D48">
        <w:rPr>
          <w:lang w:val="fr-CA"/>
        </w:rPr>
        <w:t>le même</w:t>
      </w:r>
      <w:r>
        <w:rPr>
          <w:lang w:val="fr-CA"/>
        </w:rPr>
        <w:t xml:space="preserve"> que pour la période précédente</w:t>
      </w:r>
      <w:r w:rsidRPr="009C7D48">
        <w:rPr>
          <w:lang w:val="fr-CA"/>
        </w:rPr>
        <w:t xml:space="preserve">. </w:t>
      </w:r>
      <w:r>
        <w:rPr>
          <w:lang w:val="fr-CA"/>
        </w:rPr>
        <w:t>Toutefois, l</w:t>
      </w:r>
      <w:r w:rsidRPr="009C7D48">
        <w:rPr>
          <w:lang w:val="fr-CA"/>
        </w:rPr>
        <w:t>e taux d’achèvement du BCP était inférieur à celui rapporté pour l’ensemble du gouvernement qui lui, était de 85,1 %. Le BCP a aussi reçu 427 demandes informelles en 201</w:t>
      </w:r>
      <w:r>
        <w:rPr>
          <w:lang w:val="fr-CA"/>
        </w:rPr>
        <w:t>4-</w:t>
      </w:r>
      <w:r w:rsidRPr="009C7D48">
        <w:rPr>
          <w:lang w:val="fr-CA"/>
        </w:rPr>
        <w:t xml:space="preserve">2015, dont 33,3 % qui ont été complétées en 30 jours ou moins. Le nombre de demandes de consultation reçues par BCP en provenance d’autres institutions fédérales </w:t>
      </w:r>
      <w:r w:rsidRPr="00827DBD">
        <w:rPr>
          <w:lang w:val="fr-CA"/>
        </w:rPr>
        <w:t>a diminué de 422 à 371</w:t>
      </w:r>
      <w:r>
        <w:rPr>
          <w:lang w:val="fr-CA"/>
        </w:rPr>
        <w:t>,</w:t>
      </w:r>
      <w:r w:rsidRPr="00827DBD">
        <w:rPr>
          <w:lang w:val="fr-CA"/>
        </w:rPr>
        <w:t xml:space="preserve"> représentant une bais</w:t>
      </w:r>
      <w:r>
        <w:rPr>
          <w:lang w:val="fr-CA"/>
        </w:rPr>
        <w:t>se de 12,1 % par rapport à 2013-</w:t>
      </w:r>
      <w:r w:rsidRPr="00827DBD">
        <w:rPr>
          <w:lang w:val="fr-CA"/>
        </w:rPr>
        <w:t>2014.</w:t>
      </w:r>
    </w:p>
    <w:p w:rsidR="005476C3" w:rsidRPr="009C7D48" w:rsidRDefault="005476C3" w:rsidP="005476C3">
      <w:pPr>
        <w:jc w:val="both"/>
        <w:rPr>
          <w:lang w:val="fr-CA"/>
        </w:rPr>
      </w:pPr>
      <w:r w:rsidRPr="009C7D48">
        <w:rPr>
          <w:lang w:val="fr-CA"/>
        </w:rPr>
        <w:t>En 2014</w:t>
      </w:r>
      <w:r>
        <w:rPr>
          <w:lang w:val="fr-CA"/>
        </w:rPr>
        <w:t>-</w:t>
      </w:r>
      <w:r w:rsidRPr="009C7D48">
        <w:rPr>
          <w:lang w:val="fr-CA"/>
        </w:rPr>
        <w:t>2015, 76 372 pages ont été traitées par rapport à 58 409 pages en 2013</w:t>
      </w:r>
      <w:r>
        <w:rPr>
          <w:lang w:val="fr-CA"/>
        </w:rPr>
        <w:t>-</w:t>
      </w:r>
      <w:r w:rsidRPr="009C7D48">
        <w:rPr>
          <w:lang w:val="fr-CA"/>
        </w:rPr>
        <w:t xml:space="preserve">2014. Le nombre moyen de pages traitées par demande </w:t>
      </w:r>
      <w:proofErr w:type="spellStart"/>
      <w:r w:rsidRPr="009C7D48">
        <w:rPr>
          <w:lang w:val="fr-CA"/>
        </w:rPr>
        <w:t>comp</w:t>
      </w:r>
      <w:r w:rsidRPr="009C7D48">
        <w:rPr>
          <w:lang w:val="fr-FR"/>
        </w:rPr>
        <w:t>létée</w:t>
      </w:r>
      <w:proofErr w:type="spellEnd"/>
      <w:r w:rsidRPr="009C7D48">
        <w:rPr>
          <w:lang w:val="fr-CA"/>
        </w:rPr>
        <w:t xml:space="preserve"> a également augmenté passant de 101 à 141 au cours de la période de référence actuelle.</w:t>
      </w:r>
    </w:p>
    <w:p w:rsidR="005476C3" w:rsidRPr="009C7D48" w:rsidRDefault="005476C3" w:rsidP="005476C3">
      <w:pPr>
        <w:jc w:val="both"/>
        <w:rPr>
          <w:lang w:val="fr-CA"/>
        </w:rPr>
      </w:pPr>
      <w:r w:rsidRPr="009C7D48">
        <w:rPr>
          <w:lang w:val="fr-CA"/>
        </w:rPr>
        <w:t xml:space="preserve">L’information diffusée par le BCP était </w:t>
      </w:r>
      <w:r>
        <w:rPr>
          <w:color w:val="000000" w:themeColor="text1"/>
          <w:lang w:val="fr-CA"/>
        </w:rPr>
        <w:t>majoritairement</w:t>
      </w:r>
      <w:r w:rsidRPr="009C7D48">
        <w:rPr>
          <w:lang w:val="fr-CA"/>
        </w:rPr>
        <w:t xml:space="preserve"> en format papier</w:t>
      </w:r>
      <w:r>
        <w:rPr>
          <w:lang w:val="fr-CA"/>
        </w:rPr>
        <w:t xml:space="preserve"> </w:t>
      </w:r>
      <w:r w:rsidRPr="009C7D48">
        <w:rPr>
          <w:lang w:val="fr-CA"/>
        </w:rPr>
        <w:t>: 420 demandes en format papier et 1 demande en format électronique</w:t>
      </w:r>
      <w:r>
        <w:rPr>
          <w:lang w:val="fr-CA"/>
        </w:rPr>
        <w:t>.</w:t>
      </w:r>
    </w:p>
    <w:p w:rsidR="005476C3" w:rsidRPr="0047347E" w:rsidRDefault="005476C3" w:rsidP="00BA2BE8">
      <w:pPr>
        <w:pStyle w:val="Heading3"/>
      </w:pPr>
      <w:r w:rsidRPr="0047347E">
        <w:t xml:space="preserve">Tableau </w:t>
      </w:r>
      <w:proofErr w:type="gramStart"/>
      <w:r w:rsidRPr="0047347E">
        <w:t>1 :</w:t>
      </w:r>
      <w:proofErr w:type="gramEnd"/>
      <w:r w:rsidRPr="0047347E">
        <w:t xml:space="preserve"> Charge de travail</w:t>
      </w:r>
    </w:p>
    <w:tbl>
      <w:tblPr>
        <w:tblW w:w="9562" w:type="dxa"/>
        <w:tblInd w:w="98" w:type="dxa"/>
        <w:tblLook w:val="04A0"/>
      </w:tblPr>
      <w:tblGrid>
        <w:gridCol w:w="5473"/>
        <w:gridCol w:w="1363"/>
        <w:gridCol w:w="1363"/>
        <w:gridCol w:w="1363"/>
      </w:tblGrid>
      <w:tr w:rsidR="005476C3" w:rsidRPr="009C7D48" w:rsidTr="005476C3">
        <w:trPr>
          <w:trHeight w:val="425"/>
        </w:trPr>
        <w:tc>
          <w:tcPr>
            <w:tcW w:w="5473" w:type="dxa"/>
            <w:tcBorders>
              <w:top w:val="single" w:sz="4" w:space="0" w:color="auto"/>
              <w:left w:val="single" w:sz="4" w:space="0" w:color="auto"/>
              <w:bottom w:val="single" w:sz="8" w:space="0" w:color="auto"/>
              <w:right w:val="nil"/>
            </w:tcBorders>
            <w:shd w:val="clear" w:color="auto" w:fill="auto"/>
            <w:noWrap/>
            <w:vAlign w:val="bottom"/>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 xml:space="preserve">Mesures </w:t>
            </w:r>
          </w:p>
        </w:tc>
        <w:tc>
          <w:tcPr>
            <w:tcW w:w="1363" w:type="dxa"/>
            <w:tcBorders>
              <w:top w:val="single" w:sz="4" w:space="0" w:color="auto"/>
              <w:left w:val="nil"/>
              <w:bottom w:val="single" w:sz="8" w:space="0" w:color="auto"/>
              <w:right w:val="nil"/>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2012-2013</w:t>
            </w:r>
          </w:p>
        </w:tc>
        <w:tc>
          <w:tcPr>
            <w:tcW w:w="1363" w:type="dxa"/>
            <w:tcBorders>
              <w:top w:val="single" w:sz="4" w:space="0" w:color="auto"/>
              <w:left w:val="nil"/>
              <w:bottom w:val="single" w:sz="8" w:space="0" w:color="auto"/>
              <w:right w:val="nil"/>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2013-2014</w:t>
            </w:r>
          </w:p>
        </w:tc>
        <w:tc>
          <w:tcPr>
            <w:tcW w:w="1363" w:type="dxa"/>
            <w:tcBorders>
              <w:top w:val="single" w:sz="4" w:space="0" w:color="auto"/>
              <w:left w:val="nil"/>
              <w:bottom w:val="single" w:sz="8" w:space="0" w:color="auto"/>
              <w:right w:val="single" w:sz="4" w:space="0" w:color="auto"/>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2014-2015</w:t>
            </w:r>
          </w:p>
        </w:tc>
      </w:tr>
      <w:tr w:rsidR="005476C3" w:rsidRPr="009C7D48" w:rsidTr="005476C3">
        <w:trPr>
          <w:trHeight w:val="403"/>
        </w:trPr>
        <w:tc>
          <w:tcPr>
            <w:tcW w:w="5473" w:type="dxa"/>
            <w:tcBorders>
              <w:top w:val="nil"/>
              <w:left w:val="single" w:sz="4" w:space="0" w:color="auto"/>
              <w:bottom w:val="nil"/>
              <w:right w:val="nil"/>
            </w:tcBorders>
            <w:shd w:val="clear" w:color="000000" w:fill="DBE5F1"/>
            <w:noWrap/>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 xml:space="preserve">Nombre de demandes reçues </w:t>
            </w:r>
          </w:p>
        </w:tc>
        <w:tc>
          <w:tcPr>
            <w:tcW w:w="1363" w:type="dxa"/>
            <w:tcBorders>
              <w:top w:val="nil"/>
              <w:left w:val="nil"/>
              <w:bottom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780</w:t>
            </w:r>
          </w:p>
        </w:tc>
        <w:tc>
          <w:tcPr>
            <w:tcW w:w="1363" w:type="dxa"/>
            <w:tcBorders>
              <w:top w:val="nil"/>
              <w:left w:val="nil"/>
              <w:bottom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907</w:t>
            </w:r>
          </w:p>
        </w:tc>
        <w:tc>
          <w:tcPr>
            <w:tcW w:w="1363" w:type="dxa"/>
            <w:tcBorders>
              <w:top w:val="nil"/>
              <w:left w:val="nil"/>
              <w:bottom w:val="nil"/>
              <w:right w:val="single" w:sz="4" w:space="0" w:color="auto"/>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646</w:t>
            </w:r>
          </w:p>
        </w:tc>
      </w:tr>
      <w:tr w:rsidR="005476C3" w:rsidRPr="009C7D48" w:rsidTr="005476C3">
        <w:trPr>
          <w:trHeight w:val="258"/>
        </w:trPr>
        <w:tc>
          <w:tcPr>
            <w:tcW w:w="5473" w:type="dxa"/>
            <w:tcBorders>
              <w:top w:val="nil"/>
              <w:left w:val="single" w:sz="4" w:space="0" w:color="auto"/>
              <w:bottom w:val="nil"/>
              <w:right w:val="nil"/>
            </w:tcBorders>
            <w:shd w:val="clear" w:color="auto" w:fill="auto"/>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Variation annuelle en %</w:t>
            </w:r>
          </w:p>
        </w:tc>
        <w:tc>
          <w:tcPr>
            <w:tcW w:w="1363" w:type="dxa"/>
            <w:tcBorders>
              <w:top w:val="nil"/>
              <w:left w:val="nil"/>
              <w:bottom w:val="nil"/>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w:t>
            </w:r>
          </w:p>
        </w:tc>
        <w:tc>
          <w:tcPr>
            <w:tcW w:w="1363" w:type="dxa"/>
            <w:tcBorders>
              <w:top w:val="nil"/>
              <w:left w:val="nil"/>
              <w:bottom w:val="nil"/>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16,3 %</w:t>
            </w:r>
          </w:p>
        </w:tc>
        <w:tc>
          <w:tcPr>
            <w:tcW w:w="1363" w:type="dxa"/>
            <w:tcBorders>
              <w:top w:val="nil"/>
              <w:left w:val="nil"/>
              <w:bottom w:val="nil"/>
              <w:right w:val="single" w:sz="4" w:space="0" w:color="auto"/>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-28,8 %</w:t>
            </w:r>
          </w:p>
        </w:tc>
      </w:tr>
      <w:tr w:rsidR="005476C3" w:rsidRPr="009C7D48" w:rsidTr="005476C3">
        <w:trPr>
          <w:trHeight w:val="447"/>
        </w:trPr>
        <w:tc>
          <w:tcPr>
            <w:tcW w:w="5473" w:type="dxa"/>
            <w:tcBorders>
              <w:top w:val="nil"/>
              <w:left w:val="single" w:sz="4" w:space="0" w:color="auto"/>
              <w:right w:val="nil"/>
            </w:tcBorders>
            <w:shd w:val="clear" w:color="000000" w:fill="DBE5F1"/>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Demandes complétées</w:t>
            </w:r>
          </w:p>
        </w:tc>
        <w:tc>
          <w:tcPr>
            <w:tcW w:w="1363" w:type="dxa"/>
            <w:tcBorders>
              <w:top w:val="nil"/>
              <w:left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725</w:t>
            </w:r>
          </w:p>
        </w:tc>
        <w:tc>
          <w:tcPr>
            <w:tcW w:w="1363" w:type="dxa"/>
            <w:tcBorders>
              <w:top w:val="nil"/>
              <w:left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772</w:t>
            </w:r>
          </w:p>
        </w:tc>
        <w:tc>
          <w:tcPr>
            <w:tcW w:w="1363" w:type="dxa"/>
            <w:tcBorders>
              <w:top w:val="nil"/>
              <w:left w:val="nil"/>
              <w:right w:val="single" w:sz="4" w:space="0" w:color="auto"/>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677</w:t>
            </w:r>
          </w:p>
        </w:tc>
      </w:tr>
      <w:tr w:rsidR="005476C3" w:rsidRPr="009C7D48" w:rsidTr="005476C3">
        <w:trPr>
          <w:trHeight w:val="425"/>
        </w:trPr>
        <w:tc>
          <w:tcPr>
            <w:tcW w:w="5473" w:type="dxa"/>
            <w:tcBorders>
              <w:top w:val="nil"/>
              <w:left w:val="single" w:sz="4" w:space="0" w:color="auto"/>
              <w:right w:val="nil"/>
            </w:tcBorders>
            <w:shd w:val="clear" w:color="auto" w:fill="auto"/>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Variation annuelle en %</w:t>
            </w:r>
          </w:p>
        </w:tc>
        <w:tc>
          <w:tcPr>
            <w:tcW w:w="1363" w:type="dxa"/>
            <w:tcBorders>
              <w:top w:val="nil"/>
              <w:left w:val="nil"/>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w:t>
            </w:r>
          </w:p>
        </w:tc>
        <w:tc>
          <w:tcPr>
            <w:tcW w:w="1363" w:type="dxa"/>
            <w:tcBorders>
              <w:top w:val="nil"/>
              <w:left w:val="nil"/>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6,5 %</w:t>
            </w:r>
          </w:p>
        </w:tc>
        <w:tc>
          <w:tcPr>
            <w:tcW w:w="1363" w:type="dxa"/>
            <w:tcBorders>
              <w:top w:val="nil"/>
              <w:left w:val="nil"/>
              <w:right w:val="single" w:sz="4" w:space="0" w:color="auto"/>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-12,3 %</w:t>
            </w:r>
          </w:p>
        </w:tc>
      </w:tr>
      <w:tr w:rsidR="005476C3" w:rsidRPr="009C7D48" w:rsidTr="005476C3">
        <w:trPr>
          <w:trHeight w:val="529"/>
        </w:trPr>
        <w:tc>
          <w:tcPr>
            <w:tcW w:w="5473" w:type="dxa"/>
            <w:tcBorders>
              <w:top w:val="nil"/>
              <w:left w:val="single" w:sz="4" w:space="0" w:color="auto"/>
              <w:right w:val="nil"/>
            </w:tcBorders>
            <w:shd w:val="clear" w:color="000000" w:fill="DBE5F1"/>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lastRenderedPageBreak/>
              <w:t>Nombre de demandes de consultation reçues (d’autres institutions fédérales)</w:t>
            </w:r>
          </w:p>
        </w:tc>
        <w:tc>
          <w:tcPr>
            <w:tcW w:w="1363" w:type="dxa"/>
            <w:tcBorders>
              <w:top w:val="nil"/>
              <w:left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511</w:t>
            </w:r>
          </w:p>
        </w:tc>
        <w:tc>
          <w:tcPr>
            <w:tcW w:w="1363" w:type="dxa"/>
            <w:tcBorders>
              <w:top w:val="nil"/>
              <w:left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422</w:t>
            </w:r>
          </w:p>
        </w:tc>
        <w:tc>
          <w:tcPr>
            <w:tcW w:w="1363" w:type="dxa"/>
            <w:tcBorders>
              <w:top w:val="nil"/>
              <w:left w:val="nil"/>
              <w:right w:val="single" w:sz="4" w:space="0" w:color="auto"/>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371</w:t>
            </w:r>
          </w:p>
        </w:tc>
      </w:tr>
      <w:tr w:rsidR="005476C3" w:rsidRPr="009C7D48" w:rsidTr="005476C3">
        <w:trPr>
          <w:trHeight w:val="324"/>
        </w:trPr>
        <w:tc>
          <w:tcPr>
            <w:tcW w:w="5473" w:type="dxa"/>
            <w:tcBorders>
              <w:top w:val="nil"/>
              <w:left w:val="single" w:sz="4" w:space="0" w:color="auto"/>
              <w:right w:val="nil"/>
            </w:tcBorders>
            <w:shd w:val="clear" w:color="auto" w:fill="auto"/>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Variation annuelle en %</w:t>
            </w:r>
          </w:p>
        </w:tc>
        <w:tc>
          <w:tcPr>
            <w:tcW w:w="1363" w:type="dxa"/>
            <w:tcBorders>
              <w:top w:val="nil"/>
              <w:left w:val="nil"/>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w:t>
            </w:r>
          </w:p>
        </w:tc>
        <w:tc>
          <w:tcPr>
            <w:tcW w:w="1363" w:type="dxa"/>
            <w:tcBorders>
              <w:top w:val="nil"/>
              <w:left w:val="nil"/>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-17,4 %</w:t>
            </w:r>
          </w:p>
        </w:tc>
        <w:tc>
          <w:tcPr>
            <w:tcW w:w="1363" w:type="dxa"/>
            <w:tcBorders>
              <w:top w:val="nil"/>
              <w:left w:val="nil"/>
              <w:right w:val="single" w:sz="4" w:space="0" w:color="auto"/>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-12,1 %</w:t>
            </w:r>
          </w:p>
        </w:tc>
      </w:tr>
      <w:tr w:rsidR="005476C3" w:rsidRPr="009C7D48" w:rsidTr="005476C3">
        <w:trPr>
          <w:trHeight w:val="529"/>
        </w:trPr>
        <w:tc>
          <w:tcPr>
            <w:tcW w:w="5473" w:type="dxa"/>
            <w:tcBorders>
              <w:left w:val="single" w:sz="4" w:space="0" w:color="auto"/>
              <w:bottom w:val="nil"/>
              <w:right w:val="nil"/>
            </w:tcBorders>
            <w:shd w:val="clear" w:color="000000" w:fill="DBE5F1"/>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Nombre moyen de pages traitées par demande complétée</w:t>
            </w:r>
          </w:p>
        </w:tc>
        <w:tc>
          <w:tcPr>
            <w:tcW w:w="1363" w:type="dxa"/>
            <w:tcBorders>
              <w:left w:val="nil"/>
              <w:bottom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78</w:t>
            </w:r>
          </w:p>
        </w:tc>
        <w:tc>
          <w:tcPr>
            <w:tcW w:w="1363" w:type="dxa"/>
            <w:tcBorders>
              <w:left w:val="nil"/>
              <w:bottom w:val="nil"/>
              <w:right w:val="nil"/>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101</w:t>
            </w:r>
          </w:p>
        </w:tc>
        <w:tc>
          <w:tcPr>
            <w:tcW w:w="1363" w:type="dxa"/>
            <w:tcBorders>
              <w:left w:val="nil"/>
              <w:bottom w:val="nil"/>
              <w:right w:val="single" w:sz="4" w:space="0" w:color="auto"/>
            </w:tcBorders>
            <w:shd w:val="clear" w:color="000000" w:fill="DBE5F1"/>
            <w:noWrap/>
            <w:vAlign w:val="center"/>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141</w:t>
            </w:r>
          </w:p>
        </w:tc>
      </w:tr>
      <w:tr w:rsidR="005476C3" w:rsidRPr="009C7D48" w:rsidTr="005476C3">
        <w:trPr>
          <w:trHeight w:val="529"/>
        </w:trPr>
        <w:tc>
          <w:tcPr>
            <w:tcW w:w="5473" w:type="dxa"/>
            <w:tcBorders>
              <w:top w:val="single" w:sz="8" w:space="0" w:color="auto"/>
              <w:left w:val="single" w:sz="4" w:space="0" w:color="auto"/>
              <w:bottom w:val="single" w:sz="4" w:space="0" w:color="auto"/>
              <w:right w:val="nil"/>
            </w:tcBorders>
            <w:shd w:val="clear" w:color="auto" w:fill="auto"/>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 des demandes pour lesquelles plus de 1 000 pages ont été traitées</w:t>
            </w:r>
          </w:p>
        </w:tc>
        <w:tc>
          <w:tcPr>
            <w:tcW w:w="1363" w:type="dxa"/>
            <w:tcBorders>
              <w:top w:val="single" w:sz="8" w:space="0" w:color="auto"/>
              <w:left w:val="nil"/>
              <w:bottom w:val="single" w:sz="4" w:space="0" w:color="auto"/>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1,1 %</w:t>
            </w:r>
          </w:p>
        </w:tc>
        <w:tc>
          <w:tcPr>
            <w:tcW w:w="1363" w:type="dxa"/>
            <w:tcBorders>
              <w:top w:val="single" w:sz="8" w:space="0" w:color="auto"/>
              <w:left w:val="nil"/>
              <w:bottom w:val="single" w:sz="4" w:space="0" w:color="auto"/>
              <w:right w:val="nil"/>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1,6 %</w:t>
            </w:r>
          </w:p>
        </w:tc>
        <w:tc>
          <w:tcPr>
            <w:tcW w:w="1363" w:type="dxa"/>
            <w:tcBorders>
              <w:top w:val="single" w:sz="8" w:space="0" w:color="auto"/>
              <w:left w:val="nil"/>
              <w:bottom w:val="single" w:sz="4" w:space="0" w:color="auto"/>
              <w:right w:val="single" w:sz="4" w:space="0" w:color="auto"/>
            </w:tcBorders>
            <w:shd w:val="clear" w:color="auto" w:fill="auto"/>
            <w:noWrap/>
            <w:vAlign w:val="center"/>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2,0 %</w:t>
            </w:r>
          </w:p>
        </w:tc>
      </w:tr>
    </w:tbl>
    <w:p w:rsidR="005476C3" w:rsidRPr="0047347E" w:rsidRDefault="005476C3" w:rsidP="005476C3">
      <w:pPr>
        <w:pStyle w:val="Heading2"/>
        <w:spacing w:before="240"/>
      </w:pPr>
      <w:r w:rsidRPr="0047347E">
        <w:t>Délai de traitement des demandes</w:t>
      </w:r>
    </w:p>
    <w:p w:rsidR="005476C3" w:rsidRPr="0047347E" w:rsidRDefault="005476C3" w:rsidP="005476C3">
      <w:pPr>
        <w:pStyle w:val="Heading4"/>
      </w:pPr>
      <w:r w:rsidRPr="0047347E">
        <w:t>Rapidité</w:t>
      </w:r>
    </w:p>
    <w:p w:rsidR="005476C3" w:rsidRPr="009C7D48" w:rsidRDefault="005476C3" w:rsidP="005476C3">
      <w:pPr>
        <w:jc w:val="both"/>
        <w:rPr>
          <w:lang w:val="fr-CA"/>
        </w:rPr>
      </w:pPr>
      <w:r w:rsidRPr="009C7D48">
        <w:rPr>
          <w:lang w:val="fr-CA"/>
        </w:rPr>
        <w:t xml:space="preserve">La figure 1 révèle que 39,1 % des demandes ont été complétées en 30 jours ou moins, soit une diminution du 11,4 % </w:t>
      </w:r>
      <w:r>
        <w:rPr>
          <w:lang w:val="fr-CA"/>
        </w:rPr>
        <w:t>par rapport à 2013-</w:t>
      </w:r>
      <w:r w:rsidRPr="009C7D48">
        <w:rPr>
          <w:lang w:val="fr-CA"/>
        </w:rPr>
        <w:t xml:space="preserve">2014. Nous notons également </w:t>
      </w:r>
      <w:r>
        <w:rPr>
          <w:lang w:val="fr-CA"/>
        </w:rPr>
        <w:t>une hausse des pourcentages</w:t>
      </w:r>
      <w:r w:rsidRPr="009C7D48">
        <w:rPr>
          <w:lang w:val="fr-CA"/>
        </w:rPr>
        <w:t xml:space="preserve"> de demandes complétées dans tous les autres catégories.</w:t>
      </w:r>
    </w:p>
    <w:p w:rsidR="005476C3" w:rsidRPr="0047347E" w:rsidRDefault="005476C3" w:rsidP="005476C3">
      <w:pPr>
        <w:spacing w:line="240" w:lineRule="auto"/>
        <w:rPr>
          <w:sz w:val="24"/>
          <w:szCs w:val="24"/>
          <w:lang w:val="fr-CA"/>
        </w:rPr>
      </w:pPr>
      <w:r w:rsidRPr="005476C3">
        <w:rPr>
          <w:rStyle w:val="Heading3Char"/>
          <w:lang w:val="fr-FR"/>
        </w:rPr>
        <w:t>Figure 1 : Délai de traitement des demandes</w:t>
      </w:r>
      <w:r w:rsidRPr="009C7D48">
        <w:rPr>
          <w:noProof/>
          <w:color w:val="FF0000"/>
          <w:sz w:val="24"/>
          <w:szCs w:val="24"/>
        </w:rPr>
        <w:drawing>
          <wp:inline distT="0" distB="0" distL="0" distR="0">
            <wp:extent cx="5947576" cy="3999506"/>
            <wp:effectExtent l="0" t="0" r="15240" b="20320"/>
            <wp:docPr id="6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476C3" w:rsidRPr="0047347E" w:rsidRDefault="005476C3" w:rsidP="005476C3">
      <w:pPr>
        <w:pStyle w:val="Heading4"/>
      </w:pPr>
      <w:r w:rsidRPr="0047347E">
        <w:t>Prorogations</w:t>
      </w:r>
    </w:p>
    <w:p w:rsidR="005476C3" w:rsidRPr="001F66AF" w:rsidRDefault="005476C3" w:rsidP="005476C3">
      <w:pPr>
        <w:jc w:val="both"/>
        <w:rPr>
          <w:lang w:val="fr-CA"/>
        </w:rPr>
      </w:pPr>
      <w:r w:rsidRPr="001F66AF">
        <w:rPr>
          <w:lang w:val="fr-CA"/>
        </w:rPr>
        <w:t>Le BCP a eu recours à 459 prorogations en 2014-2015 par rapport à 432 en 2013-2014. L’entrave au fonctionnement de l’institution (66,9 %) était la raison la plus fréquemment invoquée pour demander une prorogation, suivie des demandes de consultation (26,4 %).</w:t>
      </w:r>
    </w:p>
    <w:p w:rsidR="005476C3" w:rsidRPr="001F66AF" w:rsidRDefault="005476C3" w:rsidP="005476C3">
      <w:pPr>
        <w:jc w:val="both"/>
        <w:rPr>
          <w:lang w:val="fr-CA"/>
        </w:rPr>
      </w:pPr>
      <w:r w:rsidRPr="001F66AF">
        <w:rPr>
          <w:lang w:val="fr-CA"/>
        </w:rPr>
        <w:lastRenderedPageBreak/>
        <w:t>La figure 2 montre que 18,3 % des prorogations étaient de 30 jours ou moins, ce qui représente une légère augmentation de 3,7 % par rapport à la période précédente. La figure 2 montre également que le nombre de prorogations de 31 à 60 jours a diminué de 11,2 % par rapport à 2013-2014. De plus, 52,7 % des prorogations étaient de 61 à 120 jours, représentant une augmentation de 13,1 % par rapport à la période précédente.</w:t>
      </w:r>
    </w:p>
    <w:p w:rsidR="005476C3" w:rsidRPr="009C7D48" w:rsidRDefault="005476C3" w:rsidP="005476C3">
      <w:pPr>
        <w:rPr>
          <w:lang w:val="fr-CA"/>
        </w:rPr>
      </w:pPr>
      <w:r w:rsidRPr="005476C3">
        <w:rPr>
          <w:rStyle w:val="Heading3Char"/>
          <w:lang w:val="fr-FR"/>
        </w:rPr>
        <w:t>Figure 2 : Durée des prorogations</w:t>
      </w:r>
      <w:r w:rsidRPr="009C7D48">
        <w:rPr>
          <w:noProof/>
        </w:rPr>
        <w:drawing>
          <wp:inline distT="0" distB="0" distL="0" distR="0">
            <wp:extent cx="5947576" cy="3999506"/>
            <wp:effectExtent l="0" t="0" r="0" b="1270"/>
            <wp:docPr id="6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476C3" w:rsidRPr="0047347E" w:rsidRDefault="005476C3" w:rsidP="005476C3">
      <w:pPr>
        <w:pStyle w:val="Heading4"/>
      </w:pPr>
      <w:r>
        <w:t>Présomptions de refus</w:t>
      </w:r>
    </w:p>
    <w:p w:rsidR="005476C3" w:rsidRPr="001F66AF" w:rsidRDefault="005476C3" w:rsidP="005476C3">
      <w:pPr>
        <w:jc w:val="both"/>
        <w:rPr>
          <w:lang w:val="fr-CA"/>
        </w:rPr>
      </w:pPr>
      <w:r w:rsidRPr="001F66AF">
        <w:rPr>
          <w:lang w:val="fr-CA"/>
        </w:rPr>
        <w:t>En 2014-2015, 32 demandes ont été fermées après l’échéancier réglementaire, ce qui représente 4,7 % des demandes complétées. Ce résultat procure au BCP la note de « A »</w:t>
      </w:r>
      <w:r w:rsidRPr="001F66AF">
        <w:rPr>
          <w:rStyle w:val="FootnoteReference"/>
          <w:lang w:val="fr-CA"/>
        </w:rPr>
        <w:footnoteReference w:id="75"/>
      </w:r>
      <w:r w:rsidRPr="001F66AF">
        <w:rPr>
          <w:lang w:val="fr-CA"/>
        </w:rPr>
        <w:t>. Le nombre de demandes échues a toutefois doublé par rapport à la période précédente. Les consultations internes (46,9 %) étaient la raison la plus fréquemment invoquée pour expliquer ces retards en 2014-2015, suivies de la charge de travail (43,8 %).</w:t>
      </w:r>
    </w:p>
    <w:p w:rsidR="005476C3" w:rsidRPr="001F66AF" w:rsidRDefault="005476C3" w:rsidP="005476C3">
      <w:pPr>
        <w:jc w:val="both"/>
        <w:rPr>
          <w:lang w:val="fr-CA"/>
        </w:rPr>
      </w:pPr>
      <w:r w:rsidRPr="001F66AF">
        <w:rPr>
          <w:lang w:val="fr-CA"/>
        </w:rPr>
        <w:t>La figure 3 montre que 25,0 % des demandes échues étaient en retard de 30 jours ou moins, ce qui correspond à 8 demandes (le même nombre que lors de la période précédente). Cependant, la plupart des demandes échues étaient en retard de 61 à 120 jours (12 demandes).</w:t>
      </w:r>
    </w:p>
    <w:p w:rsidR="005476C3" w:rsidRPr="009C7D48" w:rsidRDefault="005476C3" w:rsidP="005476C3">
      <w:pPr>
        <w:rPr>
          <w:strike/>
          <w:lang w:val="fr-CA"/>
        </w:rPr>
      </w:pPr>
      <w:r w:rsidRPr="005476C3">
        <w:rPr>
          <w:rStyle w:val="Heading3Char"/>
          <w:lang w:val="fr-FR"/>
        </w:rPr>
        <w:lastRenderedPageBreak/>
        <w:t>Figure 3 : Retard des demandes échues</w:t>
      </w:r>
      <w:r w:rsidRPr="00234D28">
        <w:rPr>
          <w:strike/>
          <w:noProof/>
        </w:rPr>
        <w:drawing>
          <wp:inline distT="0" distB="0" distL="0" distR="0">
            <wp:extent cx="5860111" cy="3927945"/>
            <wp:effectExtent l="0" t="0" r="7620" b="0"/>
            <wp:docPr id="6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476C3" w:rsidRPr="0047347E" w:rsidRDefault="005476C3" w:rsidP="005476C3">
      <w:pPr>
        <w:pStyle w:val="Heading2"/>
      </w:pPr>
      <w:r w:rsidRPr="0047347E">
        <w:t>Divulgation</w:t>
      </w:r>
    </w:p>
    <w:p w:rsidR="005476C3" w:rsidRPr="0047347E" w:rsidRDefault="005476C3" w:rsidP="005476C3">
      <w:pPr>
        <w:pStyle w:val="Heading4"/>
      </w:pPr>
      <w:r w:rsidRPr="0047347E">
        <w:t>Pourcentage de demandes pour lesquelle</w:t>
      </w:r>
      <w:r>
        <w:t>s l’information a été divulguée</w:t>
      </w:r>
    </w:p>
    <w:p w:rsidR="005476C3" w:rsidRPr="009C7D48" w:rsidRDefault="005476C3" w:rsidP="005476C3">
      <w:pPr>
        <w:jc w:val="both"/>
        <w:rPr>
          <w:lang w:val="fr-CA"/>
        </w:rPr>
      </w:pPr>
      <w:r>
        <w:rPr>
          <w:lang w:val="fr-CA"/>
        </w:rPr>
        <w:t>En 2014-</w:t>
      </w:r>
      <w:r w:rsidRPr="009C7D48">
        <w:rPr>
          <w:lang w:val="fr-CA"/>
        </w:rPr>
        <w:t>2015, 4,6 % de toutes les demandes complétées ont fait l’objet d’une divulgation complète, soit près de deux fois plus que lors de la période précédente (voir figure 4). La figure 4 montre également que le taux de demandes faisant l’objet d’une divulgation partielle était de 58,5 % en 2014</w:t>
      </w:r>
      <w:r>
        <w:rPr>
          <w:lang w:val="fr-CA"/>
        </w:rPr>
        <w:t>-</w:t>
      </w:r>
      <w:r w:rsidRPr="009C7D48">
        <w:rPr>
          <w:lang w:val="fr-CA"/>
        </w:rPr>
        <w:t>2015, ce qui représente une augmentation de 5,1 % par rapport à</w:t>
      </w:r>
      <w:r>
        <w:rPr>
          <w:lang w:val="fr-CA"/>
        </w:rPr>
        <w:t xml:space="preserve"> 2013-</w:t>
      </w:r>
      <w:r w:rsidRPr="009C7D48">
        <w:rPr>
          <w:lang w:val="fr-CA"/>
        </w:rPr>
        <w:t>2014.</w:t>
      </w:r>
    </w:p>
    <w:p w:rsidR="005476C3" w:rsidRPr="009C7D48" w:rsidRDefault="005476C3" w:rsidP="005476C3">
      <w:pPr>
        <w:spacing w:line="240" w:lineRule="auto"/>
        <w:rPr>
          <w:lang w:val="fr-CA"/>
        </w:rPr>
      </w:pPr>
      <w:r w:rsidRPr="00957E09">
        <w:rPr>
          <w:rStyle w:val="Heading3Char"/>
          <w:lang w:val="fr-FR"/>
        </w:rPr>
        <w:lastRenderedPageBreak/>
        <w:t>Figure 4 : Niveau de divulgation</w:t>
      </w:r>
      <w:r w:rsidRPr="009C7D48">
        <w:rPr>
          <w:noProof/>
        </w:rPr>
        <w:drawing>
          <wp:inline distT="0" distB="0" distL="0" distR="0">
            <wp:extent cx="6042991" cy="3816626"/>
            <wp:effectExtent l="0" t="0" r="0" b="0"/>
            <wp:docPr id="6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476C3" w:rsidRPr="0047347E" w:rsidRDefault="005476C3" w:rsidP="005476C3">
      <w:pPr>
        <w:pStyle w:val="Heading4"/>
      </w:pPr>
      <w:r w:rsidRPr="0047347E">
        <w:t>Exceptions</w:t>
      </w:r>
    </w:p>
    <w:p w:rsidR="005476C3" w:rsidRPr="001F66AF" w:rsidRDefault="005476C3" w:rsidP="005476C3">
      <w:pPr>
        <w:jc w:val="both"/>
        <w:rPr>
          <w:lang w:val="fr-CA"/>
        </w:rPr>
      </w:pPr>
      <w:r w:rsidRPr="001F66AF">
        <w:rPr>
          <w:lang w:val="fr-CA"/>
        </w:rPr>
        <w:t>Le BCP a appliqué 1 502 exceptions en 2014</w:t>
      </w:r>
      <w:r>
        <w:rPr>
          <w:lang w:val="fr-CA"/>
        </w:rPr>
        <w:t>-</w:t>
      </w:r>
      <w:r w:rsidRPr="001F66AF">
        <w:rPr>
          <w:lang w:val="fr-CA"/>
        </w:rPr>
        <w:t>2015 par rapport à 1 226 l’année précédente. Le nombre d’exceptions par demande complétée a augmenté par rapport à la période précédente passant de 1,59</w:t>
      </w:r>
      <w:r>
        <w:rPr>
          <w:lang w:val="fr-CA"/>
        </w:rPr>
        <w:t xml:space="preserve"> en 2013-</w:t>
      </w:r>
      <w:r w:rsidRPr="001F66AF">
        <w:rPr>
          <w:lang w:val="fr-CA"/>
        </w:rPr>
        <w:t xml:space="preserve">2014 à </w:t>
      </w:r>
      <w:r>
        <w:rPr>
          <w:lang w:val="fr-CA"/>
        </w:rPr>
        <w:t>2,2 en 2014-</w:t>
      </w:r>
      <w:r w:rsidRPr="001F66AF">
        <w:rPr>
          <w:lang w:val="fr-CA"/>
        </w:rPr>
        <w:t>2015 (voir tableau 2).</w:t>
      </w:r>
    </w:p>
    <w:p w:rsidR="005476C3" w:rsidRPr="001F66AF" w:rsidRDefault="005476C3" w:rsidP="005476C3">
      <w:pPr>
        <w:jc w:val="both"/>
        <w:rPr>
          <w:lang w:val="fr-CA"/>
        </w:rPr>
      </w:pPr>
      <w:r w:rsidRPr="001F66AF">
        <w:rPr>
          <w:lang w:val="fr-CA"/>
        </w:rPr>
        <w:t>Les exceptions les plu</w:t>
      </w:r>
      <w:r>
        <w:rPr>
          <w:lang w:val="fr-CA"/>
        </w:rPr>
        <w:t>s fréquemment invoquées en 2014-</w:t>
      </w:r>
      <w:r w:rsidRPr="001F66AF">
        <w:rPr>
          <w:lang w:val="fr-CA"/>
        </w:rPr>
        <w:t>2015 étaient l’article 21 (les activités du gouvernement) (35,9 %), l’article 19 (les renseignements personnels) (22,8 %) et l’article 15 (les affaires internationales et la défense) (9,7 %).</w:t>
      </w:r>
    </w:p>
    <w:p w:rsidR="005476C3" w:rsidRPr="009C7D48" w:rsidRDefault="005476C3" w:rsidP="00BA2BE8">
      <w:pPr>
        <w:pStyle w:val="Heading3"/>
      </w:pPr>
      <w:r w:rsidRPr="009C7D48">
        <w:t xml:space="preserve">Tableau </w:t>
      </w:r>
      <w:proofErr w:type="gramStart"/>
      <w:r w:rsidRPr="009C7D48">
        <w:t>2 :</w:t>
      </w:r>
      <w:proofErr w:type="gramEnd"/>
      <w:r w:rsidRPr="009C7D48">
        <w:t xml:space="preserve"> Exceptions</w:t>
      </w:r>
    </w:p>
    <w:tbl>
      <w:tblPr>
        <w:tblW w:w="9699" w:type="dxa"/>
        <w:tblInd w:w="98" w:type="dxa"/>
        <w:tblLook w:val="04A0"/>
      </w:tblPr>
      <w:tblGrid>
        <w:gridCol w:w="5571"/>
        <w:gridCol w:w="1376"/>
        <w:gridCol w:w="1376"/>
        <w:gridCol w:w="1376"/>
      </w:tblGrid>
      <w:tr w:rsidR="005476C3" w:rsidRPr="009C7D48" w:rsidTr="005476C3">
        <w:trPr>
          <w:trHeight w:val="312"/>
        </w:trPr>
        <w:tc>
          <w:tcPr>
            <w:tcW w:w="5571" w:type="dxa"/>
            <w:tcBorders>
              <w:top w:val="single" w:sz="8" w:space="0" w:color="auto"/>
              <w:left w:val="single" w:sz="8" w:space="0" w:color="auto"/>
              <w:bottom w:val="single" w:sz="8" w:space="0" w:color="auto"/>
              <w:right w:val="nil"/>
            </w:tcBorders>
            <w:shd w:val="clear" w:color="000000" w:fill="DBE5F1"/>
            <w:noWrap/>
            <w:vAlign w:val="bottom"/>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 xml:space="preserve">Exceptions </w:t>
            </w:r>
          </w:p>
        </w:tc>
        <w:tc>
          <w:tcPr>
            <w:tcW w:w="1376" w:type="dxa"/>
            <w:tcBorders>
              <w:top w:val="single" w:sz="8" w:space="0" w:color="auto"/>
              <w:left w:val="nil"/>
              <w:bottom w:val="single" w:sz="8" w:space="0" w:color="auto"/>
              <w:right w:val="nil"/>
            </w:tcBorders>
            <w:shd w:val="clear" w:color="000000" w:fill="DBE5F1"/>
            <w:noWrap/>
            <w:vAlign w:val="bottom"/>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2012-2013</w:t>
            </w:r>
          </w:p>
        </w:tc>
        <w:tc>
          <w:tcPr>
            <w:tcW w:w="1376" w:type="dxa"/>
            <w:tcBorders>
              <w:top w:val="single" w:sz="8" w:space="0" w:color="auto"/>
              <w:left w:val="nil"/>
              <w:bottom w:val="single" w:sz="8" w:space="0" w:color="auto"/>
              <w:right w:val="nil"/>
            </w:tcBorders>
            <w:shd w:val="clear" w:color="000000" w:fill="DBE5F1"/>
            <w:noWrap/>
            <w:vAlign w:val="bottom"/>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2013-2014</w:t>
            </w:r>
          </w:p>
        </w:tc>
        <w:tc>
          <w:tcPr>
            <w:tcW w:w="1376" w:type="dxa"/>
            <w:tcBorders>
              <w:top w:val="single" w:sz="8" w:space="0" w:color="auto"/>
              <w:left w:val="nil"/>
              <w:bottom w:val="single" w:sz="8" w:space="0" w:color="auto"/>
              <w:right w:val="single" w:sz="8" w:space="0" w:color="auto"/>
            </w:tcBorders>
            <w:shd w:val="clear" w:color="000000" w:fill="DBE5F1"/>
            <w:noWrap/>
            <w:vAlign w:val="bottom"/>
            <w:hideMark/>
          </w:tcPr>
          <w:p w:rsidR="005476C3" w:rsidRPr="009C7D48" w:rsidRDefault="005476C3" w:rsidP="005476C3">
            <w:pPr>
              <w:spacing w:after="0" w:line="240" w:lineRule="auto"/>
              <w:jc w:val="center"/>
              <w:rPr>
                <w:rFonts w:ascii="Calibri" w:eastAsia="Times New Roman" w:hAnsi="Calibri" w:cs="Times New Roman"/>
                <w:b/>
                <w:bCs/>
                <w:color w:val="000000"/>
                <w:lang w:val="fr-CA"/>
              </w:rPr>
            </w:pPr>
            <w:r w:rsidRPr="009C7D48">
              <w:rPr>
                <w:rFonts w:ascii="Calibri" w:eastAsia="Times New Roman" w:hAnsi="Calibri" w:cs="Times New Roman"/>
                <w:b/>
                <w:bCs/>
                <w:color w:val="000000"/>
                <w:lang w:val="fr-CA"/>
              </w:rPr>
              <w:t>2014-2015</w:t>
            </w:r>
          </w:p>
        </w:tc>
      </w:tr>
      <w:tr w:rsidR="005476C3" w:rsidRPr="009C7D48" w:rsidTr="005476C3">
        <w:trPr>
          <w:trHeight w:val="297"/>
        </w:trPr>
        <w:tc>
          <w:tcPr>
            <w:tcW w:w="5571" w:type="dxa"/>
            <w:tcBorders>
              <w:top w:val="nil"/>
              <w:left w:val="single" w:sz="8" w:space="0" w:color="auto"/>
              <w:bottom w:val="nil"/>
              <w:right w:val="nil"/>
            </w:tcBorders>
            <w:shd w:val="clear" w:color="auto" w:fill="auto"/>
            <w:noWrap/>
            <w:vAlign w:val="bottom"/>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Nombre total d’exceptions</w:t>
            </w:r>
          </w:p>
        </w:tc>
        <w:tc>
          <w:tcPr>
            <w:tcW w:w="1376" w:type="dxa"/>
            <w:tcBorders>
              <w:top w:val="nil"/>
              <w:left w:val="nil"/>
              <w:bottom w:val="nil"/>
              <w:right w:val="nil"/>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835</w:t>
            </w:r>
          </w:p>
        </w:tc>
        <w:tc>
          <w:tcPr>
            <w:tcW w:w="1376" w:type="dxa"/>
            <w:tcBorders>
              <w:top w:val="nil"/>
              <w:left w:val="nil"/>
              <w:bottom w:val="nil"/>
              <w:right w:val="nil"/>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1 226</w:t>
            </w:r>
          </w:p>
        </w:tc>
        <w:tc>
          <w:tcPr>
            <w:tcW w:w="1376" w:type="dxa"/>
            <w:tcBorders>
              <w:top w:val="nil"/>
              <w:left w:val="nil"/>
              <w:bottom w:val="nil"/>
              <w:right w:val="single" w:sz="8" w:space="0" w:color="auto"/>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1 502</w:t>
            </w:r>
          </w:p>
        </w:tc>
      </w:tr>
      <w:tr w:rsidR="005476C3" w:rsidRPr="009C7D48" w:rsidTr="005476C3">
        <w:trPr>
          <w:trHeight w:val="297"/>
        </w:trPr>
        <w:tc>
          <w:tcPr>
            <w:tcW w:w="5571" w:type="dxa"/>
            <w:tcBorders>
              <w:top w:val="nil"/>
              <w:left w:val="single" w:sz="8" w:space="0" w:color="auto"/>
              <w:bottom w:val="nil"/>
              <w:right w:val="nil"/>
            </w:tcBorders>
            <w:shd w:val="clear" w:color="auto" w:fill="auto"/>
            <w:noWrap/>
            <w:vAlign w:val="bottom"/>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376" w:type="dxa"/>
            <w:tcBorders>
              <w:top w:val="nil"/>
              <w:left w:val="nil"/>
              <w:bottom w:val="nil"/>
              <w:right w:val="nil"/>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725</w:t>
            </w:r>
          </w:p>
        </w:tc>
        <w:tc>
          <w:tcPr>
            <w:tcW w:w="1376" w:type="dxa"/>
            <w:tcBorders>
              <w:top w:val="nil"/>
              <w:left w:val="nil"/>
              <w:bottom w:val="nil"/>
              <w:right w:val="nil"/>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772</w:t>
            </w:r>
          </w:p>
        </w:tc>
        <w:tc>
          <w:tcPr>
            <w:tcW w:w="1376" w:type="dxa"/>
            <w:tcBorders>
              <w:top w:val="nil"/>
              <w:left w:val="nil"/>
              <w:bottom w:val="nil"/>
              <w:right w:val="single" w:sz="8" w:space="0" w:color="auto"/>
            </w:tcBorders>
            <w:shd w:val="clear" w:color="auto" w:fill="auto"/>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677</w:t>
            </w:r>
          </w:p>
        </w:tc>
      </w:tr>
      <w:tr w:rsidR="005476C3" w:rsidRPr="009C7D48" w:rsidTr="005476C3">
        <w:trPr>
          <w:trHeight w:val="312"/>
        </w:trPr>
        <w:tc>
          <w:tcPr>
            <w:tcW w:w="5571" w:type="dxa"/>
            <w:tcBorders>
              <w:top w:val="nil"/>
              <w:left w:val="single" w:sz="8" w:space="0" w:color="auto"/>
              <w:bottom w:val="single" w:sz="8" w:space="0" w:color="auto"/>
              <w:right w:val="nil"/>
            </w:tcBorders>
            <w:shd w:val="clear" w:color="000000" w:fill="DBE5F1"/>
            <w:noWrap/>
            <w:vAlign w:val="bottom"/>
            <w:hideMark/>
          </w:tcPr>
          <w:p w:rsidR="005476C3" w:rsidRPr="009C7D48" w:rsidRDefault="005476C3" w:rsidP="005476C3">
            <w:pPr>
              <w:spacing w:after="0" w:line="240" w:lineRule="auto"/>
              <w:rPr>
                <w:rFonts w:ascii="Calibri" w:eastAsia="Times New Roman" w:hAnsi="Calibri" w:cs="Times New Roman"/>
                <w:color w:val="000000"/>
                <w:lang w:val="fr-CA"/>
              </w:rPr>
            </w:pPr>
            <w:r w:rsidRPr="009C7D48">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376" w:type="dxa"/>
            <w:tcBorders>
              <w:top w:val="nil"/>
              <w:left w:val="nil"/>
              <w:bottom w:val="single" w:sz="8" w:space="0" w:color="auto"/>
              <w:right w:val="nil"/>
            </w:tcBorders>
            <w:shd w:val="clear" w:color="000000" w:fill="DBE5F1"/>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1,15</w:t>
            </w:r>
          </w:p>
        </w:tc>
        <w:tc>
          <w:tcPr>
            <w:tcW w:w="1376" w:type="dxa"/>
            <w:tcBorders>
              <w:top w:val="nil"/>
              <w:left w:val="nil"/>
              <w:bottom w:val="single" w:sz="8" w:space="0" w:color="auto"/>
              <w:right w:val="nil"/>
            </w:tcBorders>
            <w:shd w:val="clear" w:color="000000" w:fill="DBE5F1"/>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1,59</w:t>
            </w:r>
          </w:p>
        </w:tc>
        <w:tc>
          <w:tcPr>
            <w:tcW w:w="1376" w:type="dxa"/>
            <w:tcBorders>
              <w:top w:val="nil"/>
              <w:left w:val="nil"/>
              <w:bottom w:val="single" w:sz="8" w:space="0" w:color="auto"/>
              <w:right w:val="single" w:sz="8" w:space="0" w:color="auto"/>
            </w:tcBorders>
            <w:shd w:val="clear" w:color="000000" w:fill="DBE5F1"/>
            <w:noWrap/>
            <w:vAlign w:val="bottom"/>
            <w:hideMark/>
          </w:tcPr>
          <w:p w:rsidR="005476C3" w:rsidRPr="009C7D48" w:rsidRDefault="005476C3" w:rsidP="005476C3">
            <w:pPr>
              <w:spacing w:after="0" w:line="240" w:lineRule="auto"/>
              <w:jc w:val="center"/>
              <w:rPr>
                <w:rFonts w:ascii="Calibri" w:eastAsia="Times New Roman" w:hAnsi="Calibri" w:cs="Times New Roman"/>
                <w:color w:val="000000"/>
                <w:lang w:val="fr-CA"/>
              </w:rPr>
            </w:pPr>
            <w:r w:rsidRPr="009C7D48">
              <w:rPr>
                <w:rFonts w:ascii="Calibri" w:eastAsia="Times New Roman" w:hAnsi="Calibri" w:cs="Times New Roman"/>
                <w:color w:val="000000"/>
                <w:lang w:val="fr-CA"/>
              </w:rPr>
              <w:t>2,22</w:t>
            </w:r>
          </w:p>
        </w:tc>
      </w:tr>
    </w:tbl>
    <w:p w:rsidR="00BA2BE8" w:rsidRDefault="00BA2BE8" w:rsidP="005476C3">
      <w:pPr>
        <w:pStyle w:val="Heading2"/>
        <w:spacing w:before="240"/>
      </w:pPr>
    </w:p>
    <w:p w:rsidR="00BA2BE8" w:rsidRDefault="00BA2BE8" w:rsidP="00BA2BE8">
      <w:pPr>
        <w:rPr>
          <w:lang w:val="fr-CA"/>
        </w:rPr>
      </w:pPr>
      <w:r>
        <w:br w:type="page"/>
      </w:r>
    </w:p>
    <w:p w:rsidR="005476C3" w:rsidRPr="0047347E" w:rsidRDefault="005476C3" w:rsidP="005476C3">
      <w:pPr>
        <w:pStyle w:val="Heading2"/>
        <w:spacing w:before="240"/>
      </w:pPr>
      <w:r w:rsidRPr="0047347E">
        <w:lastRenderedPageBreak/>
        <w:t>Plaintes au Commissariat à l’information</w:t>
      </w:r>
    </w:p>
    <w:p w:rsidR="005476C3" w:rsidRDefault="005476C3" w:rsidP="005476C3">
      <w:pPr>
        <w:jc w:val="both"/>
        <w:rPr>
          <w:lang w:val="fr-CA"/>
        </w:rPr>
      </w:pPr>
      <w:r w:rsidRPr="009C7D48">
        <w:rPr>
          <w:lang w:val="fr-CA"/>
        </w:rPr>
        <w:t>Le nombre de plaintes reçues concernant le BCP était de 35</w:t>
      </w:r>
      <w:r>
        <w:rPr>
          <w:rStyle w:val="FootnoteReference"/>
          <w:lang w:val="fr-CA"/>
        </w:rPr>
        <w:footnoteReference w:id="76"/>
      </w:r>
      <w:r w:rsidRPr="009C7D48">
        <w:rPr>
          <w:lang w:val="fr-CA"/>
        </w:rPr>
        <w:t xml:space="preserve">, soit un résultat similaire aux 33 reçues en 2013-2014. La part des plaintes de nature administrative était de 35,1 % au cours de la période de référence actuelle, soit une légère augmentation </w:t>
      </w:r>
      <w:r>
        <w:rPr>
          <w:lang w:val="fr-CA"/>
        </w:rPr>
        <w:t>comparé au 31,2 % de la</w:t>
      </w:r>
      <w:r w:rsidRPr="009C7D48">
        <w:rPr>
          <w:lang w:val="fr-CA"/>
        </w:rPr>
        <w:t xml:space="preserve"> période précédente</w:t>
      </w:r>
      <w:r>
        <w:rPr>
          <w:lang w:val="fr-CA"/>
        </w:rPr>
        <w:t>.</w:t>
      </w:r>
    </w:p>
    <w:p w:rsidR="005476C3" w:rsidRPr="006179E2" w:rsidRDefault="005476C3" w:rsidP="005476C3">
      <w:pPr>
        <w:jc w:val="both"/>
        <w:rPr>
          <w:lang w:val="fr-CA"/>
        </w:rPr>
      </w:pPr>
      <w:r w:rsidRPr="009C7D48">
        <w:rPr>
          <w:lang w:val="fr-CA"/>
        </w:rPr>
        <w:t xml:space="preserve">Environ 31 % des plaintes étaient fondées et ont été réglées, soit moins que </w:t>
      </w:r>
      <w:r>
        <w:rPr>
          <w:lang w:val="fr-CA"/>
        </w:rPr>
        <w:t>ce qui a été observé en 2013-</w:t>
      </w:r>
      <w:r w:rsidRPr="009C7D48">
        <w:rPr>
          <w:lang w:val="fr-CA"/>
        </w:rPr>
        <w:t>2014</w:t>
      </w:r>
      <w:r>
        <w:rPr>
          <w:lang w:val="fr-CA"/>
        </w:rPr>
        <w:t xml:space="preserve"> (39,5 %)</w:t>
      </w:r>
      <w:r w:rsidRPr="009C7D48">
        <w:rPr>
          <w:lang w:val="fr-CA"/>
        </w:rPr>
        <w:t xml:space="preserve">. De plus, 29,6 % des plaintes ont été abandonnées et 37 % </w:t>
      </w:r>
      <w:r>
        <w:rPr>
          <w:lang w:val="fr-CA"/>
        </w:rPr>
        <w:t>étaient encore en suspens.</w:t>
      </w:r>
    </w:p>
    <w:p w:rsidR="00BA2BE8" w:rsidRDefault="00BA2BE8">
      <w:pPr>
        <w:rPr>
          <w:lang w:val="fr-CA"/>
        </w:rPr>
      </w:pPr>
      <w:r>
        <w:rPr>
          <w:lang w:val="fr-CA"/>
        </w:rPr>
        <w:br w:type="page"/>
      </w:r>
    </w:p>
    <w:p w:rsidR="00BA2BE8" w:rsidRPr="002212DF" w:rsidRDefault="00BA2BE8" w:rsidP="00BA2BE8">
      <w:pPr>
        <w:pStyle w:val="Heading1"/>
      </w:pPr>
      <w:r w:rsidRPr="002212DF">
        <w:lastRenderedPageBreak/>
        <w:t>Service correctionnel du Canada</w:t>
      </w:r>
    </w:p>
    <w:p w:rsidR="00BA2BE8" w:rsidRPr="002212DF" w:rsidRDefault="00BA2BE8" w:rsidP="00BA2BE8">
      <w:pPr>
        <w:jc w:val="both"/>
        <w:rPr>
          <w:b/>
          <w:lang w:val="fr-CA"/>
        </w:rPr>
      </w:pPr>
      <w:r w:rsidRPr="002212DF">
        <w:rPr>
          <w:rStyle w:val="Heading2Char"/>
        </w:rPr>
        <w:t>Rendement global</w:t>
      </w:r>
      <w:r w:rsidRPr="00757D16">
        <w:rPr>
          <w:rStyle w:val="FootnoteReference"/>
          <w:b/>
          <w:lang w:val="fr-CA"/>
        </w:rPr>
        <w:footnoteReference w:id="77"/>
      </w:r>
    </w:p>
    <w:p w:rsidR="00BA2BE8" w:rsidRPr="00757D16" w:rsidRDefault="00BA2BE8" w:rsidP="00BA2BE8">
      <w:pPr>
        <w:jc w:val="both"/>
        <w:rPr>
          <w:lang w:val="fr-CA"/>
        </w:rPr>
      </w:pPr>
      <w:r w:rsidRPr="0096787A">
        <w:rPr>
          <w:lang w:val="fr-CA"/>
        </w:rPr>
        <w:t>Le Service correctionnel du Canada (SCC) a connu une diminution de 11,9 % pour ce qui est du nombre de demandes reçues et a observé une diminution de 7,3 % au niveau du nombre de demandes complétées en 30 jours ou moins. Le présent rapport contient des statistiques comparatives pour les trois dernières périodes (2012 à 2015).</w:t>
      </w:r>
    </w:p>
    <w:p w:rsidR="00BA2BE8" w:rsidRPr="002212DF" w:rsidRDefault="00BA2BE8" w:rsidP="00BA2BE8">
      <w:pPr>
        <w:pStyle w:val="Heading2"/>
      </w:pPr>
      <w:r w:rsidRPr="002212DF">
        <w:t>Charge de travail</w:t>
      </w:r>
    </w:p>
    <w:p w:rsidR="00BA2BE8" w:rsidRPr="00757D16" w:rsidRDefault="00BA2BE8" w:rsidP="00BA2BE8">
      <w:pPr>
        <w:jc w:val="both"/>
        <w:rPr>
          <w:lang w:val="fr-CA"/>
        </w:rPr>
      </w:pPr>
      <w:r w:rsidRPr="00832F70">
        <w:rPr>
          <w:lang w:val="fr-CA"/>
        </w:rPr>
        <w:t xml:space="preserve">Le SCC a reçu 555 demandes en vertu de la </w:t>
      </w:r>
      <w:r w:rsidRPr="00832F70">
        <w:rPr>
          <w:i/>
          <w:lang w:val="fr-CA"/>
        </w:rPr>
        <w:t>Loi sur l’accès à l‘information</w:t>
      </w:r>
      <w:r w:rsidRPr="00832F70">
        <w:rPr>
          <w:lang w:val="fr-CA"/>
        </w:rPr>
        <w:t xml:space="preserve"> (la </w:t>
      </w:r>
      <w:r w:rsidRPr="00832F70">
        <w:rPr>
          <w:i/>
          <w:lang w:val="fr-CA"/>
        </w:rPr>
        <w:t>Loi</w:t>
      </w:r>
      <w:r w:rsidRPr="007A10EA">
        <w:rPr>
          <w:lang w:val="fr-CA"/>
        </w:rPr>
        <w:t>),</w:t>
      </w:r>
      <w:r w:rsidRPr="00832F70">
        <w:rPr>
          <w:lang w:val="fr-CA"/>
        </w:rPr>
        <w:t xml:space="preserve"> représentant 0,8 % du nombre total de demandes reçues à l’échelle du gouvernement en 2014</w:t>
      </w:r>
      <w:r>
        <w:rPr>
          <w:lang w:val="fr-CA"/>
        </w:rPr>
        <w:t>-</w:t>
      </w:r>
      <w:r w:rsidRPr="00832F70">
        <w:rPr>
          <w:lang w:val="fr-CA"/>
        </w:rPr>
        <w:t xml:space="preserve">2015. </w:t>
      </w:r>
      <w:r>
        <w:rPr>
          <w:lang w:val="fr-CA"/>
        </w:rPr>
        <w:t>En 2013-</w:t>
      </w:r>
      <w:r w:rsidRPr="00832F70">
        <w:rPr>
          <w:lang w:val="fr-CA"/>
        </w:rPr>
        <w:t>2014, le SCC a reçu 630 demandes, soit 11,9 % de plus que cette année. La majorité des demandes reçues par le SCC venaient du public</w:t>
      </w:r>
      <w:r>
        <w:rPr>
          <w:lang w:val="fr-CA"/>
        </w:rPr>
        <w:t xml:space="preserve"> (67,2</w:t>
      </w:r>
      <w:r w:rsidRPr="00832F70">
        <w:rPr>
          <w:lang w:val="fr-CA"/>
        </w:rPr>
        <w:t> %), su</w:t>
      </w:r>
      <w:r>
        <w:rPr>
          <w:lang w:val="fr-CA"/>
        </w:rPr>
        <w:t>ivies de celles des médias (24,7</w:t>
      </w:r>
      <w:r w:rsidRPr="00832F70">
        <w:rPr>
          <w:lang w:val="fr-CA"/>
        </w:rPr>
        <w:t> %). Les demandes du public ont chuté de 19 % par rapport à 2013</w:t>
      </w:r>
      <w:r>
        <w:rPr>
          <w:lang w:val="fr-CA"/>
        </w:rPr>
        <w:t>-</w:t>
      </w:r>
      <w:r w:rsidRPr="00832F70">
        <w:rPr>
          <w:lang w:val="fr-CA"/>
        </w:rPr>
        <w:t>2014, alors que les demandes des médias ont augmenté de</w:t>
      </w:r>
      <w:r w:rsidRPr="00757D16">
        <w:rPr>
          <w:lang w:val="fr-CA"/>
        </w:rPr>
        <w:t xml:space="preserve"> 15,1 </w:t>
      </w:r>
      <w:r>
        <w:rPr>
          <w:lang w:val="fr-CA"/>
        </w:rPr>
        <w:t>%.</w:t>
      </w:r>
    </w:p>
    <w:p w:rsidR="00BA2BE8" w:rsidRPr="00832F70" w:rsidRDefault="00BA2BE8" w:rsidP="00BA2BE8">
      <w:pPr>
        <w:jc w:val="both"/>
        <w:rPr>
          <w:lang w:val="fr-CA"/>
        </w:rPr>
      </w:pPr>
      <w:r w:rsidRPr="00757D16">
        <w:rPr>
          <w:lang w:val="fr-CA"/>
        </w:rPr>
        <w:t xml:space="preserve">Le SCC a </w:t>
      </w:r>
      <w:r>
        <w:rPr>
          <w:lang w:val="fr-CA"/>
        </w:rPr>
        <w:t>complété</w:t>
      </w:r>
      <w:r w:rsidRPr="00757D16">
        <w:rPr>
          <w:lang w:val="fr-CA"/>
        </w:rPr>
        <w:t xml:space="preserve"> 517 demandes pour cette période de référence. Le taux d’achèvement</w:t>
      </w:r>
      <w:r>
        <w:rPr>
          <w:rStyle w:val="FootnoteReference"/>
          <w:lang w:val="fr-CA"/>
        </w:rPr>
        <w:footnoteReference w:id="78"/>
      </w:r>
      <w:r w:rsidRPr="00757D16">
        <w:rPr>
          <w:lang w:val="fr-CA"/>
        </w:rPr>
        <w:t xml:space="preserve"> était de 70,1 %, soit inférieur à celui rapporté pour l’ensemble du gouvernement</w:t>
      </w:r>
      <w:r>
        <w:rPr>
          <w:lang w:val="fr-CA"/>
        </w:rPr>
        <w:t xml:space="preserve"> qui lui, était de 85,1 %</w:t>
      </w:r>
      <w:r w:rsidRPr="00757D16">
        <w:rPr>
          <w:lang w:val="fr-CA"/>
        </w:rPr>
        <w:t>. En 2013</w:t>
      </w:r>
      <w:r>
        <w:rPr>
          <w:lang w:val="fr-CA"/>
        </w:rPr>
        <w:t>-</w:t>
      </w:r>
      <w:r w:rsidRPr="00757D16">
        <w:rPr>
          <w:lang w:val="fr-CA"/>
        </w:rPr>
        <w:t>2014, le taux d’achèvement pour le SCC était de 77,</w:t>
      </w:r>
      <w:r>
        <w:rPr>
          <w:lang w:val="fr-CA"/>
        </w:rPr>
        <w:t>3</w:t>
      </w:r>
      <w:r w:rsidRPr="00757D16">
        <w:rPr>
          <w:lang w:val="fr-CA"/>
        </w:rPr>
        <w:t> %.</w:t>
      </w:r>
      <w:r>
        <w:rPr>
          <w:lang w:val="fr-CA"/>
        </w:rPr>
        <w:t xml:space="preserve"> </w:t>
      </w:r>
      <w:r w:rsidRPr="00757D16">
        <w:rPr>
          <w:lang w:val="fr-CA"/>
        </w:rPr>
        <w:t xml:space="preserve">SCC </w:t>
      </w:r>
      <w:r>
        <w:rPr>
          <w:lang w:val="fr-CA"/>
        </w:rPr>
        <w:t xml:space="preserve">a aussi </w:t>
      </w:r>
      <w:r w:rsidRPr="00757D16">
        <w:rPr>
          <w:lang w:val="fr-CA"/>
        </w:rPr>
        <w:t>reçu 117 demandes</w:t>
      </w:r>
      <w:r>
        <w:rPr>
          <w:lang w:val="fr-CA"/>
        </w:rPr>
        <w:t xml:space="preserve"> </w:t>
      </w:r>
      <w:r w:rsidRPr="00757D16">
        <w:rPr>
          <w:lang w:val="fr-CA"/>
        </w:rPr>
        <w:t xml:space="preserve"> informelles en 2014</w:t>
      </w:r>
      <w:r>
        <w:rPr>
          <w:lang w:val="fr-CA"/>
        </w:rPr>
        <w:t>-</w:t>
      </w:r>
      <w:r w:rsidRPr="00757D16">
        <w:rPr>
          <w:lang w:val="fr-CA"/>
        </w:rPr>
        <w:t xml:space="preserve">2015, dont </w:t>
      </w:r>
      <w:r>
        <w:rPr>
          <w:lang w:val="fr-CA"/>
        </w:rPr>
        <w:t>47,9</w:t>
      </w:r>
      <w:r w:rsidRPr="00757D16">
        <w:rPr>
          <w:lang w:val="fr-CA"/>
        </w:rPr>
        <w:t xml:space="preserve"> % </w:t>
      </w:r>
      <w:r>
        <w:rPr>
          <w:lang w:val="fr-CA"/>
        </w:rPr>
        <w:t xml:space="preserve">qui </w:t>
      </w:r>
      <w:r w:rsidRPr="00757D16">
        <w:rPr>
          <w:lang w:val="fr-CA"/>
        </w:rPr>
        <w:t xml:space="preserve">ont été </w:t>
      </w:r>
      <w:r>
        <w:rPr>
          <w:lang w:val="fr-CA"/>
        </w:rPr>
        <w:t>complétées</w:t>
      </w:r>
      <w:r w:rsidRPr="00757D16">
        <w:rPr>
          <w:lang w:val="fr-CA"/>
        </w:rPr>
        <w:t xml:space="preserve"> en 30 jours</w:t>
      </w:r>
      <w:r>
        <w:rPr>
          <w:lang w:val="fr-CA"/>
        </w:rPr>
        <w:t xml:space="preserve"> ou moins</w:t>
      </w:r>
      <w:r w:rsidRPr="00757D16">
        <w:rPr>
          <w:lang w:val="fr-CA"/>
        </w:rPr>
        <w:t xml:space="preserve">. </w:t>
      </w:r>
      <w:r w:rsidRPr="00832F70">
        <w:rPr>
          <w:lang w:val="fr-CA"/>
        </w:rPr>
        <w:t>Le nombre de demandes de consultation reçues par SCC en provenance d’autres institutions fédérales a diminué de 119 à 88, ce qui représente une bais</w:t>
      </w:r>
      <w:r>
        <w:rPr>
          <w:lang w:val="fr-CA"/>
        </w:rPr>
        <w:t>se de 26,1 % par rapport à 2013-</w:t>
      </w:r>
      <w:r w:rsidRPr="00832F70">
        <w:rPr>
          <w:lang w:val="fr-CA"/>
        </w:rPr>
        <w:t>2014.</w:t>
      </w:r>
    </w:p>
    <w:p w:rsidR="00BA2BE8" w:rsidRPr="00757D16" w:rsidRDefault="00BA2BE8" w:rsidP="00BA2BE8">
      <w:pPr>
        <w:jc w:val="both"/>
        <w:rPr>
          <w:lang w:val="fr-CA"/>
        </w:rPr>
      </w:pPr>
      <w:r w:rsidRPr="00832F70">
        <w:rPr>
          <w:lang w:val="fr-CA"/>
        </w:rPr>
        <w:t>En 2014</w:t>
      </w:r>
      <w:r>
        <w:rPr>
          <w:lang w:val="fr-CA"/>
        </w:rPr>
        <w:t>-</w:t>
      </w:r>
      <w:r w:rsidRPr="00832F70">
        <w:rPr>
          <w:lang w:val="fr-CA"/>
        </w:rPr>
        <w:t xml:space="preserve">2015, le SCC a traité 71 805 pages par rapport à </w:t>
      </w:r>
      <w:r>
        <w:rPr>
          <w:lang w:val="fr-CA"/>
        </w:rPr>
        <w:t>51 632</w:t>
      </w:r>
      <w:r w:rsidRPr="00832F70">
        <w:rPr>
          <w:lang w:val="fr-CA"/>
        </w:rPr>
        <w:t xml:space="preserve"> en 2013-2014 Le nombre</w:t>
      </w:r>
      <w:r w:rsidRPr="00757D16">
        <w:rPr>
          <w:lang w:val="fr-CA"/>
        </w:rPr>
        <w:t xml:space="preserve"> moyen de pages traitées par demande </w:t>
      </w:r>
      <w:r>
        <w:rPr>
          <w:lang w:val="fr-CA"/>
        </w:rPr>
        <w:t>complétée</w:t>
      </w:r>
      <w:r w:rsidRPr="00757D16">
        <w:rPr>
          <w:lang w:val="fr-CA"/>
        </w:rPr>
        <w:t xml:space="preserve"> </w:t>
      </w:r>
      <w:r>
        <w:rPr>
          <w:lang w:val="fr-CA"/>
        </w:rPr>
        <w:t>est passé de 104 en 2013-2014 à 153 en 2014-</w:t>
      </w:r>
      <w:r w:rsidRPr="00757D16">
        <w:rPr>
          <w:lang w:val="fr-CA"/>
        </w:rPr>
        <w:t>2015.</w:t>
      </w:r>
    </w:p>
    <w:p w:rsidR="00BA2BE8" w:rsidRDefault="00BA2BE8" w:rsidP="00BA2BE8">
      <w:pPr>
        <w:jc w:val="both"/>
        <w:rPr>
          <w:lang w:val="fr-CA"/>
        </w:rPr>
      </w:pPr>
      <w:r w:rsidRPr="00757D16">
        <w:rPr>
          <w:lang w:val="fr-CA"/>
        </w:rPr>
        <w:t xml:space="preserve">L’information diffusée par le SCC était </w:t>
      </w:r>
      <w:r>
        <w:rPr>
          <w:color w:val="000000" w:themeColor="text1"/>
          <w:lang w:val="fr-CA"/>
        </w:rPr>
        <w:t>majoritairement</w:t>
      </w:r>
      <w:r w:rsidRPr="00757D16">
        <w:rPr>
          <w:lang w:val="fr-CA"/>
        </w:rPr>
        <w:t xml:space="preserve"> en format papier</w:t>
      </w:r>
      <w:r>
        <w:rPr>
          <w:lang w:val="fr-CA"/>
        </w:rPr>
        <w:t>:</w:t>
      </w:r>
      <w:r w:rsidRPr="00757D16">
        <w:rPr>
          <w:lang w:val="fr-CA"/>
        </w:rPr>
        <w:t xml:space="preserve"> </w:t>
      </w:r>
      <w:r>
        <w:rPr>
          <w:lang w:val="fr-CA"/>
        </w:rPr>
        <w:t xml:space="preserve">288 demandes en format papier </w:t>
      </w:r>
      <w:r w:rsidRPr="00757D16">
        <w:rPr>
          <w:lang w:val="fr-CA"/>
        </w:rPr>
        <w:t>par rapport à 11 demandes</w:t>
      </w:r>
      <w:r>
        <w:rPr>
          <w:lang w:val="fr-CA"/>
        </w:rPr>
        <w:t xml:space="preserve"> en format électronique.</w:t>
      </w:r>
    </w:p>
    <w:p w:rsidR="00BA2BE8" w:rsidRPr="002212DF" w:rsidRDefault="00BA2BE8" w:rsidP="00BA2BE8">
      <w:pPr>
        <w:pStyle w:val="Heading3"/>
      </w:pPr>
      <w:r w:rsidRPr="002212DF">
        <w:t xml:space="preserve">Tableau </w:t>
      </w:r>
      <w:proofErr w:type="gramStart"/>
      <w:r w:rsidRPr="002212DF">
        <w:t>1 :</w:t>
      </w:r>
      <w:proofErr w:type="gramEnd"/>
      <w:r w:rsidRPr="002212DF">
        <w:t xml:space="preserve"> Charge de travail</w:t>
      </w:r>
    </w:p>
    <w:tbl>
      <w:tblPr>
        <w:tblW w:w="9492" w:type="dxa"/>
        <w:tblInd w:w="98" w:type="dxa"/>
        <w:tblLook w:val="04A0"/>
      </w:tblPr>
      <w:tblGrid>
        <w:gridCol w:w="4518"/>
        <w:gridCol w:w="1240"/>
        <w:gridCol w:w="2136"/>
        <w:gridCol w:w="1598"/>
      </w:tblGrid>
      <w:tr w:rsidR="00BA2BE8" w:rsidRPr="00757D16" w:rsidTr="006B6495">
        <w:trPr>
          <w:trHeight w:val="318"/>
        </w:trPr>
        <w:tc>
          <w:tcPr>
            <w:tcW w:w="4518" w:type="dxa"/>
            <w:tcBorders>
              <w:top w:val="single" w:sz="4" w:space="0" w:color="auto"/>
              <w:left w:val="single" w:sz="4" w:space="0" w:color="auto"/>
              <w:right w:val="nil"/>
            </w:tcBorders>
            <w:shd w:val="clear" w:color="auto" w:fill="auto"/>
            <w:noWrap/>
            <w:vAlign w:val="bottom"/>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xml:space="preserve">Mesures </w:t>
            </w:r>
          </w:p>
        </w:tc>
        <w:tc>
          <w:tcPr>
            <w:tcW w:w="1240" w:type="dxa"/>
            <w:tcBorders>
              <w:top w:val="single" w:sz="4" w:space="0" w:color="auto"/>
              <w:left w:val="nil"/>
              <w:right w:val="nil"/>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2012-2013</w:t>
            </w:r>
          </w:p>
        </w:tc>
        <w:tc>
          <w:tcPr>
            <w:tcW w:w="2136" w:type="dxa"/>
            <w:tcBorders>
              <w:top w:val="single" w:sz="4" w:space="0" w:color="auto"/>
              <w:left w:val="nil"/>
              <w:right w:val="nil"/>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2013-2014</w:t>
            </w:r>
          </w:p>
        </w:tc>
        <w:tc>
          <w:tcPr>
            <w:tcW w:w="1598" w:type="dxa"/>
            <w:tcBorders>
              <w:top w:val="single" w:sz="4" w:space="0" w:color="auto"/>
              <w:left w:val="nil"/>
              <w:right w:val="single" w:sz="4" w:space="0" w:color="auto"/>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2014-2015</w:t>
            </w:r>
          </w:p>
        </w:tc>
      </w:tr>
      <w:tr w:rsidR="00BA2BE8" w:rsidRPr="00757D16" w:rsidTr="006B6495">
        <w:trPr>
          <w:trHeight w:val="303"/>
        </w:trPr>
        <w:tc>
          <w:tcPr>
            <w:tcW w:w="4518" w:type="dxa"/>
            <w:tcBorders>
              <w:top w:val="nil"/>
              <w:left w:val="single" w:sz="4" w:space="0" w:color="auto"/>
              <w:bottom w:val="nil"/>
              <w:right w:val="nil"/>
            </w:tcBorders>
            <w:shd w:val="clear" w:color="000000" w:fill="DBE5F1"/>
            <w:noWrap/>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xml:space="preserve">Nombre de demandes reçues </w:t>
            </w:r>
          </w:p>
        </w:tc>
        <w:tc>
          <w:tcPr>
            <w:tcW w:w="1240" w:type="dxa"/>
            <w:tcBorders>
              <w:top w:val="nil"/>
              <w:left w:val="nil"/>
              <w:bottom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785</w:t>
            </w:r>
          </w:p>
        </w:tc>
        <w:tc>
          <w:tcPr>
            <w:tcW w:w="2136" w:type="dxa"/>
            <w:tcBorders>
              <w:top w:val="nil"/>
              <w:left w:val="nil"/>
              <w:bottom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630</w:t>
            </w:r>
          </w:p>
        </w:tc>
        <w:tc>
          <w:tcPr>
            <w:tcW w:w="1598" w:type="dxa"/>
            <w:tcBorders>
              <w:top w:val="nil"/>
              <w:left w:val="nil"/>
              <w:bottom w:val="nil"/>
              <w:right w:val="single" w:sz="4" w:space="0" w:color="auto"/>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555</w:t>
            </w:r>
          </w:p>
        </w:tc>
      </w:tr>
      <w:tr w:rsidR="00BA2BE8" w:rsidRPr="00757D16" w:rsidTr="006B6495">
        <w:trPr>
          <w:trHeight w:val="303"/>
        </w:trPr>
        <w:tc>
          <w:tcPr>
            <w:tcW w:w="4518" w:type="dxa"/>
            <w:tcBorders>
              <w:top w:val="nil"/>
              <w:left w:val="single" w:sz="4" w:space="0" w:color="auto"/>
              <w:bottom w:val="nil"/>
              <w:right w:val="nil"/>
            </w:tcBorders>
            <w:shd w:val="clear" w:color="auto" w:fill="auto"/>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Variation annuelle en %</w:t>
            </w:r>
          </w:p>
        </w:tc>
        <w:tc>
          <w:tcPr>
            <w:tcW w:w="1240" w:type="dxa"/>
            <w:tcBorders>
              <w:top w:val="nil"/>
              <w:left w:val="nil"/>
              <w:bottom w:val="nil"/>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w:t>
            </w:r>
          </w:p>
        </w:tc>
        <w:tc>
          <w:tcPr>
            <w:tcW w:w="2136" w:type="dxa"/>
            <w:tcBorders>
              <w:top w:val="nil"/>
              <w:left w:val="nil"/>
              <w:bottom w:val="nil"/>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-19,7 %</w:t>
            </w:r>
          </w:p>
        </w:tc>
        <w:tc>
          <w:tcPr>
            <w:tcW w:w="1598" w:type="dxa"/>
            <w:tcBorders>
              <w:top w:val="nil"/>
              <w:left w:val="nil"/>
              <w:bottom w:val="nil"/>
              <w:right w:val="single" w:sz="4" w:space="0" w:color="auto"/>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-11,9 %</w:t>
            </w:r>
          </w:p>
        </w:tc>
      </w:tr>
      <w:tr w:rsidR="00BA2BE8" w:rsidRPr="00757D16" w:rsidTr="006B6495">
        <w:trPr>
          <w:trHeight w:val="354"/>
        </w:trPr>
        <w:tc>
          <w:tcPr>
            <w:tcW w:w="4518" w:type="dxa"/>
            <w:tcBorders>
              <w:top w:val="nil"/>
              <w:left w:val="single" w:sz="4" w:space="0" w:color="auto"/>
              <w:bottom w:val="nil"/>
              <w:right w:val="nil"/>
            </w:tcBorders>
            <w:shd w:val="clear" w:color="000000" w:fill="DBE5F1"/>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240" w:type="dxa"/>
            <w:tcBorders>
              <w:top w:val="nil"/>
              <w:left w:val="nil"/>
              <w:bottom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712</w:t>
            </w:r>
          </w:p>
        </w:tc>
        <w:tc>
          <w:tcPr>
            <w:tcW w:w="2136" w:type="dxa"/>
            <w:tcBorders>
              <w:top w:val="nil"/>
              <w:left w:val="nil"/>
              <w:bottom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618</w:t>
            </w:r>
          </w:p>
        </w:tc>
        <w:tc>
          <w:tcPr>
            <w:tcW w:w="1598" w:type="dxa"/>
            <w:tcBorders>
              <w:top w:val="nil"/>
              <w:left w:val="nil"/>
              <w:bottom w:val="nil"/>
              <w:right w:val="single" w:sz="4" w:space="0" w:color="auto"/>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517</w:t>
            </w:r>
          </w:p>
        </w:tc>
      </w:tr>
      <w:tr w:rsidR="00BA2BE8" w:rsidRPr="00757D16" w:rsidTr="006B6495">
        <w:trPr>
          <w:trHeight w:val="444"/>
        </w:trPr>
        <w:tc>
          <w:tcPr>
            <w:tcW w:w="4518" w:type="dxa"/>
            <w:tcBorders>
              <w:top w:val="nil"/>
              <w:left w:val="single" w:sz="4" w:space="0" w:color="auto"/>
              <w:right w:val="nil"/>
            </w:tcBorders>
            <w:shd w:val="clear" w:color="auto" w:fill="auto"/>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Variation annuelle en %</w:t>
            </w:r>
          </w:p>
        </w:tc>
        <w:tc>
          <w:tcPr>
            <w:tcW w:w="1240" w:type="dxa"/>
            <w:tcBorders>
              <w:top w:val="nil"/>
              <w:left w:val="nil"/>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w:t>
            </w:r>
          </w:p>
        </w:tc>
        <w:tc>
          <w:tcPr>
            <w:tcW w:w="2136" w:type="dxa"/>
            <w:tcBorders>
              <w:top w:val="nil"/>
              <w:left w:val="nil"/>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-13,2 %</w:t>
            </w:r>
          </w:p>
        </w:tc>
        <w:tc>
          <w:tcPr>
            <w:tcW w:w="1598" w:type="dxa"/>
            <w:tcBorders>
              <w:top w:val="nil"/>
              <w:left w:val="nil"/>
              <w:right w:val="single" w:sz="4" w:space="0" w:color="auto"/>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-16,3 %</w:t>
            </w:r>
          </w:p>
        </w:tc>
      </w:tr>
      <w:tr w:rsidR="00BA2BE8" w:rsidRPr="00757D16" w:rsidTr="006B6495">
        <w:trPr>
          <w:trHeight w:val="567"/>
        </w:trPr>
        <w:tc>
          <w:tcPr>
            <w:tcW w:w="4518" w:type="dxa"/>
            <w:tcBorders>
              <w:top w:val="nil"/>
              <w:left w:val="single" w:sz="4" w:space="0" w:color="auto"/>
              <w:right w:val="nil"/>
            </w:tcBorders>
            <w:shd w:val="clear" w:color="000000" w:fill="DBE5F1"/>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Nombre de demandes de consultation reçues (d’autres institutions fédérales)</w:t>
            </w:r>
          </w:p>
        </w:tc>
        <w:tc>
          <w:tcPr>
            <w:tcW w:w="1240" w:type="dxa"/>
            <w:tcBorders>
              <w:top w:val="nil"/>
              <w:left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135</w:t>
            </w:r>
          </w:p>
        </w:tc>
        <w:tc>
          <w:tcPr>
            <w:tcW w:w="2136" w:type="dxa"/>
            <w:tcBorders>
              <w:top w:val="nil"/>
              <w:left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119</w:t>
            </w:r>
          </w:p>
        </w:tc>
        <w:tc>
          <w:tcPr>
            <w:tcW w:w="1598" w:type="dxa"/>
            <w:tcBorders>
              <w:top w:val="nil"/>
              <w:left w:val="nil"/>
              <w:right w:val="single" w:sz="4" w:space="0" w:color="auto"/>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88</w:t>
            </w:r>
          </w:p>
        </w:tc>
      </w:tr>
      <w:tr w:rsidR="00BA2BE8" w:rsidRPr="00757D16" w:rsidTr="006B6495">
        <w:trPr>
          <w:trHeight w:val="421"/>
        </w:trPr>
        <w:tc>
          <w:tcPr>
            <w:tcW w:w="4518" w:type="dxa"/>
            <w:tcBorders>
              <w:top w:val="nil"/>
              <w:left w:val="single" w:sz="4" w:space="0" w:color="auto"/>
              <w:right w:val="nil"/>
            </w:tcBorders>
            <w:shd w:val="clear" w:color="auto" w:fill="auto"/>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Variation annuelle en %</w:t>
            </w:r>
          </w:p>
        </w:tc>
        <w:tc>
          <w:tcPr>
            <w:tcW w:w="1240" w:type="dxa"/>
            <w:tcBorders>
              <w:top w:val="nil"/>
              <w:left w:val="nil"/>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w:t>
            </w:r>
          </w:p>
        </w:tc>
        <w:tc>
          <w:tcPr>
            <w:tcW w:w="2136" w:type="dxa"/>
            <w:tcBorders>
              <w:top w:val="nil"/>
              <w:left w:val="nil"/>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-11.9 %</w:t>
            </w:r>
          </w:p>
        </w:tc>
        <w:tc>
          <w:tcPr>
            <w:tcW w:w="1598" w:type="dxa"/>
            <w:tcBorders>
              <w:top w:val="nil"/>
              <w:left w:val="nil"/>
              <w:right w:val="single" w:sz="4" w:space="0" w:color="auto"/>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-26.1 %</w:t>
            </w:r>
          </w:p>
        </w:tc>
      </w:tr>
      <w:tr w:rsidR="00BA2BE8" w:rsidRPr="00757D16" w:rsidTr="006B6495">
        <w:trPr>
          <w:trHeight w:val="622"/>
        </w:trPr>
        <w:tc>
          <w:tcPr>
            <w:tcW w:w="4518" w:type="dxa"/>
            <w:tcBorders>
              <w:left w:val="single" w:sz="4" w:space="0" w:color="auto"/>
              <w:right w:val="nil"/>
            </w:tcBorders>
            <w:shd w:val="clear" w:color="000000" w:fill="DBE5F1"/>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lastRenderedPageBreak/>
              <w:t xml:space="preserve">Nombre moyen de pages traitées par demande </w:t>
            </w:r>
            <w:r>
              <w:rPr>
                <w:rFonts w:ascii="Calibri" w:eastAsia="Times New Roman" w:hAnsi="Calibri" w:cs="Times New Roman"/>
                <w:color w:val="000000"/>
                <w:lang w:val="fr-CA"/>
              </w:rPr>
              <w:t>complétée</w:t>
            </w:r>
          </w:p>
        </w:tc>
        <w:tc>
          <w:tcPr>
            <w:tcW w:w="1240" w:type="dxa"/>
            <w:tcBorders>
              <w:left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79</w:t>
            </w:r>
          </w:p>
        </w:tc>
        <w:tc>
          <w:tcPr>
            <w:tcW w:w="2136" w:type="dxa"/>
            <w:tcBorders>
              <w:left w:val="nil"/>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104</w:t>
            </w:r>
          </w:p>
        </w:tc>
        <w:tc>
          <w:tcPr>
            <w:tcW w:w="1598" w:type="dxa"/>
            <w:tcBorders>
              <w:left w:val="nil"/>
              <w:right w:val="single" w:sz="4" w:space="0" w:color="auto"/>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153</w:t>
            </w:r>
          </w:p>
        </w:tc>
      </w:tr>
      <w:tr w:rsidR="00BA2BE8" w:rsidRPr="00757D16" w:rsidTr="006B6495">
        <w:trPr>
          <w:trHeight w:val="488"/>
        </w:trPr>
        <w:tc>
          <w:tcPr>
            <w:tcW w:w="4518" w:type="dxa"/>
            <w:tcBorders>
              <w:left w:val="single" w:sz="4" w:space="0" w:color="auto"/>
              <w:bottom w:val="single" w:sz="4" w:space="0" w:color="auto"/>
              <w:right w:val="nil"/>
            </w:tcBorders>
            <w:shd w:val="clear" w:color="auto" w:fill="auto"/>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des demande</w:t>
            </w:r>
            <w:r>
              <w:rPr>
                <w:rFonts w:ascii="Calibri" w:eastAsia="Times New Roman" w:hAnsi="Calibri" w:cs="Times New Roman"/>
                <w:color w:val="000000"/>
                <w:lang w:val="fr-CA"/>
              </w:rPr>
              <w:t>s pour lesquelles plus de 1 000 </w:t>
            </w:r>
            <w:r w:rsidRPr="00757D16">
              <w:rPr>
                <w:rFonts w:ascii="Calibri" w:eastAsia="Times New Roman" w:hAnsi="Calibri" w:cs="Times New Roman"/>
                <w:color w:val="000000"/>
                <w:lang w:val="fr-CA"/>
              </w:rPr>
              <w:t>pages ont été traitées</w:t>
            </w:r>
          </w:p>
        </w:tc>
        <w:tc>
          <w:tcPr>
            <w:tcW w:w="1240" w:type="dxa"/>
            <w:tcBorders>
              <w:left w:val="nil"/>
              <w:bottom w:val="single" w:sz="4" w:space="0" w:color="auto"/>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1,2 %</w:t>
            </w:r>
          </w:p>
        </w:tc>
        <w:tc>
          <w:tcPr>
            <w:tcW w:w="2136" w:type="dxa"/>
            <w:tcBorders>
              <w:left w:val="nil"/>
              <w:bottom w:val="single" w:sz="4" w:space="0" w:color="auto"/>
              <w:right w:val="nil"/>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1,4 %</w:t>
            </w:r>
          </w:p>
        </w:tc>
        <w:tc>
          <w:tcPr>
            <w:tcW w:w="1598" w:type="dxa"/>
            <w:tcBorders>
              <w:left w:val="nil"/>
              <w:bottom w:val="single" w:sz="4" w:space="0" w:color="auto"/>
              <w:right w:val="single" w:sz="4" w:space="0" w:color="auto"/>
            </w:tcBorders>
            <w:shd w:val="clear" w:color="auto" w:fill="auto"/>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2,4 %</w:t>
            </w:r>
          </w:p>
        </w:tc>
      </w:tr>
    </w:tbl>
    <w:p w:rsidR="00BA2BE8" w:rsidRPr="002212DF" w:rsidRDefault="00BA2BE8" w:rsidP="00BA2BE8">
      <w:pPr>
        <w:pStyle w:val="Heading2"/>
        <w:spacing w:before="240"/>
      </w:pPr>
      <w:r w:rsidRPr="002212DF">
        <w:t>Délai de traitement</w:t>
      </w:r>
    </w:p>
    <w:p w:rsidR="00BA2BE8" w:rsidRPr="002212DF" w:rsidRDefault="00BA2BE8" w:rsidP="00BA2BE8">
      <w:pPr>
        <w:pStyle w:val="Heading4"/>
      </w:pPr>
      <w:r w:rsidRPr="002212DF">
        <w:t>Rapidité</w:t>
      </w:r>
    </w:p>
    <w:p w:rsidR="00BA2BE8" w:rsidRPr="00757D16" w:rsidRDefault="00BA2BE8" w:rsidP="00BA2BE8">
      <w:pPr>
        <w:jc w:val="both"/>
        <w:rPr>
          <w:lang w:val="fr-CA"/>
        </w:rPr>
      </w:pPr>
      <w:r w:rsidRPr="00757D16">
        <w:rPr>
          <w:lang w:val="fr-CA"/>
        </w:rPr>
        <w:t xml:space="preserve">La figure 1 révèle que 59,4 % des demandes ont été </w:t>
      </w:r>
      <w:r>
        <w:rPr>
          <w:lang w:val="fr-CA"/>
        </w:rPr>
        <w:t>complétées</w:t>
      </w:r>
      <w:r w:rsidRPr="00757D16">
        <w:rPr>
          <w:lang w:val="fr-CA"/>
        </w:rPr>
        <w:t xml:space="preserve"> en 30 jours ou moins, soit 7</w:t>
      </w:r>
      <w:r>
        <w:rPr>
          <w:lang w:val="fr-CA"/>
        </w:rPr>
        <w:t>,3</w:t>
      </w:r>
      <w:r w:rsidRPr="00757D16">
        <w:rPr>
          <w:lang w:val="fr-CA"/>
        </w:rPr>
        <w:t xml:space="preserve"> % de moins que le résultat observé en </w:t>
      </w:r>
      <w:r>
        <w:rPr>
          <w:lang w:val="fr-CA"/>
        </w:rPr>
        <w:t>2013-</w:t>
      </w:r>
      <w:r w:rsidRPr="00757D16">
        <w:rPr>
          <w:lang w:val="fr-CA"/>
        </w:rPr>
        <w:t>2014</w:t>
      </w:r>
      <w:r>
        <w:rPr>
          <w:lang w:val="fr-CA"/>
        </w:rPr>
        <w:t>.</w:t>
      </w:r>
      <w:r w:rsidRPr="00757D16">
        <w:rPr>
          <w:lang w:val="fr-CA"/>
        </w:rPr>
        <w:t xml:space="preserve"> </w:t>
      </w:r>
      <w:r>
        <w:rPr>
          <w:lang w:val="fr-CA"/>
        </w:rPr>
        <w:t>Le nombre de d</w:t>
      </w:r>
      <w:r w:rsidRPr="00757D16">
        <w:rPr>
          <w:lang w:val="fr-CA"/>
        </w:rPr>
        <w:t xml:space="preserve">emandes </w:t>
      </w:r>
      <w:r>
        <w:rPr>
          <w:lang w:val="fr-CA"/>
        </w:rPr>
        <w:t>complétées dans un délai de 31 à 60 </w:t>
      </w:r>
      <w:r w:rsidRPr="00757D16">
        <w:rPr>
          <w:lang w:val="fr-CA"/>
        </w:rPr>
        <w:t xml:space="preserve">jours a augmenté </w:t>
      </w:r>
      <w:r>
        <w:rPr>
          <w:lang w:val="fr-CA"/>
        </w:rPr>
        <w:t>de 16</w:t>
      </w:r>
      <w:r w:rsidRPr="00757D16">
        <w:rPr>
          <w:lang w:val="fr-CA"/>
        </w:rPr>
        <w:t> %, par r</w:t>
      </w:r>
      <w:r>
        <w:rPr>
          <w:lang w:val="fr-CA"/>
        </w:rPr>
        <w:t>apport à la période précédente.</w:t>
      </w:r>
    </w:p>
    <w:p w:rsidR="00BA2BE8" w:rsidRPr="007A10EA" w:rsidRDefault="00BA2BE8" w:rsidP="00BA2BE8">
      <w:pPr>
        <w:spacing w:line="240" w:lineRule="auto"/>
        <w:rPr>
          <w:sz w:val="24"/>
          <w:szCs w:val="24"/>
          <w:lang w:val="fr-FR"/>
        </w:rPr>
      </w:pPr>
      <w:r w:rsidRPr="00BA2BE8">
        <w:rPr>
          <w:rStyle w:val="Heading3Char"/>
          <w:lang w:val="fr-FR"/>
        </w:rPr>
        <w:t>Figure 1 : Délai de traitement des demandes</w:t>
      </w:r>
      <w:r w:rsidRPr="005F269F">
        <w:rPr>
          <w:noProof/>
          <w:color w:val="FF0000"/>
          <w:sz w:val="24"/>
          <w:szCs w:val="24"/>
        </w:rPr>
        <w:drawing>
          <wp:inline distT="0" distB="0" distL="0" distR="0">
            <wp:extent cx="5947576" cy="4405022"/>
            <wp:effectExtent l="0" t="0" r="0" b="0"/>
            <wp:docPr id="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A2BE8" w:rsidRPr="002212DF" w:rsidRDefault="00BA2BE8" w:rsidP="00BA2BE8">
      <w:pPr>
        <w:pStyle w:val="Heading4"/>
      </w:pPr>
      <w:r w:rsidRPr="002212DF">
        <w:t>Prorogations</w:t>
      </w:r>
    </w:p>
    <w:p w:rsidR="00BA2BE8" w:rsidRPr="00C73DFF" w:rsidRDefault="00BA2BE8" w:rsidP="00BA2BE8">
      <w:pPr>
        <w:jc w:val="both"/>
        <w:rPr>
          <w:lang w:val="fr-CA"/>
        </w:rPr>
      </w:pPr>
      <w:r w:rsidRPr="00C73DFF">
        <w:rPr>
          <w:lang w:val="fr-CA"/>
        </w:rPr>
        <w:t>Le SCC a eu recours à 172 prorogations en 2014</w:t>
      </w:r>
      <w:r>
        <w:rPr>
          <w:lang w:val="fr-CA"/>
        </w:rPr>
        <w:t>-</w:t>
      </w:r>
      <w:r w:rsidRPr="00C73DFF">
        <w:rPr>
          <w:lang w:val="fr-CA"/>
        </w:rPr>
        <w:t>2015 par rapport à 194 en 2013</w:t>
      </w:r>
      <w:r>
        <w:rPr>
          <w:lang w:val="fr-CA"/>
        </w:rPr>
        <w:t>-</w:t>
      </w:r>
      <w:r w:rsidRPr="00C73DFF">
        <w:rPr>
          <w:lang w:val="fr-CA"/>
        </w:rPr>
        <w:t>2014.</w:t>
      </w:r>
      <w:r w:rsidRPr="00C73DFF">
        <w:rPr>
          <w:color w:val="C00000"/>
          <w:lang w:val="fr-CA"/>
        </w:rPr>
        <w:t xml:space="preserve"> </w:t>
      </w:r>
      <w:r w:rsidRPr="00C73DFF">
        <w:rPr>
          <w:lang w:val="fr-CA"/>
        </w:rPr>
        <w:t>L’entrave au fonctionnement de l’institution (76,7 %) était la raison la plus fréquemment invoquée pour demander une prorogation, suivie des demandes de consultation (18,6 %) et des avis à des tiers (4,7 %).</w:t>
      </w:r>
    </w:p>
    <w:p w:rsidR="00BA2BE8" w:rsidRPr="00757D16" w:rsidRDefault="00BA2BE8" w:rsidP="00BA2BE8">
      <w:pPr>
        <w:jc w:val="both"/>
        <w:rPr>
          <w:lang w:val="fr-CA"/>
        </w:rPr>
      </w:pPr>
      <w:r w:rsidRPr="00757D16">
        <w:rPr>
          <w:lang w:val="fr-CA"/>
        </w:rPr>
        <w:lastRenderedPageBreak/>
        <w:t xml:space="preserve">La figure 2 montre que 55,8 % des </w:t>
      </w:r>
      <w:r w:rsidRPr="00832F70">
        <w:rPr>
          <w:lang w:val="fr-CA"/>
        </w:rPr>
        <w:t>prorogations en 2014</w:t>
      </w:r>
      <w:r>
        <w:rPr>
          <w:lang w:val="fr-CA"/>
        </w:rPr>
        <w:t>-</w:t>
      </w:r>
      <w:r w:rsidRPr="00832F70">
        <w:rPr>
          <w:lang w:val="fr-CA"/>
        </w:rPr>
        <w:t xml:space="preserve">2015 étaient de 30 jours ou moins, un résultat supérieur de 22,8 % à celui de l’année précédente. La figure 2 montre que le nombre de prorogations de plus de 30 jours </w:t>
      </w:r>
      <w:r>
        <w:rPr>
          <w:lang w:val="fr-CA"/>
        </w:rPr>
        <w:t>était</w:t>
      </w:r>
      <w:r w:rsidRPr="00832F70">
        <w:rPr>
          <w:lang w:val="fr-CA"/>
        </w:rPr>
        <w:t xml:space="preserve"> moins élevé </w:t>
      </w:r>
      <w:r>
        <w:rPr>
          <w:lang w:val="fr-CA"/>
        </w:rPr>
        <w:t xml:space="preserve">en 2014-2015 </w:t>
      </w:r>
      <w:r w:rsidRPr="00832F70">
        <w:rPr>
          <w:lang w:val="fr-CA"/>
        </w:rPr>
        <w:t xml:space="preserve">par rapport à </w:t>
      </w:r>
      <w:r>
        <w:rPr>
          <w:lang w:val="fr-CA"/>
        </w:rPr>
        <w:t>2013-2014</w:t>
      </w:r>
      <w:r w:rsidRPr="00832F70">
        <w:rPr>
          <w:lang w:val="fr-CA"/>
        </w:rPr>
        <w:t>.</w:t>
      </w:r>
    </w:p>
    <w:p w:rsidR="00BA2BE8" w:rsidRPr="005F269F" w:rsidRDefault="00BA2BE8" w:rsidP="00BA2BE8">
      <w:pPr>
        <w:rPr>
          <w:lang w:val="fr-CA"/>
        </w:rPr>
      </w:pPr>
      <w:r w:rsidRPr="00BA2BE8">
        <w:rPr>
          <w:rStyle w:val="Heading3Char"/>
          <w:lang w:val="fr-FR"/>
        </w:rPr>
        <w:t>Figure 2 : Durée des prorogations</w:t>
      </w:r>
      <w:r w:rsidRPr="005F269F">
        <w:rPr>
          <w:noProof/>
        </w:rPr>
        <w:drawing>
          <wp:inline distT="0" distB="0" distL="0" distR="0">
            <wp:extent cx="5947576" cy="4412974"/>
            <wp:effectExtent l="0" t="0" r="0" b="6985"/>
            <wp:docPr id="6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A2BE8" w:rsidRPr="002212DF" w:rsidRDefault="00BA2BE8" w:rsidP="00BA2BE8">
      <w:pPr>
        <w:pStyle w:val="Heading4"/>
      </w:pPr>
      <w:r w:rsidRPr="002212DF">
        <w:t>Présomptions de refus</w:t>
      </w:r>
    </w:p>
    <w:p w:rsidR="00BA2BE8" w:rsidRPr="00C73DFF" w:rsidRDefault="00BA2BE8" w:rsidP="00BA2BE8">
      <w:pPr>
        <w:jc w:val="both"/>
        <w:rPr>
          <w:lang w:val="fr-CA"/>
        </w:rPr>
      </w:pPr>
      <w:r w:rsidRPr="00C73DFF">
        <w:rPr>
          <w:lang w:val="fr-CA"/>
        </w:rPr>
        <w:t>En 2014</w:t>
      </w:r>
      <w:r>
        <w:rPr>
          <w:lang w:val="fr-CA"/>
        </w:rPr>
        <w:t>-</w:t>
      </w:r>
      <w:r w:rsidRPr="00C73DFF">
        <w:rPr>
          <w:lang w:val="fr-CA"/>
        </w:rPr>
        <w:t>2015, 117 demandes ont été fermées après l’échéancier réglementaire, ce qui représente 22,6 % de toutes les demandes complétées. Ce résultat procure au SCC une note de « F »</w:t>
      </w:r>
      <w:r w:rsidRPr="00C73DFF">
        <w:rPr>
          <w:rStyle w:val="FootnoteReference"/>
          <w:lang w:val="fr-CA"/>
        </w:rPr>
        <w:footnoteReference w:id="79"/>
      </w:r>
      <w:r w:rsidRPr="00C73DFF">
        <w:rPr>
          <w:lang w:val="fr-CA"/>
        </w:rPr>
        <w:t xml:space="preserve">. Il s’agit d’une différence importante par rapport à l’année </w:t>
      </w:r>
      <w:r>
        <w:rPr>
          <w:lang w:val="fr-CA"/>
        </w:rPr>
        <w:t>2013-</w:t>
      </w:r>
      <w:r w:rsidRPr="00C73DFF">
        <w:rPr>
          <w:lang w:val="fr-CA"/>
        </w:rPr>
        <w:t>2014 où le SCC a reçu une note de « B ». La charge de travail (91,4 %) était la principale raison invoquée pour ne pas respecter l’échéancier réglementaire en 2014-2015.</w:t>
      </w:r>
    </w:p>
    <w:p w:rsidR="00BA2BE8" w:rsidRPr="00757D16" w:rsidRDefault="00BA2BE8" w:rsidP="00BA2BE8">
      <w:pPr>
        <w:jc w:val="both"/>
        <w:rPr>
          <w:lang w:val="fr-CA"/>
        </w:rPr>
      </w:pPr>
      <w:r w:rsidRPr="00757D16">
        <w:rPr>
          <w:lang w:val="fr-CA"/>
        </w:rPr>
        <w:t xml:space="preserve">La figure 3 montre que </w:t>
      </w:r>
      <w:r>
        <w:rPr>
          <w:lang w:val="fr-CA"/>
        </w:rPr>
        <w:t>47,0 % des</w:t>
      </w:r>
      <w:r w:rsidRPr="00757D16">
        <w:rPr>
          <w:lang w:val="fr-CA"/>
        </w:rPr>
        <w:t xml:space="preserve"> demandes échues étaient en retard de 30 jours ou moins, 15</w:t>
      </w:r>
      <w:r>
        <w:rPr>
          <w:lang w:val="fr-CA"/>
        </w:rPr>
        <w:t>,4</w:t>
      </w:r>
      <w:r w:rsidRPr="00757D16">
        <w:rPr>
          <w:lang w:val="fr-CA"/>
        </w:rPr>
        <w:t> % des demandes étaient en retard de 31 à 60 jours et les autres demandes étaien</w:t>
      </w:r>
      <w:r>
        <w:rPr>
          <w:lang w:val="fr-CA"/>
        </w:rPr>
        <w:t>t en retard de plus de 60 jours.</w:t>
      </w:r>
    </w:p>
    <w:p w:rsidR="00BA2BE8" w:rsidRPr="00BA2BE8" w:rsidRDefault="00BA2BE8" w:rsidP="00BA2BE8">
      <w:pPr>
        <w:pStyle w:val="Heading3"/>
        <w:spacing w:after="0"/>
        <w:rPr>
          <w:rStyle w:val="Heading3Char"/>
          <w:b/>
        </w:rPr>
      </w:pPr>
      <w:r w:rsidRPr="00BA2BE8">
        <w:rPr>
          <w:rStyle w:val="Heading3Char"/>
          <w:b/>
        </w:rPr>
        <w:lastRenderedPageBreak/>
        <w:t xml:space="preserve">Figure </w:t>
      </w:r>
      <w:proofErr w:type="gramStart"/>
      <w:r w:rsidRPr="00BA2BE8">
        <w:rPr>
          <w:rStyle w:val="Heading3Char"/>
          <w:b/>
        </w:rPr>
        <w:t>3 :</w:t>
      </w:r>
      <w:proofErr w:type="gramEnd"/>
      <w:r w:rsidRPr="00BA2BE8">
        <w:rPr>
          <w:rStyle w:val="Heading3Char"/>
          <w:b/>
        </w:rPr>
        <w:t xml:space="preserve"> Retard des </w:t>
      </w:r>
      <w:proofErr w:type="spellStart"/>
      <w:r w:rsidRPr="00BA2BE8">
        <w:rPr>
          <w:rStyle w:val="Heading3Char"/>
          <w:b/>
        </w:rPr>
        <w:t>demandes</w:t>
      </w:r>
      <w:proofErr w:type="spellEnd"/>
      <w:r w:rsidRPr="00BA2BE8">
        <w:rPr>
          <w:rStyle w:val="Heading3Char"/>
          <w:b/>
        </w:rPr>
        <w:t xml:space="preserve"> </w:t>
      </w:r>
      <w:proofErr w:type="spellStart"/>
      <w:r w:rsidRPr="00BA2BE8">
        <w:rPr>
          <w:rStyle w:val="Heading3Char"/>
          <w:b/>
        </w:rPr>
        <w:t>échues</w:t>
      </w:r>
      <w:proofErr w:type="spellEnd"/>
    </w:p>
    <w:p w:rsidR="00BA2BE8" w:rsidRPr="002212DF" w:rsidRDefault="00BA2BE8" w:rsidP="00BA2BE8">
      <w:pPr>
        <w:spacing w:line="240" w:lineRule="auto"/>
        <w:rPr>
          <w:lang w:val="fr-CA"/>
        </w:rPr>
      </w:pPr>
      <w:r w:rsidRPr="005F269F">
        <w:rPr>
          <w:noProof/>
        </w:rPr>
        <w:drawing>
          <wp:inline distT="0" distB="0" distL="0" distR="0">
            <wp:extent cx="5947576" cy="4508389"/>
            <wp:effectExtent l="0" t="0" r="0" b="6985"/>
            <wp:docPr id="6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BA2BE8" w:rsidRPr="002212DF" w:rsidRDefault="00BA2BE8" w:rsidP="00BA2BE8">
      <w:pPr>
        <w:pStyle w:val="Heading2"/>
      </w:pPr>
      <w:r w:rsidRPr="002212DF">
        <w:t>Divulgation</w:t>
      </w:r>
    </w:p>
    <w:p w:rsidR="00BA2BE8" w:rsidRPr="002212DF" w:rsidRDefault="00BA2BE8" w:rsidP="00BA2BE8">
      <w:pPr>
        <w:pStyle w:val="Heading4"/>
      </w:pPr>
      <w:r w:rsidRPr="002212DF">
        <w:t>Pourcentage de demandes pour lesquelle</w:t>
      </w:r>
      <w:r>
        <w:t>s l’information a été divulguée</w:t>
      </w:r>
    </w:p>
    <w:p w:rsidR="00BA2BE8" w:rsidRPr="00757D16" w:rsidRDefault="00BA2BE8" w:rsidP="00BA2BE8">
      <w:pPr>
        <w:jc w:val="both"/>
        <w:rPr>
          <w:lang w:val="fr-CA"/>
        </w:rPr>
      </w:pPr>
      <w:r>
        <w:rPr>
          <w:lang w:val="fr-CA"/>
        </w:rPr>
        <w:t>En 2014-</w:t>
      </w:r>
      <w:r w:rsidRPr="00757D16">
        <w:rPr>
          <w:lang w:val="fr-CA"/>
        </w:rPr>
        <w:t xml:space="preserve">2015, 23,8 % des demandes ont fait l’objet d’une divulgation complète, ce qui représente une légère amélioration par rapport à la période de référence précédente (voir figure 4). La figure 4 montre </w:t>
      </w:r>
      <w:r>
        <w:rPr>
          <w:lang w:val="fr-CA"/>
        </w:rPr>
        <w:t xml:space="preserve">aussi </w:t>
      </w:r>
      <w:r w:rsidRPr="00757D16">
        <w:rPr>
          <w:lang w:val="fr-CA"/>
        </w:rPr>
        <w:t>que le ta</w:t>
      </w:r>
      <w:r>
        <w:rPr>
          <w:lang w:val="fr-CA"/>
        </w:rPr>
        <w:t>ux de</w:t>
      </w:r>
      <w:r w:rsidRPr="00757D16">
        <w:rPr>
          <w:lang w:val="fr-CA"/>
        </w:rPr>
        <w:t xml:space="preserve"> demandes faisant l’objet d’une divulgation partielle était de 34,2 % en 2014</w:t>
      </w:r>
      <w:r>
        <w:rPr>
          <w:lang w:val="fr-CA"/>
        </w:rPr>
        <w:t>-</w:t>
      </w:r>
      <w:r w:rsidRPr="00757D16">
        <w:rPr>
          <w:lang w:val="fr-CA"/>
        </w:rPr>
        <w:t>2015, ce qui représente une diminution d’environ 2</w:t>
      </w:r>
      <w:r>
        <w:rPr>
          <w:lang w:val="fr-CA"/>
        </w:rPr>
        <w:t>,2</w:t>
      </w:r>
      <w:r w:rsidRPr="00757D16">
        <w:rPr>
          <w:lang w:val="fr-CA"/>
        </w:rPr>
        <w:t> % par r</w:t>
      </w:r>
      <w:r>
        <w:rPr>
          <w:lang w:val="fr-CA"/>
        </w:rPr>
        <w:t>apport à la période précédente.</w:t>
      </w:r>
    </w:p>
    <w:p w:rsidR="00BA2BE8" w:rsidRPr="00757D16" w:rsidRDefault="00BA2BE8" w:rsidP="00BA2BE8">
      <w:pPr>
        <w:spacing w:line="240" w:lineRule="auto"/>
        <w:rPr>
          <w:lang w:val="fr-CA"/>
        </w:rPr>
      </w:pPr>
      <w:r w:rsidRPr="00957E09">
        <w:rPr>
          <w:rStyle w:val="Heading3Char"/>
          <w:lang w:val="fr-FR"/>
        </w:rPr>
        <w:lastRenderedPageBreak/>
        <w:t>Figure 4 : Niveau de divulgation</w:t>
      </w:r>
      <w:r w:rsidRPr="005F269F">
        <w:rPr>
          <w:noProof/>
        </w:rPr>
        <w:drawing>
          <wp:inline distT="0" distB="0" distL="0" distR="0">
            <wp:extent cx="5947576" cy="3729162"/>
            <wp:effectExtent l="0" t="0" r="0" b="5080"/>
            <wp:docPr id="6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BA2BE8" w:rsidRPr="002212DF" w:rsidRDefault="00BA2BE8" w:rsidP="00BA2BE8">
      <w:pPr>
        <w:pStyle w:val="Heading4"/>
      </w:pPr>
      <w:r w:rsidRPr="002212DF">
        <w:t>Exceptions</w:t>
      </w:r>
    </w:p>
    <w:p w:rsidR="00BA2BE8" w:rsidRPr="00C73DFF" w:rsidRDefault="00BA2BE8" w:rsidP="00BA2BE8">
      <w:pPr>
        <w:jc w:val="both"/>
        <w:rPr>
          <w:lang w:val="fr-CA"/>
        </w:rPr>
      </w:pPr>
      <w:r w:rsidRPr="00C73DFF">
        <w:rPr>
          <w:lang w:val="fr-CA"/>
        </w:rPr>
        <w:t>Le nombre moyen d’exceptions par demande complétées a diminué de 1,14 en 2013-2014 à 0,8</w:t>
      </w:r>
      <w:r>
        <w:rPr>
          <w:lang w:val="fr-CA"/>
        </w:rPr>
        <w:t>2 en 2014-</w:t>
      </w:r>
      <w:r w:rsidRPr="00C73DFF">
        <w:rPr>
          <w:lang w:val="fr-CA"/>
        </w:rPr>
        <w:t>2015 (voir tableau 2). Les exceptions les plu</w:t>
      </w:r>
      <w:r>
        <w:rPr>
          <w:lang w:val="fr-CA"/>
        </w:rPr>
        <w:t>s fréquemment invoquées en 2014-</w:t>
      </w:r>
      <w:r w:rsidRPr="00C73DFF">
        <w:rPr>
          <w:lang w:val="fr-CA"/>
        </w:rPr>
        <w:t xml:space="preserve">2015 étaient l’article </w:t>
      </w:r>
      <w:r w:rsidRPr="00C73DFF">
        <w:rPr>
          <w:lang w:val="fr-FR"/>
        </w:rPr>
        <w:t>19</w:t>
      </w:r>
      <w:r w:rsidRPr="00C73DFF">
        <w:rPr>
          <w:lang w:val="fr-CA"/>
        </w:rPr>
        <w:t xml:space="preserve"> (les renseignements personnels) (25,1 %), l’article 16 (l’application de la loi et les enquêtes) (19,7 %) et l</w:t>
      </w:r>
      <w:r w:rsidRPr="00C73DFF">
        <w:rPr>
          <w:lang w:val="fr-FR"/>
        </w:rPr>
        <w:t>’article 21</w:t>
      </w:r>
      <w:r w:rsidRPr="00C73DFF">
        <w:rPr>
          <w:lang w:val="fr-CA"/>
        </w:rPr>
        <w:t xml:space="preserve"> (les activités du gouvernement) (19,5 %). En général, nous avons observé une réduction des exceptions attribuables aux motifs mentionnés ci</w:t>
      </w:r>
      <w:r w:rsidRPr="00C73DFF">
        <w:rPr>
          <w:lang w:val="fr-CA"/>
        </w:rPr>
        <w:noBreakHyphen/>
        <w:t>dessus depuis 2012.</w:t>
      </w:r>
    </w:p>
    <w:p w:rsidR="00BA2BE8" w:rsidRPr="00757D16" w:rsidRDefault="00BA2BE8" w:rsidP="00BA2BE8">
      <w:pPr>
        <w:pStyle w:val="Heading3"/>
      </w:pPr>
      <w:r w:rsidRPr="00757D16">
        <w:t xml:space="preserve">Tableau </w:t>
      </w:r>
      <w:proofErr w:type="gramStart"/>
      <w:r w:rsidRPr="00757D16">
        <w:t>2 :</w:t>
      </w:r>
      <w:proofErr w:type="gramEnd"/>
      <w:r w:rsidRPr="00757D16">
        <w:t xml:space="preserve"> Exceptions</w:t>
      </w:r>
    </w:p>
    <w:tbl>
      <w:tblPr>
        <w:tblW w:w="9491" w:type="dxa"/>
        <w:tblInd w:w="98" w:type="dxa"/>
        <w:tblLook w:val="04A0"/>
      </w:tblPr>
      <w:tblGrid>
        <w:gridCol w:w="4767"/>
        <w:gridCol w:w="1177"/>
        <w:gridCol w:w="2029"/>
        <w:gridCol w:w="1518"/>
      </w:tblGrid>
      <w:tr w:rsidR="00BA2BE8" w:rsidRPr="00757D16" w:rsidTr="006B6495">
        <w:trPr>
          <w:trHeight w:val="268"/>
        </w:trPr>
        <w:tc>
          <w:tcPr>
            <w:tcW w:w="4767" w:type="dxa"/>
            <w:tcBorders>
              <w:top w:val="single" w:sz="8" w:space="0" w:color="auto"/>
              <w:left w:val="single" w:sz="8" w:space="0" w:color="auto"/>
              <w:bottom w:val="single" w:sz="8" w:space="0" w:color="auto"/>
              <w:right w:val="nil"/>
            </w:tcBorders>
            <w:shd w:val="clear" w:color="000000" w:fill="DBE5F1"/>
            <w:noWrap/>
            <w:vAlign w:val="bottom"/>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xml:space="preserve">Exceptions </w:t>
            </w:r>
          </w:p>
        </w:tc>
        <w:tc>
          <w:tcPr>
            <w:tcW w:w="1177" w:type="dxa"/>
            <w:tcBorders>
              <w:top w:val="single" w:sz="8" w:space="0" w:color="auto"/>
              <w:left w:val="nil"/>
              <w:bottom w:val="single" w:sz="8" w:space="0" w:color="auto"/>
              <w:right w:val="nil"/>
            </w:tcBorders>
            <w:shd w:val="clear" w:color="000000" w:fill="DBE5F1"/>
            <w:noWrap/>
            <w:vAlign w:val="bottom"/>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2012-2013</w:t>
            </w:r>
          </w:p>
        </w:tc>
        <w:tc>
          <w:tcPr>
            <w:tcW w:w="2029" w:type="dxa"/>
            <w:tcBorders>
              <w:top w:val="single" w:sz="8" w:space="0" w:color="auto"/>
              <w:left w:val="nil"/>
              <w:bottom w:val="single" w:sz="8" w:space="0" w:color="auto"/>
              <w:right w:val="nil"/>
            </w:tcBorders>
            <w:shd w:val="clear" w:color="000000" w:fill="DBE5F1"/>
            <w:noWrap/>
            <w:vAlign w:val="bottom"/>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2013-2014</w:t>
            </w:r>
          </w:p>
        </w:tc>
        <w:tc>
          <w:tcPr>
            <w:tcW w:w="1518" w:type="dxa"/>
            <w:tcBorders>
              <w:top w:val="single" w:sz="8" w:space="0" w:color="auto"/>
              <w:left w:val="nil"/>
              <w:bottom w:val="single" w:sz="8" w:space="0" w:color="auto"/>
              <w:right w:val="single" w:sz="8" w:space="0" w:color="auto"/>
            </w:tcBorders>
            <w:shd w:val="clear" w:color="000000" w:fill="DBE5F1"/>
            <w:noWrap/>
            <w:vAlign w:val="bottom"/>
            <w:hideMark/>
          </w:tcPr>
          <w:p w:rsidR="00BA2BE8" w:rsidRPr="00757D16" w:rsidRDefault="00BA2BE8" w:rsidP="006B6495">
            <w:pPr>
              <w:spacing w:after="0" w:line="240" w:lineRule="auto"/>
              <w:jc w:val="center"/>
              <w:rPr>
                <w:rFonts w:ascii="Calibri" w:eastAsia="Times New Roman" w:hAnsi="Calibri" w:cs="Times New Roman"/>
                <w:b/>
                <w:bCs/>
                <w:color w:val="000000"/>
                <w:lang w:val="fr-CA"/>
              </w:rPr>
            </w:pPr>
            <w:r w:rsidRPr="00757D16">
              <w:rPr>
                <w:rFonts w:ascii="Calibri" w:eastAsia="Times New Roman" w:hAnsi="Calibri" w:cs="Times New Roman"/>
                <w:b/>
                <w:bCs/>
                <w:color w:val="000000"/>
                <w:lang w:val="fr-CA"/>
              </w:rPr>
              <w:t>2014-2015</w:t>
            </w:r>
          </w:p>
        </w:tc>
      </w:tr>
      <w:tr w:rsidR="00BA2BE8" w:rsidRPr="00757D16" w:rsidTr="006B6495">
        <w:trPr>
          <w:trHeight w:val="256"/>
        </w:trPr>
        <w:tc>
          <w:tcPr>
            <w:tcW w:w="4767" w:type="dxa"/>
            <w:tcBorders>
              <w:top w:val="nil"/>
              <w:left w:val="single" w:sz="8" w:space="0" w:color="auto"/>
              <w:bottom w:val="nil"/>
              <w:right w:val="nil"/>
            </w:tcBorders>
            <w:shd w:val="clear" w:color="auto" w:fill="auto"/>
            <w:noWrap/>
            <w:vAlign w:val="bottom"/>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177" w:type="dxa"/>
            <w:tcBorders>
              <w:top w:val="nil"/>
              <w:left w:val="nil"/>
              <w:bottom w:val="nil"/>
              <w:right w:val="nil"/>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815</w:t>
            </w:r>
          </w:p>
        </w:tc>
        <w:tc>
          <w:tcPr>
            <w:tcW w:w="2029" w:type="dxa"/>
            <w:tcBorders>
              <w:top w:val="nil"/>
              <w:left w:val="nil"/>
              <w:bottom w:val="nil"/>
              <w:right w:val="nil"/>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704</w:t>
            </w:r>
          </w:p>
        </w:tc>
        <w:tc>
          <w:tcPr>
            <w:tcW w:w="1518" w:type="dxa"/>
            <w:tcBorders>
              <w:top w:val="nil"/>
              <w:left w:val="nil"/>
              <w:bottom w:val="nil"/>
              <w:right w:val="single" w:sz="8" w:space="0" w:color="auto"/>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426</w:t>
            </w:r>
          </w:p>
        </w:tc>
      </w:tr>
      <w:tr w:rsidR="00BA2BE8" w:rsidRPr="00757D16" w:rsidTr="006B6495">
        <w:trPr>
          <w:trHeight w:val="256"/>
        </w:trPr>
        <w:tc>
          <w:tcPr>
            <w:tcW w:w="4767" w:type="dxa"/>
            <w:tcBorders>
              <w:top w:val="nil"/>
              <w:left w:val="single" w:sz="8" w:space="0" w:color="auto"/>
              <w:bottom w:val="nil"/>
              <w:right w:val="nil"/>
            </w:tcBorders>
            <w:shd w:val="clear" w:color="auto" w:fill="auto"/>
            <w:noWrap/>
            <w:vAlign w:val="bottom"/>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177" w:type="dxa"/>
            <w:tcBorders>
              <w:top w:val="nil"/>
              <w:left w:val="nil"/>
              <w:bottom w:val="nil"/>
              <w:right w:val="nil"/>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712</w:t>
            </w:r>
          </w:p>
        </w:tc>
        <w:tc>
          <w:tcPr>
            <w:tcW w:w="2029" w:type="dxa"/>
            <w:tcBorders>
              <w:top w:val="nil"/>
              <w:left w:val="nil"/>
              <w:bottom w:val="nil"/>
              <w:right w:val="nil"/>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618</w:t>
            </w:r>
          </w:p>
        </w:tc>
        <w:tc>
          <w:tcPr>
            <w:tcW w:w="1518" w:type="dxa"/>
            <w:tcBorders>
              <w:top w:val="nil"/>
              <w:left w:val="nil"/>
              <w:bottom w:val="nil"/>
              <w:right w:val="single" w:sz="8" w:space="0" w:color="auto"/>
            </w:tcBorders>
            <w:shd w:val="clear" w:color="auto" w:fill="auto"/>
            <w:noWrap/>
            <w:vAlign w:val="bottom"/>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517</w:t>
            </w:r>
          </w:p>
        </w:tc>
      </w:tr>
      <w:tr w:rsidR="00BA2BE8" w:rsidRPr="00757D16" w:rsidTr="006B6495">
        <w:trPr>
          <w:trHeight w:val="268"/>
        </w:trPr>
        <w:tc>
          <w:tcPr>
            <w:tcW w:w="4767" w:type="dxa"/>
            <w:tcBorders>
              <w:top w:val="nil"/>
              <w:left w:val="single" w:sz="8" w:space="0" w:color="auto"/>
              <w:bottom w:val="single" w:sz="8" w:space="0" w:color="auto"/>
              <w:right w:val="nil"/>
            </w:tcBorders>
            <w:shd w:val="clear" w:color="000000" w:fill="DBE5F1"/>
            <w:noWrap/>
            <w:vAlign w:val="bottom"/>
            <w:hideMark/>
          </w:tcPr>
          <w:p w:rsidR="00BA2BE8" w:rsidRPr="00757D16" w:rsidRDefault="00BA2BE8" w:rsidP="006B6495">
            <w:pPr>
              <w:spacing w:after="0" w:line="240" w:lineRule="auto"/>
              <w:rPr>
                <w:rFonts w:ascii="Calibri" w:eastAsia="Times New Roman" w:hAnsi="Calibri" w:cs="Times New Roman"/>
                <w:color w:val="000000"/>
                <w:lang w:val="fr-CA"/>
              </w:rPr>
            </w:pPr>
            <w:r w:rsidRPr="00757D16">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177" w:type="dxa"/>
            <w:tcBorders>
              <w:top w:val="nil"/>
              <w:left w:val="nil"/>
              <w:bottom w:val="single" w:sz="8" w:space="0" w:color="auto"/>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1,1</w:t>
            </w:r>
            <w:r>
              <w:rPr>
                <w:rFonts w:ascii="Calibri" w:eastAsia="Times New Roman" w:hAnsi="Calibri" w:cs="Times New Roman"/>
                <w:color w:val="000000"/>
                <w:lang w:val="fr-CA"/>
              </w:rPr>
              <w:t>4</w:t>
            </w:r>
          </w:p>
        </w:tc>
        <w:tc>
          <w:tcPr>
            <w:tcW w:w="2029" w:type="dxa"/>
            <w:tcBorders>
              <w:top w:val="nil"/>
              <w:left w:val="nil"/>
              <w:bottom w:val="single" w:sz="8" w:space="0" w:color="auto"/>
              <w:right w:val="nil"/>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1,1</w:t>
            </w:r>
            <w:r>
              <w:rPr>
                <w:rFonts w:ascii="Calibri" w:eastAsia="Times New Roman" w:hAnsi="Calibri" w:cs="Times New Roman"/>
                <w:color w:val="000000"/>
                <w:lang w:val="fr-CA"/>
              </w:rPr>
              <w:t>4</w:t>
            </w:r>
          </w:p>
        </w:tc>
        <w:tc>
          <w:tcPr>
            <w:tcW w:w="1518" w:type="dxa"/>
            <w:tcBorders>
              <w:top w:val="nil"/>
              <w:left w:val="nil"/>
              <w:bottom w:val="single" w:sz="8" w:space="0" w:color="auto"/>
              <w:right w:val="single" w:sz="8" w:space="0" w:color="auto"/>
            </w:tcBorders>
            <w:shd w:val="clear" w:color="000000" w:fill="DBE5F1"/>
            <w:noWrap/>
            <w:vAlign w:val="center"/>
            <w:hideMark/>
          </w:tcPr>
          <w:p w:rsidR="00BA2BE8" w:rsidRPr="00757D16" w:rsidRDefault="00BA2BE8" w:rsidP="006B6495">
            <w:pPr>
              <w:spacing w:after="0" w:line="240" w:lineRule="auto"/>
              <w:jc w:val="center"/>
              <w:rPr>
                <w:rFonts w:ascii="Calibri" w:eastAsia="Times New Roman" w:hAnsi="Calibri" w:cs="Times New Roman"/>
                <w:color w:val="000000"/>
                <w:lang w:val="fr-CA"/>
              </w:rPr>
            </w:pPr>
            <w:r w:rsidRPr="00757D16">
              <w:rPr>
                <w:rFonts w:ascii="Calibri" w:eastAsia="Times New Roman" w:hAnsi="Calibri" w:cs="Times New Roman"/>
                <w:color w:val="000000"/>
                <w:lang w:val="fr-CA"/>
              </w:rPr>
              <w:t>0,8</w:t>
            </w:r>
            <w:r>
              <w:rPr>
                <w:rFonts w:ascii="Calibri" w:eastAsia="Times New Roman" w:hAnsi="Calibri" w:cs="Times New Roman"/>
                <w:color w:val="000000"/>
                <w:lang w:val="fr-CA"/>
              </w:rPr>
              <w:t>2</w:t>
            </w:r>
          </w:p>
        </w:tc>
      </w:tr>
    </w:tbl>
    <w:p w:rsidR="00BA2BE8" w:rsidRPr="002212DF" w:rsidRDefault="00BA2BE8" w:rsidP="00BA2BE8">
      <w:pPr>
        <w:pStyle w:val="Heading2"/>
        <w:spacing w:before="240"/>
      </w:pPr>
      <w:r w:rsidRPr="002212DF">
        <w:t>Plaintes au Commissariat à l’information</w:t>
      </w:r>
    </w:p>
    <w:p w:rsidR="00BA2BE8" w:rsidRPr="002212DF" w:rsidRDefault="00BA2BE8" w:rsidP="00BA2BE8">
      <w:pPr>
        <w:jc w:val="both"/>
        <w:rPr>
          <w:lang w:val="fr-CA"/>
        </w:rPr>
      </w:pPr>
      <w:r>
        <w:rPr>
          <w:lang w:val="fr-CA"/>
        </w:rPr>
        <w:t>En 2014-</w:t>
      </w:r>
      <w:r w:rsidRPr="00757D16">
        <w:rPr>
          <w:lang w:val="fr-CA"/>
        </w:rPr>
        <w:t xml:space="preserve">2015, le </w:t>
      </w:r>
      <w:r>
        <w:rPr>
          <w:lang w:val="fr-CA"/>
        </w:rPr>
        <w:t>Commissariat à l’information du Canada</w:t>
      </w:r>
      <w:r w:rsidRPr="00757D16">
        <w:rPr>
          <w:lang w:val="fr-CA"/>
        </w:rPr>
        <w:t xml:space="preserve"> a reçu 33 plaintes</w:t>
      </w:r>
      <w:r>
        <w:rPr>
          <w:rStyle w:val="FootnoteReference"/>
          <w:lang w:val="fr-CA"/>
        </w:rPr>
        <w:footnoteReference w:id="80"/>
      </w:r>
      <w:r w:rsidRPr="00757D16">
        <w:rPr>
          <w:lang w:val="fr-CA"/>
        </w:rPr>
        <w:t xml:space="preserve"> concernant le SCC, soit une </w:t>
      </w:r>
      <w:r>
        <w:rPr>
          <w:lang w:val="fr-CA"/>
        </w:rPr>
        <w:t>diminution</w:t>
      </w:r>
      <w:r w:rsidRPr="00757D16">
        <w:rPr>
          <w:lang w:val="fr-CA"/>
        </w:rPr>
        <w:t xml:space="preserve"> par rapport</w:t>
      </w:r>
      <w:r>
        <w:rPr>
          <w:lang w:val="fr-CA"/>
        </w:rPr>
        <w:t xml:space="preserve"> aux 56 plaintes reçues en 2013-</w:t>
      </w:r>
      <w:r w:rsidRPr="00757D16">
        <w:rPr>
          <w:lang w:val="fr-CA"/>
        </w:rPr>
        <w:t xml:space="preserve">2014. À l’image de la période précédente, la plupart des plaintes étaient attribuables à des refus. Cependant, </w:t>
      </w:r>
      <w:r>
        <w:rPr>
          <w:lang w:val="fr-CA"/>
        </w:rPr>
        <w:t>la proportion de refus a diminu</w:t>
      </w:r>
      <w:r w:rsidRPr="00757D16">
        <w:rPr>
          <w:lang w:val="fr-CA"/>
        </w:rPr>
        <w:t xml:space="preserve">é </w:t>
      </w:r>
      <w:r>
        <w:rPr>
          <w:lang w:val="fr-CA"/>
        </w:rPr>
        <w:t xml:space="preserve">pour </w:t>
      </w:r>
      <w:r>
        <w:rPr>
          <w:lang w:val="fr-CA"/>
        </w:rPr>
        <w:lastRenderedPageBreak/>
        <w:t>passer de 57,1 % en 2013-2014 à 45,5 % en 2014-</w:t>
      </w:r>
      <w:r w:rsidRPr="00757D16">
        <w:rPr>
          <w:lang w:val="fr-CA"/>
        </w:rPr>
        <w:t>2015. Au cours de la période de référence</w:t>
      </w:r>
      <w:r>
        <w:rPr>
          <w:lang w:val="fr-CA"/>
        </w:rPr>
        <w:t xml:space="preserve"> actuelle, 12</w:t>
      </w:r>
      <w:r w:rsidRPr="00757D16">
        <w:rPr>
          <w:lang w:val="fr-CA"/>
        </w:rPr>
        <w:t xml:space="preserve"> plaintes étaient fondées, 3 n’étaient pas </w:t>
      </w:r>
      <w:r>
        <w:rPr>
          <w:lang w:val="fr-CA"/>
        </w:rPr>
        <w:t>fondées, 11 ont été abandonnées, 2 ont été réglées et 5 étaient encore</w:t>
      </w:r>
      <w:r w:rsidRPr="00757D16">
        <w:rPr>
          <w:lang w:val="fr-CA"/>
        </w:rPr>
        <w:t xml:space="preserve"> en suspe</w:t>
      </w:r>
      <w:r>
        <w:rPr>
          <w:lang w:val="fr-CA"/>
        </w:rPr>
        <w:t>ns.</w:t>
      </w:r>
    </w:p>
    <w:p w:rsidR="00BA2BE8" w:rsidRDefault="00BA2BE8">
      <w:pPr>
        <w:rPr>
          <w:lang w:val="fr-CA"/>
        </w:rPr>
      </w:pPr>
      <w:r>
        <w:rPr>
          <w:lang w:val="fr-CA"/>
        </w:rPr>
        <w:br w:type="page"/>
      </w:r>
    </w:p>
    <w:p w:rsidR="006B6495" w:rsidRPr="00B07A36" w:rsidRDefault="006B6495" w:rsidP="006B6495">
      <w:pPr>
        <w:pStyle w:val="Heading1"/>
      </w:pPr>
      <w:r w:rsidRPr="00B07A36">
        <w:lastRenderedPageBreak/>
        <w:t>Ministère de la Justice Canada</w:t>
      </w:r>
    </w:p>
    <w:p w:rsidR="006B6495" w:rsidRPr="00B07A36" w:rsidRDefault="006B6495" w:rsidP="006B6495">
      <w:pPr>
        <w:jc w:val="both"/>
        <w:rPr>
          <w:b/>
          <w:lang w:val="fr-CA"/>
        </w:rPr>
      </w:pPr>
      <w:r w:rsidRPr="00B07A36">
        <w:rPr>
          <w:rStyle w:val="Heading2Char"/>
        </w:rPr>
        <w:t>Rendement global</w:t>
      </w:r>
      <w:r w:rsidRPr="00C21322">
        <w:rPr>
          <w:rStyle w:val="FootnoteReference"/>
          <w:b/>
          <w:lang w:val="fr-CA"/>
        </w:rPr>
        <w:footnoteReference w:id="81"/>
      </w:r>
    </w:p>
    <w:p w:rsidR="006B6495" w:rsidRPr="000C07F6" w:rsidRDefault="006B6495" w:rsidP="006B6495">
      <w:pPr>
        <w:jc w:val="both"/>
        <w:rPr>
          <w:color w:val="000000" w:themeColor="text1"/>
          <w:lang w:val="fr-CA"/>
        </w:rPr>
      </w:pPr>
      <w:r w:rsidRPr="00C21322">
        <w:rPr>
          <w:color w:val="000000" w:themeColor="text1"/>
          <w:lang w:val="fr-CA"/>
        </w:rPr>
        <w:t xml:space="preserve">Le ministère de la Justice Canada (JUS) a reçu 5,1 % de demandes de moins et a amélioré son nombre de demandes complétées en </w:t>
      </w:r>
      <w:r w:rsidRPr="00C21322">
        <w:rPr>
          <w:lang w:val="fr-CA"/>
        </w:rPr>
        <w:t xml:space="preserve">30 jours ou moins de 2,4 %. </w:t>
      </w:r>
      <w:r w:rsidRPr="00C21322">
        <w:rPr>
          <w:color w:val="000000" w:themeColor="text1"/>
          <w:lang w:val="fr-CA"/>
        </w:rPr>
        <w:t>Le présent rapport contient des statistiques comparatives pour les trois dernières périodes (2012 à 2015).</w:t>
      </w:r>
    </w:p>
    <w:p w:rsidR="006B6495" w:rsidRPr="00B07A36" w:rsidRDefault="006B6495" w:rsidP="006B6495">
      <w:pPr>
        <w:pStyle w:val="Heading2"/>
      </w:pPr>
      <w:r w:rsidRPr="00B07A36">
        <w:t>Charge de travail</w:t>
      </w:r>
    </w:p>
    <w:p w:rsidR="006B6495" w:rsidRPr="0050592C" w:rsidRDefault="006B6495" w:rsidP="006B6495">
      <w:pPr>
        <w:jc w:val="both"/>
        <w:rPr>
          <w:color w:val="000000" w:themeColor="text1"/>
          <w:lang w:val="fr-CA"/>
        </w:rPr>
      </w:pPr>
      <w:r w:rsidRPr="0050592C">
        <w:rPr>
          <w:color w:val="000000" w:themeColor="text1"/>
          <w:lang w:val="fr-CA"/>
        </w:rPr>
        <w:t xml:space="preserve">Le ministère de la Justice Canada a reçu 520 demandes en vertu de la </w:t>
      </w:r>
      <w:r w:rsidRPr="0050592C">
        <w:rPr>
          <w:i/>
          <w:color w:val="000000" w:themeColor="text1"/>
          <w:lang w:val="fr-CA"/>
        </w:rPr>
        <w:t>Loi sur l’accès à l‘information</w:t>
      </w:r>
      <w:r w:rsidRPr="0050592C">
        <w:rPr>
          <w:color w:val="000000" w:themeColor="text1"/>
          <w:lang w:val="fr-CA"/>
        </w:rPr>
        <w:t xml:space="preserve"> (la </w:t>
      </w:r>
      <w:r w:rsidRPr="0050592C">
        <w:rPr>
          <w:i/>
          <w:color w:val="000000" w:themeColor="text1"/>
          <w:lang w:val="fr-CA"/>
        </w:rPr>
        <w:t>Loi</w:t>
      </w:r>
      <w:r w:rsidRPr="0050592C">
        <w:rPr>
          <w:color w:val="000000" w:themeColor="text1"/>
          <w:lang w:val="fr-CA"/>
        </w:rPr>
        <w:t xml:space="preserve">), représentant 0,1 % du nombre total de demandes reçues à l’échelle du gouvernement </w:t>
      </w:r>
      <w:r>
        <w:rPr>
          <w:color w:val="000000" w:themeColor="text1"/>
          <w:lang w:val="fr-CA"/>
        </w:rPr>
        <w:t>en 2014-</w:t>
      </w:r>
      <w:r w:rsidRPr="0050592C">
        <w:rPr>
          <w:color w:val="000000" w:themeColor="text1"/>
          <w:lang w:val="fr-CA"/>
        </w:rPr>
        <w:t>2015. Le nombre de demandes reçues pour la période de référence actuelle a diminué de 5,1 % par rapport à 2013</w:t>
      </w:r>
      <w:r>
        <w:rPr>
          <w:color w:val="000000" w:themeColor="text1"/>
          <w:lang w:val="fr-CA"/>
        </w:rPr>
        <w:t>-</w:t>
      </w:r>
      <w:r w:rsidRPr="0050592C">
        <w:rPr>
          <w:color w:val="000000" w:themeColor="text1"/>
          <w:lang w:val="fr-CA"/>
        </w:rPr>
        <w:t>2014.</w:t>
      </w:r>
    </w:p>
    <w:p w:rsidR="006B6495" w:rsidRPr="000C07F6" w:rsidRDefault="006B6495" w:rsidP="006B6495">
      <w:pPr>
        <w:jc w:val="both"/>
        <w:rPr>
          <w:color w:val="000000" w:themeColor="text1"/>
          <w:lang w:val="fr-CA"/>
        </w:rPr>
      </w:pPr>
      <w:r w:rsidRPr="0050592C">
        <w:rPr>
          <w:color w:val="000000" w:themeColor="text1"/>
          <w:lang w:val="fr-CA"/>
        </w:rPr>
        <w:t>La plupart des demandes reçues par JUS provenaient du public</w:t>
      </w:r>
      <w:r>
        <w:rPr>
          <w:color w:val="000000" w:themeColor="text1"/>
          <w:lang w:val="fr-CA"/>
        </w:rPr>
        <w:t xml:space="preserve"> </w:t>
      </w:r>
      <w:r w:rsidRPr="000C07F6">
        <w:rPr>
          <w:color w:val="000000" w:themeColor="text1"/>
          <w:lang w:val="fr-CA"/>
        </w:rPr>
        <w:t>(40</w:t>
      </w:r>
      <w:r>
        <w:rPr>
          <w:color w:val="000000" w:themeColor="text1"/>
          <w:lang w:val="fr-CA"/>
        </w:rPr>
        <w:t>,0</w:t>
      </w:r>
      <w:r w:rsidRPr="000C07F6">
        <w:rPr>
          <w:color w:val="000000" w:themeColor="text1"/>
          <w:lang w:val="fr-CA"/>
        </w:rPr>
        <w:t> %), suivies des demandes des médias (27,5 %) et du secteur privé (16,5 </w:t>
      </w:r>
      <w:r>
        <w:rPr>
          <w:color w:val="000000" w:themeColor="text1"/>
          <w:lang w:val="fr-CA"/>
        </w:rPr>
        <w:t>%). Le</w:t>
      </w:r>
      <w:r w:rsidRPr="000C07F6">
        <w:rPr>
          <w:color w:val="000000" w:themeColor="text1"/>
          <w:lang w:val="fr-CA"/>
        </w:rPr>
        <w:t xml:space="preserve"> </w:t>
      </w:r>
      <w:r>
        <w:rPr>
          <w:color w:val="000000" w:themeColor="text1"/>
          <w:lang w:val="fr-CA"/>
        </w:rPr>
        <w:t xml:space="preserve">nombre de </w:t>
      </w:r>
      <w:r w:rsidRPr="000C07F6">
        <w:rPr>
          <w:color w:val="000000" w:themeColor="text1"/>
          <w:lang w:val="fr-CA"/>
        </w:rPr>
        <w:t xml:space="preserve">demandes du public et du </w:t>
      </w:r>
      <w:r>
        <w:rPr>
          <w:color w:val="000000" w:themeColor="text1"/>
          <w:lang w:val="fr-CA"/>
        </w:rPr>
        <w:t>secteur privé ont augmenté de 10,1</w:t>
      </w:r>
      <w:r w:rsidRPr="000C07F6">
        <w:rPr>
          <w:color w:val="000000" w:themeColor="text1"/>
          <w:lang w:val="fr-CA"/>
        </w:rPr>
        <w:t> % et de 16</w:t>
      </w:r>
      <w:r>
        <w:rPr>
          <w:color w:val="000000" w:themeColor="text1"/>
          <w:lang w:val="fr-CA"/>
        </w:rPr>
        <w:t>,2</w:t>
      </w:r>
      <w:r w:rsidRPr="000C07F6">
        <w:rPr>
          <w:color w:val="000000" w:themeColor="text1"/>
          <w:lang w:val="fr-CA"/>
        </w:rPr>
        <w:t> %, respectivement, par rapport à l’année précédente, alors que les demandes des médias ont chuté de 41,6 %.</w:t>
      </w:r>
    </w:p>
    <w:p w:rsidR="006B6495" w:rsidRPr="000C07F6" w:rsidRDefault="006B6495" w:rsidP="006B6495">
      <w:pPr>
        <w:jc w:val="both"/>
        <w:rPr>
          <w:color w:val="000000" w:themeColor="text1"/>
          <w:lang w:val="fr-CA"/>
        </w:rPr>
      </w:pPr>
      <w:r w:rsidRPr="000C07F6">
        <w:rPr>
          <w:color w:val="000000" w:themeColor="text1"/>
          <w:lang w:val="fr-CA"/>
        </w:rPr>
        <w:t xml:space="preserve">JUS a </w:t>
      </w:r>
      <w:r>
        <w:rPr>
          <w:color w:val="000000" w:themeColor="text1"/>
          <w:lang w:val="fr-CA"/>
        </w:rPr>
        <w:t>complété</w:t>
      </w:r>
      <w:r w:rsidRPr="000C07F6">
        <w:rPr>
          <w:color w:val="000000" w:themeColor="text1"/>
          <w:lang w:val="fr-CA"/>
        </w:rPr>
        <w:t xml:space="preserve"> 551 demandes pour cette période de référence. Le taux d’achèvement</w:t>
      </w:r>
      <w:r>
        <w:rPr>
          <w:rStyle w:val="FootnoteReference"/>
          <w:color w:val="000000" w:themeColor="text1"/>
          <w:lang w:val="fr-CA"/>
        </w:rPr>
        <w:footnoteReference w:id="82"/>
      </w:r>
      <w:r w:rsidRPr="000C07F6">
        <w:rPr>
          <w:color w:val="000000" w:themeColor="text1"/>
          <w:lang w:val="fr-CA"/>
        </w:rPr>
        <w:t xml:space="preserve"> était de 87</w:t>
      </w:r>
      <w:r>
        <w:rPr>
          <w:color w:val="000000" w:themeColor="text1"/>
          <w:lang w:val="fr-CA"/>
        </w:rPr>
        <w:t>,0</w:t>
      </w:r>
      <w:r w:rsidRPr="000C07F6">
        <w:rPr>
          <w:color w:val="000000" w:themeColor="text1"/>
          <w:lang w:val="fr-CA"/>
        </w:rPr>
        <w:t> %, soit un taux supérieur à celui rapporté pour l’ensemble du gouvernement</w:t>
      </w:r>
      <w:r>
        <w:rPr>
          <w:color w:val="000000" w:themeColor="text1"/>
          <w:lang w:val="fr-CA"/>
        </w:rPr>
        <w:t xml:space="preserve"> qui lui, était de 85,1 %</w:t>
      </w:r>
      <w:r w:rsidRPr="000C07F6">
        <w:rPr>
          <w:color w:val="000000" w:themeColor="text1"/>
          <w:lang w:val="fr-CA"/>
        </w:rPr>
        <w:t>. En 2013</w:t>
      </w:r>
      <w:r>
        <w:rPr>
          <w:color w:val="000000" w:themeColor="text1"/>
          <w:lang w:val="fr-CA"/>
        </w:rPr>
        <w:t>-</w:t>
      </w:r>
      <w:r w:rsidRPr="000C07F6">
        <w:rPr>
          <w:color w:val="000000" w:themeColor="text1"/>
          <w:lang w:val="fr-CA"/>
        </w:rPr>
        <w:t>2014, le taux d’achèvement pour JUS était de 82</w:t>
      </w:r>
      <w:r>
        <w:rPr>
          <w:color w:val="000000" w:themeColor="text1"/>
          <w:lang w:val="fr-CA"/>
        </w:rPr>
        <w:t>,4</w:t>
      </w:r>
      <w:r w:rsidRPr="000C07F6">
        <w:rPr>
          <w:color w:val="000000" w:themeColor="text1"/>
          <w:lang w:val="fr-CA"/>
        </w:rPr>
        <w:t> %. JUS a</w:t>
      </w:r>
      <w:r>
        <w:rPr>
          <w:color w:val="000000" w:themeColor="text1"/>
          <w:lang w:val="fr-CA"/>
        </w:rPr>
        <w:t xml:space="preserve"> aussi</w:t>
      </w:r>
      <w:r w:rsidRPr="000C07F6">
        <w:rPr>
          <w:color w:val="000000" w:themeColor="text1"/>
          <w:lang w:val="fr-CA"/>
        </w:rPr>
        <w:t xml:space="preserve"> reçu 148 demandes informelles en 2014</w:t>
      </w:r>
      <w:r>
        <w:rPr>
          <w:color w:val="000000" w:themeColor="text1"/>
          <w:lang w:val="fr-CA"/>
        </w:rPr>
        <w:t>-</w:t>
      </w:r>
      <w:r w:rsidRPr="000C07F6">
        <w:rPr>
          <w:color w:val="000000" w:themeColor="text1"/>
          <w:lang w:val="fr-CA"/>
        </w:rPr>
        <w:t>2015, dont 139 </w:t>
      </w:r>
      <w:r>
        <w:rPr>
          <w:color w:val="000000" w:themeColor="text1"/>
          <w:lang w:val="fr-CA"/>
        </w:rPr>
        <w:t xml:space="preserve">qui </w:t>
      </w:r>
      <w:r w:rsidRPr="000C07F6">
        <w:rPr>
          <w:color w:val="000000" w:themeColor="text1"/>
          <w:lang w:val="fr-CA"/>
        </w:rPr>
        <w:t>ont été</w:t>
      </w:r>
      <w:r>
        <w:rPr>
          <w:color w:val="000000" w:themeColor="text1"/>
          <w:lang w:val="fr-CA"/>
        </w:rPr>
        <w:t xml:space="preserve"> complétées</w:t>
      </w:r>
      <w:r w:rsidRPr="000C07F6">
        <w:rPr>
          <w:color w:val="000000" w:themeColor="text1"/>
          <w:lang w:val="fr-CA"/>
        </w:rPr>
        <w:t xml:space="preserve"> en 30 jours</w:t>
      </w:r>
      <w:r>
        <w:rPr>
          <w:color w:val="000000" w:themeColor="text1"/>
          <w:lang w:val="fr-CA"/>
        </w:rPr>
        <w:t xml:space="preserve"> ou moins</w:t>
      </w:r>
      <w:r w:rsidRPr="000C07F6">
        <w:rPr>
          <w:color w:val="000000" w:themeColor="text1"/>
          <w:lang w:val="fr-CA"/>
        </w:rPr>
        <w:t xml:space="preserve">. </w:t>
      </w:r>
      <w:r w:rsidRPr="0050592C">
        <w:rPr>
          <w:lang w:val="fr-CA"/>
        </w:rPr>
        <w:t>Le nombre de demandes de consultations reçues par JUS en provenance d’autres institutions fédérales a diminué de 917 à 584, ce qui représente une bais</w:t>
      </w:r>
      <w:r>
        <w:rPr>
          <w:lang w:val="fr-CA"/>
        </w:rPr>
        <w:t>se de 36,3 % par rapport à 2013-</w:t>
      </w:r>
      <w:r w:rsidRPr="0050592C">
        <w:rPr>
          <w:lang w:val="fr-CA"/>
        </w:rPr>
        <w:t>2014. Notez que le nombre de demandes de consultation reçues par JUS en provenance d’autres institutions fédérales était plus élevé que le nombre de demandes reçues.</w:t>
      </w:r>
    </w:p>
    <w:p w:rsidR="006B6495" w:rsidRPr="000C07F6" w:rsidRDefault="006B6495" w:rsidP="006B6495">
      <w:pPr>
        <w:jc w:val="both"/>
        <w:rPr>
          <w:color w:val="000000" w:themeColor="text1"/>
          <w:lang w:val="fr-CA"/>
        </w:rPr>
      </w:pPr>
      <w:r w:rsidRPr="000C07F6">
        <w:rPr>
          <w:color w:val="000000" w:themeColor="text1"/>
          <w:lang w:val="fr-CA"/>
        </w:rPr>
        <w:t>En 2014</w:t>
      </w:r>
      <w:r>
        <w:rPr>
          <w:color w:val="000000" w:themeColor="text1"/>
          <w:lang w:val="fr-CA"/>
        </w:rPr>
        <w:t>-</w:t>
      </w:r>
      <w:r w:rsidRPr="000C07F6">
        <w:rPr>
          <w:color w:val="000000" w:themeColor="text1"/>
          <w:lang w:val="fr-CA"/>
        </w:rPr>
        <w:t xml:space="preserve">2015, JUS a traité 156 091 pages. Le nombre moyen de pages traitées par demande </w:t>
      </w:r>
      <w:r>
        <w:rPr>
          <w:color w:val="000000" w:themeColor="text1"/>
          <w:lang w:val="fr-CA"/>
        </w:rPr>
        <w:t>complétée était similaire à la période précédente (</w:t>
      </w:r>
      <w:r w:rsidRPr="000C07F6">
        <w:rPr>
          <w:color w:val="000000" w:themeColor="text1"/>
          <w:lang w:val="fr-CA"/>
        </w:rPr>
        <w:t>498 en 2013</w:t>
      </w:r>
      <w:r>
        <w:rPr>
          <w:color w:val="000000" w:themeColor="text1"/>
          <w:lang w:val="fr-CA"/>
        </w:rPr>
        <w:t>-2014 et</w:t>
      </w:r>
      <w:r w:rsidRPr="000C07F6">
        <w:rPr>
          <w:color w:val="000000" w:themeColor="text1"/>
          <w:lang w:val="fr-CA"/>
        </w:rPr>
        <w:t xml:space="preserve"> 495 en 2014</w:t>
      </w:r>
      <w:r>
        <w:rPr>
          <w:color w:val="000000" w:themeColor="text1"/>
          <w:lang w:val="fr-CA"/>
        </w:rPr>
        <w:t>-</w:t>
      </w:r>
      <w:r w:rsidRPr="000C07F6">
        <w:rPr>
          <w:color w:val="000000" w:themeColor="text1"/>
          <w:lang w:val="fr-CA"/>
        </w:rPr>
        <w:t>2015</w:t>
      </w:r>
      <w:r>
        <w:rPr>
          <w:color w:val="000000" w:themeColor="text1"/>
          <w:lang w:val="fr-CA"/>
        </w:rPr>
        <w:t>).</w:t>
      </w:r>
    </w:p>
    <w:p w:rsidR="006B6495" w:rsidRPr="00B07A36" w:rsidRDefault="006B6495" w:rsidP="006B6495">
      <w:pPr>
        <w:jc w:val="both"/>
        <w:rPr>
          <w:color w:val="000000" w:themeColor="text1"/>
          <w:lang w:val="fr-CA"/>
        </w:rPr>
      </w:pPr>
      <w:r w:rsidRPr="000C07F6">
        <w:rPr>
          <w:color w:val="000000" w:themeColor="text1"/>
          <w:lang w:val="fr-CA"/>
        </w:rPr>
        <w:t xml:space="preserve">L’information diffusée par JUS </w:t>
      </w:r>
      <w:r>
        <w:rPr>
          <w:color w:val="000000" w:themeColor="text1"/>
          <w:lang w:val="fr-CA"/>
        </w:rPr>
        <w:t>était majoritairement</w:t>
      </w:r>
      <w:r w:rsidRPr="000C07F6">
        <w:rPr>
          <w:color w:val="000000" w:themeColor="text1"/>
          <w:lang w:val="fr-CA"/>
        </w:rPr>
        <w:t xml:space="preserve"> en format papier</w:t>
      </w:r>
      <w:r>
        <w:rPr>
          <w:color w:val="000000" w:themeColor="text1"/>
          <w:lang w:val="fr-CA"/>
        </w:rPr>
        <w:t xml:space="preserve">: </w:t>
      </w:r>
      <w:r w:rsidRPr="000C07F6">
        <w:rPr>
          <w:color w:val="000000" w:themeColor="text1"/>
          <w:lang w:val="fr-CA"/>
        </w:rPr>
        <w:t>164</w:t>
      </w:r>
      <w:r>
        <w:rPr>
          <w:color w:val="000000" w:themeColor="text1"/>
          <w:lang w:val="fr-CA"/>
        </w:rPr>
        <w:t xml:space="preserve"> demandes en format papier </w:t>
      </w:r>
      <w:r w:rsidRPr="000C07F6">
        <w:rPr>
          <w:color w:val="000000" w:themeColor="text1"/>
          <w:lang w:val="fr-CA"/>
        </w:rPr>
        <w:t xml:space="preserve">par rapport à 79 </w:t>
      </w:r>
      <w:r>
        <w:rPr>
          <w:color w:val="000000" w:themeColor="text1"/>
          <w:lang w:val="fr-CA"/>
        </w:rPr>
        <w:t>en format électronique.</w:t>
      </w:r>
    </w:p>
    <w:p w:rsidR="006B6495" w:rsidRPr="00B07A36" w:rsidRDefault="006B6495" w:rsidP="006B6495">
      <w:pPr>
        <w:pStyle w:val="Heading3"/>
        <w:spacing w:after="0"/>
      </w:pPr>
      <w:r w:rsidRPr="00B07A36">
        <w:t xml:space="preserve">Tableau </w:t>
      </w:r>
      <w:proofErr w:type="gramStart"/>
      <w:r w:rsidRPr="00B07A36">
        <w:t>1 :</w:t>
      </w:r>
      <w:proofErr w:type="gramEnd"/>
      <w:r w:rsidRPr="00B07A36">
        <w:t xml:space="preserve"> Charge de travail</w:t>
      </w:r>
    </w:p>
    <w:tbl>
      <w:tblPr>
        <w:tblW w:w="9452" w:type="dxa"/>
        <w:tblInd w:w="98" w:type="dxa"/>
        <w:tblLook w:val="04A0"/>
      </w:tblPr>
      <w:tblGrid>
        <w:gridCol w:w="5237"/>
        <w:gridCol w:w="1405"/>
        <w:gridCol w:w="1405"/>
        <w:gridCol w:w="1405"/>
      </w:tblGrid>
      <w:tr w:rsidR="006B6495" w:rsidRPr="000C07F6" w:rsidTr="006B6495">
        <w:trPr>
          <w:trHeight w:val="259"/>
        </w:trPr>
        <w:tc>
          <w:tcPr>
            <w:tcW w:w="5237" w:type="dxa"/>
            <w:tcBorders>
              <w:top w:val="single" w:sz="8" w:space="0" w:color="auto"/>
              <w:left w:val="single" w:sz="8" w:space="0" w:color="auto"/>
              <w:bottom w:val="single" w:sz="8" w:space="0" w:color="auto"/>
              <w:right w:val="nil"/>
            </w:tcBorders>
            <w:shd w:val="clear" w:color="auto" w:fill="auto"/>
            <w:noWrap/>
            <w:vAlign w:val="bottom"/>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 xml:space="preserve">Mesures </w:t>
            </w:r>
          </w:p>
        </w:tc>
        <w:tc>
          <w:tcPr>
            <w:tcW w:w="1405" w:type="dxa"/>
            <w:tcBorders>
              <w:top w:val="single" w:sz="8" w:space="0" w:color="auto"/>
              <w:left w:val="nil"/>
              <w:bottom w:val="single" w:sz="8" w:space="0" w:color="auto"/>
              <w:right w:val="nil"/>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2012-2013</w:t>
            </w:r>
          </w:p>
        </w:tc>
        <w:tc>
          <w:tcPr>
            <w:tcW w:w="1405" w:type="dxa"/>
            <w:tcBorders>
              <w:top w:val="single" w:sz="8" w:space="0" w:color="auto"/>
              <w:left w:val="nil"/>
              <w:bottom w:val="single" w:sz="8" w:space="0" w:color="auto"/>
              <w:right w:val="nil"/>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2013-2014</w:t>
            </w:r>
          </w:p>
        </w:tc>
        <w:tc>
          <w:tcPr>
            <w:tcW w:w="1405" w:type="dxa"/>
            <w:tcBorders>
              <w:top w:val="single" w:sz="8" w:space="0" w:color="auto"/>
              <w:left w:val="nil"/>
              <w:bottom w:val="single" w:sz="8" w:space="0" w:color="auto"/>
              <w:right w:val="single" w:sz="8" w:space="0" w:color="auto"/>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2014-2015</w:t>
            </w:r>
          </w:p>
        </w:tc>
      </w:tr>
      <w:tr w:rsidR="006B6495" w:rsidRPr="000C07F6" w:rsidTr="006B6495">
        <w:trPr>
          <w:trHeight w:val="482"/>
        </w:trPr>
        <w:tc>
          <w:tcPr>
            <w:tcW w:w="5237" w:type="dxa"/>
            <w:tcBorders>
              <w:top w:val="nil"/>
              <w:left w:val="single" w:sz="8" w:space="0" w:color="auto"/>
              <w:bottom w:val="nil"/>
              <w:right w:val="nil"/>
            </w:tcBorders>
            <w:shd w:val="clear" w:color="000000" w:fill="DBE5F1"/>
            <w:noWrap/>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 xml:space="preserve">Nombre de demandes reçues </w:t>
            </w:r>
          </w:p>
        </w:tc>
        <w:tc>
          <w:tcPr>
            <w:tcW w:w="1405" w:type="dxa"/>
            <w:tcBorders>
              <w:top w:val="nil"/>
              <w:left w:val="nil"/>
              <w:bottom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343</w:t>
            </w:r>
          </w:p>
        </w:tc>
        <w:tc>
          <w:tcPr>
            <w:tcW w:w="1405" w:type="dxa"/>
            <w:tcBorders>
              <w:top w:val="nil"/>
              <w:left w:val="nil"/>
              <w:bottom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548</w:t>
            </w:r>
          </w:p>
        </w:tc>
        <w:tc>
          <w:tcPr>
            <w:tcW w:w="1405" w:type="dxa"/>
            <w:tcBorders>
              <w:top w:val="nil"/>
              <w:left w:val="nil"/>
              <w:bottom w:val="nil"/>
              <w:right w:val="single" w:sz="8" w:space="0" w:color="auto"/>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520</w:t>
            </w:r>
          </w:p>
        </w:tc>
      </w:tr>
      <w:tr w:rsidR="006B6495" w:rsidRPr="000C07F6" w:rsidTr="006B6495">
        <w:trPr>
          <w:trHeight w:val="566"/>
        </w:trPr>
        <w:tc>
          <w:tcPr>
            <w:tcW w:w="5237" w:type="dxa"/>
            <w:tcBorders>
              <w:top w:val="nil"/>
              <w:left w:val="single" w:sz="8" w:space="0" w:color="auto"/>
              <w:bottom w:val="nil"/>
              <w:right w:val="nil"/>
            </w:tcBorders>
            <w:shd w:val="clear" w:color="auto" w:fill="auto"/>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Variation annuelle en %</w:t>
            </w:r>
          </w:p>
        </w:tc>
        <w:tc>
          <w:tcPr>
            <w:tcW w:w="1405" w:type="dxa"/>
            <w:tcBorders>
              <w:top w:val="nil"/>
              <w:left w:val="nil"/>
              <w:bottom w:val="nil"/>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w:t>
            </w:r>
          </w:p>
        </w:tc>
        <w:tc>
          <w:tcPr>
            <w:tcW w:w="1405" w:type="dxa"/>
            <w:tcBorders>
              <w:top w:val="nil"/>
              <w:left w:val="nil"/>
              <w:bottom w:val="nil"/>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59,8 %</w:t>
            </w:r>
          </w:p>
        </w:tc>
        <w:tc>
          <w:tcPr>
            <w:tcW w:w="1405" w:type="dxa"/>
            <w:tcBorders>
              <w:top w:val="nil"/>
              <w:left w:val="nil"/>
              <w:bottom w:val="nil"/>
              <w:right w:val="single" w:sz="8" w:space="0" w:color="auto"/>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-5,1 %</w:t>
            </w:r>
          </w:p>
        </w:tc>
      </w:tr>
      <w:tr w:rsidR="006B6495" w:rsidRPr="000C07F6" w:rsidTr="006B6495">
        <w:trPr>
          <w:trHeight w:val="426"/>
        </w:trPr>
        <w:tc>
          <w:tcPr>
            <w:tcW w:w="5237" w:type="dxa"/>
            <w:tcBorders>
              <w:top w:val="nil"/>
              <w:left w:val="single" w:sz="8" w:space="0" w:color="auto"/>
              <w:right w:val="nil"/>
            </w:tcBorders>
            <w:shd w:val="clear" w:color="000000" w:fill="DBE5F1"/>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lastRenderedPageBreak/>
              <w:t xml:space="preserve">Demandes </w:t>
            </w:r>
            <w:r>
              <w:rPr>
                <w:rFonts w:ascii="Calibri" w:eastAsia="Times New Roman" w:hAnsi="Calibri" w:cs="Times New Roman"/>
                <w:color w:val="000000"/>
                <w:lang w:val="fr-CA"/>
              </w:rPr>
              <w:t>complétées</w:t>
            </w:r>
          </w:p>
        </w:tc>
        <w:tc>
          <w:tcPr>
            <w:tcW w:w="1405" w:type="dxa"/>
            <w:tcBorders>
              <w:top w:val="nil"/>
              <w:left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323</w:t>
            </w:r>
          </w:p>
        </w:tc>
        <w:tc>
          <w:tcPr>
            <w:tcW w:w="1405" w:type="dxa"/>
            <w:tcBorders>
              <w:top w:val="nil"/>
              <w:left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528</w:t>
            </w:r>
          </w:p>
        </w:tc>
        <w:tc>
          <w:tcPr>
            <w:tcW w:w="1405" w:type="dxa"/>
            <w:tcBorders>
              <w:top w:val="nil"/>
              <w:left w:val="nil"/>
              <w:right w:val="single" w:sz="8" w:space="0" w:color="auto"/>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551</w:t>
            </w:r>
          </w:p>
        </w:tc>
      </w:tr>
      <w:tr w:rsidR="006B6495" w:rsidRPr="000C07F6" w:rsidTr="006B6495">
        <w:trPr>
          <w:trHeight w:val="418"/>
        </w:trPr>
        <w:tc>
          <w:tcPr>
            <w:tcW w:w="5237" w:type="dxa"/>
            <w:tcBorders>
              <w:top w:val="nil"/>
              <w:left w:val="single" w:sz="8" w:space="0" w:color="auto"/>
              <w:right w:val="nil"/>
            </w:tcBorders>
            <w:shd w:val="clear" w:color="auto" w:fill="auto"/>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Variation annuelle en %</w:t>
            </w:r>
          </w:p>
        </w:tc>
        <w:tc>
          <w:tcPr>
            <w:tcW w:w="1405" w:type="dxa"/>
            <w:tcBorders>
              <w:top w:val="nil"/>
              <w:left w:val="nil"/>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w:t>
            </w:r>
          </w:p>
        </w:tc>
        <w:tc>
          <w:tcPr>
            <w:tcW w:w="1405" w:type="dxa"/>
            <w:tcBorders>
              <w:top w:val="nil"/>
              <w:left w:val="nil"/>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63,5 %</w:t>
            </w:r>
          </w:p>
        </w:tc>
        <w:tc>
          <w:tcPr>
            <w:tcW w:w="1405" w:type="dxa"/>
            <w:tcBorders>
              <w:top w:val="nil"/>
              <w:left w:val="nil"/>
              <w:right w:val="single" w:sz="8" w:space="0" w:color="auto"/>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4,4 %</w:t>
            </w:r>
          </w:p>
        </w:tc>
      </w:tr>
      <w:tr w:rsidR="006B6495" w:rsidRPr="000C07F6" w:rsidTr="006B6495">
        <w:trPr>
          <w:trHeight w:val="469"/>
        </w:trPr>
        <w:tc>
          <w:tcPr>
            <w:tcW w:w="5237" w:type="dxa"/>
            <w:tcBorders>
              <w:left w:val="single" w:sz="8" w:space="0" w:color="auto"/>
              <w:right w:val="nil"/>
            </w:tcBorders>
            <w:shd w:val="clear" w:color="000000" w:fill="DBE5F1"/>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Nombre de demandes de consultation reçues (d’autres institutions fédérales)</w:t>
            </w:r>
          </w:p>
        </w:tc>
        <w:tc>
          <w:tcPr>
            <w:tcW w:w="1405" w:type="dxa"/>
            <w:tcBorders>
              <w:left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1 339</w:t>
            </w:r>
          </w:p>
        </w:tc>
        <w:tc>
          <w:tcPr>
            <w:tcW w:w="1405" w:type="dxa"/>
            <w:tcBorders>
              <w:left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917</w:t>
            </w:r>
          </w:p>
        </w:tc>
        <w:tc>
          <w:tcPr>
            <w:tcW w:w="1405" w:type="dxa"/>
            <w:tcBorders>
              <w:left w:val="nil"/>
              <w:right w:val="single" w:sz="8" w:space="0" w:color="auto"/>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584</w:t>
            </w:r>
          </w:p>
        </w:tc>
      </w:tr>
      <w:tr w:rsidR="006B6495" w:rsidRPr="000C07F6" w:rsidTr="006B6495">
        <w:trPr>
          <w:trHeight w:val="395"/>
        </w:trPr>
        <w:tc>
          <w:tcPr>
            <w:tcW w:w="5237" w:type="dxa"/>
            <w:tcBorders>
              <w:top w:val="nil"/>
              <w:left w:val="single" w:sz="8" w:space="0" w:color="auto"/>
              <w:right w:val="nil"/>
            </w:tcBorders>
            <w:shd w:val="clear" w:color="auto" w:fill="auto"/>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Variation annuelle en %</w:t>
            </w:r>
          </w:p>
        </w:tc>
        <w:tc>
          <w:tcPr>
            <w:tcW w:w="1405" w:type="dxa"/>
            <w:tcBorders>
              <w:top w:val="nil"/>
              <w:left w:val="nil"/>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w:t>
            </w:r>
          </w:p>
        </w:tc>
        <w:tc>
          <w:tcPr>
            <w:tcW w:w="1405" w:type="dxa"/>
            <w:tcBorders>
              <w:top w:val="nil"/>
              <w:left w:val="nil"/>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-31,5 %</w:t>
            </w:r>
          </w:p>
        </w:tc>
        <w:tc>
          <w:tcPr>
            <w:tcW w:w="1405" w:type="dxa"/>
            <w:tcBorders>
              <w:top w:val="nil"/>
              <w:left w:val="nil"/>
              <w:right w:val="single" w:sz="8" w:space="0" w:color="auto"/>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-36,3 %</w:t>
            </w:r>
          </w:p>
        </w:tc>
      </w:tr>
      <w:tr w:rsidR="006B6495" w:rsidRPr="000C07F6" w:rsidTr="006B6495">
        <w:trPr>
          <w:trHeight w:val="506"/>
        </w:trPr>
        <w:tc>
          <w:tcPr>
            <w:tcW w:w="5237" w:type="dxa"/>
            <w:tcBorders>
              <w:left w:val="single" w:sz="8" w:space="0" w:color="auto"/>
              <w:bottom w:val="nil"/>
              <w:right w:val="nil"/>
            </w:tcBorders>
            <w:shd w:val="clear" w:color="000000" w:fill="DBE5F1"/>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405" w:type="dxa"/>
            <w:tcBorders>
              <w:left w:val="nil"/>
              <w:bottom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472</w:t>
            </w:r>
          </w:p>
        </w:tc>
        <w:tc>
          <w:tcPr>
            <w:tcW w:w="1405" w:type="dxa"/>
            <w:tcBorders>
              <w:left w:val="nil"/>
              <w:bottom w:val="nil"/>
              <w:right w:val="nil"/>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498</w:t>
            </w:r>
          </w:p>
        </w:tc>
        <w:tc>
          <w:tcPr>
            <w:tcW w:w="1405" w:type="dxa"/>
            <w:tcBorders>
              <w:left w:val="nil"/>
              <w:bottom w:val="nil"/>
              <w:right w:val="single" w:sz="8" w:space="0" w:color="auto"/>
            </w:tcBorders>
            <w:shd w:val="clear" w:color="000000" w:fill="DBE5F1"/>
            <w:noWrap/>
            <w:vAlign w:val="center"/>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496</w:t>
            </w:r>
          </w:p>
        </w:tc>
      </w:tr>
      <w:tr w:rsidR="006B6495" w:rsidRPr="000C07F6" w:rsidTr="006B6495">
        <w:trPr>
          <w:trHeight w:val="445"/>
        </w:trPr>
        <w:tc>
          <w:tcPr>
            <w:tcW w:w="5237" w:type="dxa"/>
            <w:tcBorders>
              <w:top w:val="nil"/>
              <w:left w:val="single" w:sz="8" w:space="0" w:color="auto"/>
              <w:bottom w:val="single" w:sz="8" w:space="0" w:color="auto"/>
              <w:right w:val="nil"/>
            </w:tcBorders>
            <w:shd w:val="clear" w:color="auto" w:fill="auto"/>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 des demande</w:t>
            </w:r>
            <w:r>
              <w:rPr>
                <w:rFonts w:ascii="Calibri" w:eastAsia="Times New Roman" w:hAnsi="Calibri" w:cs="Times New Roman"/>
                <w:color w:val="000000"/>
                <w:lang w:val="fr-CA"/>
              </w:rPr>
              <w:t>s pour lesquelles plus de 1 000 </w:t>
            </w:r>
            <w:r w:rsidRPr="000C07F6">
              <w:rPr>
                <w:rFonts w:ascii="Calibri" w:eastAsia="Times New Roman" w:hAnsi="Calibri" w:cs="Times New Roman"/>
                <w:color w:val="000000"/>
                <w:lang w:val="fr-CA"/>
              </w:rPr>
              <w:t>pages ont été traitées</w:t>
            </w:r>
          </w:p>
        </w:tc>
        <w:tc>
          <w:tcPr>
            <w:tcW w:w="1405" w:type="dxa"/>
            <w:tcBorders>
              <w:top w:val="nil"/>
              <w:left w:val="nil"/>
              <w:bottom w:val="single" w:sz="8" w:space="0" w:color="auto"/>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8,6 %</w:t>
            </w:r>
          </w:p>
        </w:tc>
        <w:tc>
          <w:tcPr>
            <w:tcW w:w="1405" w:type="dxa"/>
            <w:tcBorders>
              <w:top w:val="nil"/>
              <w:left w:val="nil"/>
              <w:bottom w:val="single" w:sz="8" w:space="0" w:color="auto"/>
              <w:right w:val="nil"/>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7,9 %</w:t>
            </w:r>
          </w:p>
        </w:tc>
        <w:tc>
          <w:tcPr>
            <w:tcW w:w="1405" w:type="dxa"/>
            <w:tcBorders>
              <w:top w:val="nil"/>
              <w:left w:val="nil"/>
              <w:bottom w:val="single" w:sz="8" w:space="0" w:color="auto"/>
              <w:right w:val="single" w:sz="8" w:space="0" w:color="auto"/>
            </w:tcBorders>
            <w:shd w:val="clear" w:color="auto" w:fill="auto"/>
            <w:noWrap/>
            <w:vAlign w:val="center"/>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8,6 %</w:t>
            </w:r>
          </w:p>
        </w:tc>
      </w:tr>
    </w:tbl>
    <w:p w:rsidR="006B6495" w:rsidRPr="00B07A36" w:rsidRDefault="006B6495" w:rsidP="006B6495">
      <w:pPr>
        <w:pStyle w:val="Heading2"/>
        <w:spacing w:before="240"/>
      </w:pPr>
      <w:r w:rsidRPr="00B07A36">
        <w:t>Délai de traitement des demandes</w:t>
      </w:r>
    </w:p>
    <w:p w:rsidR="006B6495" w:rsidRPr="00B07A36" w:rsidRDefault="006B6495" w:rsidP="006B6495">
      <w:pPr>
        <w:pStyle w:val="Heading4"/>
      </w:pPr>
      <w:r w:rsidRPr="00B07A36">
        <w:t>Rapidité</w:t>
      </w:r>
    </w:p>
    <w:p w:rsidR="006B6495" w:rsidRPr="000C07F6" w:rsidRDefault="006B6495" w:rsidP="006B6495">
      <w:pPr>
        <w:jc w:val="both"/>
        <w:rPr>
          <w:color w:val="000000" w:themeColor="text1"/>
          <w:lang w:val="fr-CA"/>
        </w:rPr>
      </w:pPr>
      <w:r w:rsidRPr="000C07F6">
        <w:rPr>
          <w:color w:val="000000" w:themeColor="text1"/>
          <w:lang w:val="fr-CA"/>
        </w:rPr>
        <w:t xml:space="preserve">La figure 1 révèle que 74,4 % des demandes ont été </w:t>
      </w:r>
      <w:r>
        <w:rPr>
          <w:color w:val="000000" w:themeColor="text1"/>
          <w:lang w:val="fr-CA"/>
        </w:rPr>
        <w:t>complétées</w:t>
      </w:r>
      <w:r w:rsidRPr="000C07F6">
        <w:rPr>
          <w:color w:val="000000" w:themeColor="text1"/>
          <w:lang w:val="fr-CA"/>
        </w:rPr>
        <w:t xml:space="preserve"> en 30 jours ou moins, un résultat légèrement supérieur à celui rapporté en 2013</w:t>
      </w:r>
      <w:r>
        <w:rPr>
          <w:color w:val="000000" w:themeColor="text1"/>
          <w:lang w:val="fr-CA"/>
        </w:rPr>
        <w:t>-2014</w:t>
      </w:r>
      <w:r w:rsidRPr="000C07F6">
        <w:rPr>
          <w:color w:val="000000" w:themeColor="text1"/>
          <w:lang w:val="fr-CA"/>
        </w:rPr>
        <w:t xml:space="preserve"> et bien supérieur à la moyenne pour l’ensemble du gouvernement. Le </w:t>
      </w:r>
      <w:r>
        <w:rPr>
          <w:color w:val="000000" w:themeColor="text1"/>
          <w:lang w:val="fr-CA"/>
        </w:rPr>
        <w:t>nombre</w:t>
      </w:r>
      <w:r w:rsidRPr="000C07F6">
        <w:rPr>
          <w:color w:val="000000" w:themeColor="text1"/>
          <w:lang w:val="fr-CA"/>
        </w:rPr>
        <w:t xml:space="preserve"> de demandes </w:t>
      </w:r>
      <w:r>
        <w:rPr>
          <w:color w:val="000000" w:themeColor="text1"/>
          <w:lang w:val="fr-CA"/>
        </w:rPr>
        <w:t>complétées en 31 jours ou plus était relativement similaire.</w:t>
      </w:r>
    </w:p>
    <w:p w:rsidR="006B6495" w:rsidRPr="00671F93" w:rsidRDefault="006B6495" w:rsidP="006B6495">
      <w:pPr>
        <w:spacing w:line="240" w:lineRule="auto"/>
        <w:rPr>
          <w:sz w:val="24"/>
          <w:szCs w:val="24"/>
          <w:lang w:val="fr-CA"/>
        </w:rPr>
      </w:pPr>
      <w:r w:rsidRPr="00B07A36">
        <w:rPr>
          <w:rStyle w:val="Heading3Char"/>
          <w:lang w:val="fr-FR"/>
        </w:rPr>
        <w:t>Figure 1 : Délai de trai</w:t>
      </w:r>
      <w:r>
        <w:rPr>
          <w:rStyle w:val="Heading3Char"/>
          <w:lang w:val="fr-FR"/>
        </w:rPr>
        <w:t>tement des demandes</w:t>
      </w:r>
      <w:r w:rsidRPr="00C57CD6">
        <w:rPr>
          <w:noProof/>
          <w:color w:val="FF0000"/>
          <w:sz w:val="24"/>
          <w:szCs w:val="24"/>
        </w:rPr>
        <w:drawing>
          <wp:inline distT="0" distB="0" distL="0" distR="0">
            <wp:extent cx="5947576" cy="3919993"/>
            <wp:effectExtent l="0" t="0" r="15240" b="23495"/>
            <wp:docPr id="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B6495" w:rsidRDefault="006B6495">
      <w:pPr>
        <w:rPr>
          <w:lang w:val="fr-CA"/>
        </w:rPr>
      </w:pPr>
      <w:r w:rsidRPr="00957E09">
        <w:rPr>
          <w:lang w:val="fr-FR"/>
        </w:rPr>
        <w:br w:type="page"/>
      </w:r>
    </w:p>
    <w:p w:rsidR="006B6495" w:rsidRPr="00B07A36" w:rsidRDefault="006B6495" w:rsidP="006B6495">
      <w:pPr>
        <w:pStyle w:val="Heading4"/>
      </w:pPr>
      <w:r w:rsidRPr="00B07A36">
        <w:lastRenderedPageBreak/>
        <w:t>Prorogations</w:t>
      </w:r>
    </w:p>
    <w:p w:rsidR="006B6495" w:rsidRPr="001B77A5" w:rsidRDefault="006B6495" w:rsidP="006B6495">
      <w:pPr>
        <w:jc w:val="both"/>
        <w:rPr>
          <w:color w:val="000000" w:themeColor="text1"/>
          <w:lang w:val="fr-CA"/>
        </w:rPr>
      </w:pPr>
      <w:r w:rsidRPr="001B77A5">
        <w:rPr>
          <w:color w:val="000000" w:themeColor="text1"/>
          <w:lang w:val="fr-CA"/>
        </w:rPr>
        <w:t>JUS a eu recours à 172 prorogations en 2014-2015 par rapport à 141 en 2013-2014. L</w:t>
      </w:r>
      <w:r w:rsidRPr="001B77A5">
        <w:rPr>
          <w:lang w:val="fr-CA"/>
        </w:rPr>
        <w:t>’entrave au fonctionnement de l’institution</w:t>
      </w:r>
      <w:r w:rsidRPr="001B77A5">
        <w:rPr>
          <w:color w:val="000000" w:themeColor="text1"/>
          <w:lang w:val="fr-CA"/>
        </w:rPr>
        <w:t xml:space="preserve"> (49,4 %) était la raison la plus fréquemment invoquée pour demander une prorogation, suivie des demandes de consultation (47,7 %) et des avis à des tiers (2,9 %).</w:t>
      </w:r>
    </w:p>
    <w:p w:rsidR="006B6495" w:rsidRPr="001B77A5" w:rsidRDefault="006B6495" w:rsidP="006B6495">
      <w:pPr>
        <w:jc w:val="both"/>
        <w:rPr>
          <w:color w:val="000000" w:themeColor="text1"/>
          <w:lang w:val="fr-CA"/>
        </w:rPr>
      </w:pPr>
      <w:r w:rsidRPr="001B77A5">
        <w:rPr>
          <w:color w:val="000000" w:themeColor="text1"/>
          <w:lang w:val="fr-CA"/>
        </w:rPr>
        <w:t>La figure 2 montre que 38,4 % des prorogations étaient de 30 jours ou moins, un résultat supérieur de 4,8 % par rapport à 2013-2014. La figure 2 montre également que la part des prorogations de 31 à 60 jours en 2014-2015 a augmenté de 3,1 % par rapport à 2013-2014. Le nombre de prorogations entre 121 et 180 jours a diminué de 11,2 %.</w:t>
      </w:r>
    </w:p>
    <w:p w:rsidR="006B6495" w:rsidRPr="008F7E24" w:rsidRDefault="006B6495" w:rsidP="006B6495">
      <w:pPr>
        <w:rPr>
          <w:lang w:val="fr-CA"/>
        </w:rPr>
      </w:pPr>
      <w:r w:rsidRPr="00690163">
        <w:rPr>
          <w:rStyle w:val="Heading3Char"/>
          <w:lang w:val="fr-FR"/>
        </w:rPr>
        <w:t>Fig</w:t>
      </w:r>
      <w:r>
        <w:rPr>
          <w:rStyle w:val="Heading3Char"/>
          <w:lang w:val="fr-FR"/>
        </w:rPr>
        <w:t>ure 2 : Durée des prorogations</w:t>
      </w:r>
      <w:r w:rsidRPr="00C57CD6">
        <w:rPr>
          <w:noProof/>
        </w:rPr>
        <w:drawing>
          <wp:inline distT="0" distB="0" distL="0" distR="0">
            <wp:extent cx="5895833" cy="4148919"/>
            <wp:effectExtent l="0" t="0" r="10160" b="23495"/>
            <wp:docPr id="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6B6495" w:rsidRPr="00B07A36" w:rsidRDefault="006B6495" w:rsidP="006B6495">
      <w:pPr>
        <w:pStyle w:val="Heading4"/>
      </w:pPr>
      <w:r w:rsidRPr="00B07A36">
        <w:t>Présomptions de refus</w:t>
      </w:r>
    </w:p>
    <w:p w:rsidR="006B6495" w:rsidRPr="001B77A5" w:rsidRDefault="006B6495" w:rsidP="006B6495">
      <w:pPr>
        <w:jc w:val="both"/>
        <w:rPr>
          <w:lang w:val="fr-CA"/>
        </w:rPr>
      </w:pPr>
      <w:r w:rsidRPr="001B77A5">
        <w:rPr>
          <w:lang w:val="fr-CA"/>
        </w:rPr>
        <w:t xml:space="preserve">En 2014-2015, 42 demandes ont été fermées après l’échéancier réglementaire, ce qui représente 7,6 % de toutes les demandes </w:t>
      </w:r>
      <w:proofErr w:type="spellStart"/>
      <w:r w:rsidRPr="001B77A5">
        <w:rPr>
          <w:lang w:val="fr-CA"/>
        </w:rPr>
        <w:t>compl</w:t>
      </w:r>
      <w:r w:rsidRPr="001B77A5">
        <w:rPr>
          <w:lang w:val="fr-FR"/>
        </w:rPr>
        <w:t>étées</w:t>
      </w:r>
      <w:proofErr w:type="spellEnd"/>
      <w:r w:rsidRPr="001B77A5">
        <w:rPr>
          <w:lang w:val="fr-CA"/>
        </w:rPr>
        <w:t>. Ce résultat procure à JUS la note de « B »</w:t>
      </w:r>
      <w:r w:rsidRPr="001B77A5">
        <w:rPr>
          <w:rStyle w:val="FootnoteReference"/>
          <w:lang w:val="fr-CA"/>
        </w:rPr>
        <w:footnoteReference w:id="83"/>
      </w:r>
      <w:r w:rsidRPr="001B77A5">
        <w:rPr>
          <w:lang w:val="fr-CA"/>
        </w:rPr>
        <w:t xml:space="preserve">. 28,6 % de ces demandes étaient en retard de 30 jours ou moins, alors que 40,5 % étaient en retard de plus de </w:t>
      </w:r>
      <w:r w:rsidRPr="001B77A5">
        <w:rPr>
          <w:lang w:val="fr-CA"/>
        </w:rPr>
        <w:lastRenderedPageBreak/>
        <w:t>365 jours (voir figure 3). La charge de travail (59,5 %) et les demandes de consultation (23,8 %) étaient les raisons les plus fréquemment invoquées pour justifier ces retards.</w:t>
      </w:r>
    </w:p>
    <w:p w:rsidR="006B6495" w:rsidRPr="008F7E24" w:rsidRDefault="006B6495" w:rsidP="006B6495">
      <w:pPr>
        <w:rPr>
          <w:lang w:val="fr-CA"/>
        </w:rPr>
      </w:pPr>
      <w:r w:rsidRPr="00690163">
        <w:rPr>
          <w:rStyle w:val="Heading3Char"/>
          <w:lang w:val="fr-FR"/>
        </w:rPr>
        <w:t>Figure 3 : Retard</w:t>
      </w:r>
      <w:r>
        <w:rPr>
          <w:rStyle w:val="Heading3Char"/>
          <w:lang w:val="fr-FR"/>
        </w:rPr>
        <w:t xml:space="preserve"> des demandes échues</w:t>
      </w:r>
      <w:r w:rsidRPr="00C57CD6">
        <w:rPr>
          <w:noProof/>
        </w:rPr>
        <w:drawing>
          <wp:inline distT="0" distB="0" distL="0" distR="0">
            <wp:extent cx="5854535" cy="4346368"/>
            <wp:effectExtent l="0" t="0" r="13335" b="16510"/>
            <wp:docPr id="7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6B6495" w:rsidRDefault="006B6495" w:rsidP="006B6495">
      <w:pPr>
        <w:pStyle w:val="Heading2"/>
      </w:pPr>
      <w:r w:rsidRPr="00B07A36">
        <w:t>Divulgation</w:t>
      </w:r>
    </w:p>
    <w:p w:rsidR="006B6495" w:rsidRPr="00B07A36" w:rsidRDefault="006B6495" w:rsidP="006B6495">
      <w:pPr>
        <w:pStyle w:val="Heading4"/>
        <w:rPr>
          <w:b/>
        </w:rPr>
      </w:pPr>
      <w:r w:rsidRPr="00B07A36">
        <w:t>Pourcentage de demandes pour lesquelle</w:t>
      </w:r>
      <w:r>
        <w:t>s l’information a été divulguée</w:t>
      </w:r>
    </w:p>
    <w:p w:rsidR="006B6495" w:rsidRPr="000C07F6" w:rsidRDefault="006B6495" w:rsidP="006B6495">
      <w:pPr>
        <w:jc w:val="both"/>
        <w:rPr>
          <w:lang w:val="fr-CA"/>
        </w:rPr>
      </w:pPr>
      <w:r w:rsidRPr="000C07F6">
        <w:rPr>
          <w:lang w:val="fr-CA"/>
        </w:rPr>
        <w:t>En 2014</w:t>
      </w:r>
      <w:r>
        <w:rPr>
          <w:lang w:val="fr-CA"/>
        </w:rPr>
        <w:t>-</w:t>
      </w:r>
      <w:r w:rsidRPr="000C07F6">
        <w:rPr>
          <w:lang w:val="fr-CA"/>
        </w:rPr>
        <w:t>2015, 8,7 </w:t>
      </w:r>
      <w:r>
        <w:rPr>
          <w:lang w:val="fr-CA"/>
        </w:rPr>
        <w:t>% de toutes les demandes complét</w:t>
      </w:r>
      <w:r w:rsidRPr="000C07F6">
        <w:rPr>
          <w:lang w:val="fr-CA"/>
        </w:rPr>
        <w:t xml:space="preserve">ées ont fait l’objet d’une divulgation complète, ce qui représente un taux inférieur à celui de </w:t>
      </w:r>
      <w:r>
        <w:rPr>
          <w:lang w:val="fr-CA"/>
        </w:rPr>
        <w:t>2013-</w:t>
      </w:r>
      <w:r w:rsidRPr="000C07F6">
        <w:rPr>
          <w:lang w:val="fr-CA"/>
        </w:rPr>
        <w:t>2014 (voir figure 4). La figure </w:t>
      </w:r>
      <w:r>
        <w:rPr>
          <w:lang w:val="fr-CA"/>
        </w:rPr>
        <w:t>4 montre que le taux de</w:t>
      </w:r>
      <w:r w:rsidRPr="000C07F6">
        <w:rPr>
          <w:lang w:val="fr-CA"/>
        </w:rPr>
        <w:t xml:space="preserve"> demandes faisant l’objet d’une divulgation partielle était de 35</w:t>
      </w:r>
      <w:r>
        <w:rPr>
          <w:lang w:val="fr-CA"/>
        </w:rPr>
        <w:t>,4</w:t>
      </w:r>
      <w:r w:rsidRPr="000C07F6">
        <w:rPr>
          <w:lang w:val="fr-CA"/>
        </w:rPr>
        <w:t xml:space="preserve"> % en 2014-2015, ce qui représente une diminution </w:t>
      </w:r>
      <w:r>
        <w:rPr>
          <w:lang w:val="fr-CA"/>
        </w:rPr>
        <w:t>de 8,6%</w:t>
      </w:r>
      <w:r w:rsidRPr="000C07F6">
        <w:rPr>
          <w:lang w:val="fr-CA"/>
        </w:rPr>
        <w:t xml:space="preserve"> par r</w:t>
      </w:r>
      <w:r>
        <w:rPr>
          <w:lang w:val="fr-CA"/>
        </w:rPr>
        <w:t>apport à la période précédente.</w:t>
      </w:r>
    </w:p>
    <w:p w:rsidR="006B6495" w:rsidRPr="000C07F6" w:rsidRDefault="006B6495" w:rsidP="006B6495">
      <w:pPr>
        <w:spacing w:line="240" w:lineRule="auto"/>
        <w:rPr>
          <w:lang w:val="fr-CA"/>
        </w:rPr>
      </w:pPr>
      <w:r w:rsidRPr="00690163">
        <w:rPr>
          <w:rStyle w:val="Heading3Char"/>
          <w:lang w:val="fr-FR"/>
        </w:rPr>
        <w:lastRenderedPageBreak/>
        <w:t>Figure 4 : Niveau de divulgation</w:t>
      </w:r>
      <w:r w:rsidRPr="00C57CD6">
        <w:rPr>
          <w:noProof/>
        </w:rPr>
        <w:drawing>
          <wp:inline distT="0" distB="0" distL="0" distR="0">
            <wp:extent cx="5890161" cy="3764477"/>
            <wp:effectExtent l="0" t="0" r="15875" b="26670"/>
            <wp:docPr id="7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6B6495" w:rsidRPr="00B07A36" w:rsidRDefault="006B6495" w:rsidP="006B6495">
      <w:pPr>
        <w:pStyle w:val="Heading4"/>
      </w:pPr>
      <w:r>
        <w:t>Exceptions</w:t>
      </w:r>
    </w:p>
    <w:p w:rsidR="006B6495" w:rsidRDefault="006B6495" w:rsidP="006B6495">
      <w:pPr>
        <w:jc w:val="both"/>
        <w:rPr>
          <w:lang w:val="fr-CA"/>
        </w:rPr>
      </w:pPr>
      <w:r w:rsidRPr="000C07F6">
        <w:rPr>
          <w:lang w:val="fr-CA"/>
        </w:rPr>
        <w:t xml:space="preserve">Le nombre </w:t>
      </w:r>
      <w:r>
        <w:rPr>
          <w:lang w:val="fr-CA"/>
        </w:rPr>
        <w:t xml:space="preserve">d’exceptions par demande </w:t>
      </w:r>
      <w:r w:rsidRPr="00641FF9">
        <w:rPr>
          <w:lang w:val="fr-CA"/>
        </w:rPr>
        <w:t xml:space="preserve">complétée a légèrement diminué de 1.24 en 2013-2014 à 1.13 en 2014-2015 </w:t>
      </w:r>
      <w:r>
        <w:rPr>
          <w:lang w:val="fr-CA"/>
        </w:rPr>
        <w:t>(voir tableau 2). En 2014-</w:t>
      </w:r>
      <w:r w:rsidRPr="00641FF9">
        <w:rPr>
          <w:lang w:val="fr-CA"/>
        </w:rPr>
        <w:t>2015, les exceptions les plus fréquemment invoquées pour cette période étaient l’article 21 (les activités du gouvernement)</w:t>
      </w:r>
      <w:r>
        <w:rPr>
          <w:lang w:val="fr-CA"/>
        </w:rPr>
        <w:t xml:space="preserve"> (30,0</w:t>
      </w:r>
      <w:r w:rsidRPr="00641FF9">
        <w:rPr>
          <w:lang w:val="fr-CA"/>
        </w:rPr>
        <w:t> %), l’article 19 (les renseignements personnels</w:t>
      </w:r>
      <w:r>
        <w:rPr>
          <w:lang w:val="fr-CA"/>
        </w:rPr>
        <w:t>) (22,4 %), suivies de l’art</w:t>
      </w:r>
      <w:r w:rsidRPr="00641FF9">
        <w:rPr>
          <w:lang w:val="fr-CA"/>
        </w:rPr>
        <w:t>i</w:t>
      </w:r>
      <w:r>
        <w:rPr>
          <w:lang w:val="fr-CA"/>
        </w:rPr>
        <w:t>c</w:t>
      </w:r>
      <w:r w:rsidRPr="00641FF9">
        <w:rPr>
          <w:lang w:val="fr-CA"/>
        </w:rPr>
        <w:t xml:space="preserve">le 23 (secret professionnel des avocats) </w:t>
      </w:r>
      <w:r>
        <w:rPr>
          <w:lang w:val="fr-CA"/>
        </w:rPr>
        <w:t>(18,1</w:t>
      </w:r>
      <w:r w:rsidRPr="00641FF9">
        <w:rPr>
          <w:lang w:val="fr-CA"/>
        </w:rPr>
        <w:t> %).</w:t>
      </w:r>
    </w:p>
    <w:p w:rsidR="006B6495" w:rsidRPr="000C07F6" w:rsidRDefault="006B6495" w:rsidP="006B6495">
      <w:pPr>
        <w:pStyle w:val="Heading3"/>
        <w:rPr>
          <w:lang w:val="fr-CA"/>
        </w:rPr>
      </w:pPr>
      <w:r w:rsidRPr="000C07F6">
        <w:rPr>
          <w:lang w:val="fr-CA"/>
        </w:rPr>
        <w:t>Tableau 2 : Exceptions</w:t>
      </w:r>
    </w:p>
    <w:tbl>
      <w:tblPr>
        <w:tblW w:w="9727" w:type="dxa"/>
        <w:tblInd w:w="98" w:type="dxa"/>
        <w:tblLook w:val="04A0"/>
      </w:tblPr>
      <w:tblGrid>
        <w:gridCol w:w="5587"/>
        <w:gridCol w:w="1380"/>
        <w:gridCol w:w="1380"/>
        <w:gridCol w:w="1380"/>
      </w:tblGrid>
      <w:tr w:rsidR="006B6495" w:rsidRPr="000C07F6" w:rsidTr="006B6495">
        <w:trPr>
          <w:trHeight w:val="348"/>
        </w:trPr>
        <w:tc>
          <w:tcPr>
            <w:tcW w:w="5587" w:type="dxa"/>
            <w:tcBorders>
              <w:top w:val="single" w:sz="8" w:space="0" w:color="auto"/>
              <w:left w:val="single" w:sz="8" w:space="0" w:color="auto"/>
              <w:bottom w:val="single" w:sz="8" w:space="0" w:color="auto"/>
              <w:right w:val="nil"/>
            </w:tcBorders>
            <w:shd w:val="clear" w:color="000000" w:fill="DBE5F1"/>
            <w:noWrap/>
            <w:vAlign w:val="bottom"/>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 xml:space="preserve">Exceptions </w:t>
            </w:r>
          </w:p>
        </w:tc>
        <w:tc>
          <w:tcPr>
            <w:tcW w:w="1380" w:type="dxa"/>
            <w:tcBorders>
              <w:top w:val="single" w:sz="8" w:space="0" w:color="auto"/>
              <w:left w:val="nil"/>
              <w:bottom w:val="single" w:sz="8" w:space="0" w:color="auto"/>
              <w:right w:val="nil"/>
            </w:tcBorders>
            <w:shd w:val="clear" w:color="000000" w:fill="DBE5F1"/>
            <w:noWrap/>
            <w:vAlign w:val="bottom"/>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2012-2013</w:t>
            </w:r>
          </w:p>
        </w:tc>
        <w:tc>
          <w:tcPr>
            <w:tcW w:w="1380" w:type="dxa"/>
            <w:tcBorders>
              <w:top w:val="single" w:sz="8" w:space="0" w:color="auto"/>
              <w:left w:val="nil"/>
              <w:bottom w:val="single" w:sz="8" w:space="0" w:color="auto"/>
              <w:right w:val="nil"/>
            </w:tcBorders>
            <w:shd w:val="clear" w:color="000000" w:fill="DBE5F1"/>
            <w:noWrap/>
            <w:vAlign w:val="bottom"/>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2013-2014</w:t>
            </w:r>
          </w:p>
        </w:tc>
        <w:tc>
          <w:tcPr>
            <w:tcW w:w="1380" w:type="dxa"/>
            <w:tcBorders>
              <w:top w:val="single" w:sz="8" w:space="0" w:color="auto"/>
              <w:left w:val="nil"/>
              <w:bottom w:val="single" w:sz="8" w:space="0" w:color="auto"/>
              <w:right w:val="single" w:sz="8" w:space="0" w:color="auto"/>
            </w:tcBorders>
            <w:shd w:val="clear" w:color="000000" w:fill="DBE5F1"/>
            <w:noWrap/>
            <w:vAlign w:val="bottom"/>
            <w:hideMark/>
          </w:tcPr>
          <w:p w:rsidR="006B6495" w:rsidRPr="000C07F6" w:rsidRDefault="006B6495" w:rsidP="006B6495">
            <w:pPr>
              <w:spacing w:after="0" w:line="240" w:lineRule="auto"/>
              <w:jc w:val="center"/>
              <w:rPr>
                <w:rFonts w:ascii="Calibri" w:eastAsia="Times New Roman" w:hAnsi="Calibri" w:cs="Times New Roman"/>
                <w:b/>
                <w:bCs/>
                <w:color w:val="000000"/>
                <w:lang w:val="fr-CA"/>
              </w:rPr>
            </w:pPr>
            <w:r w:rsidRPr="000C07F6">
              <w:rPr>
                <w:rFonts w:ascii="Calibri" w:eastAsia="Times New Roman" w:hAnsi="Calibri" w:cs="Times New Roman"/>
                <w:b/>
                <w:bCs/>
                <w:color w:val="000000"/>
                <w:lang w:val="fr-CA"/>
              </w:rPr>
              <w:t>2014-2015</w:t>
            </w:r>
          </w:p>
        </w:tc>
      </w:tr>
      <w:tr w:rsidR="006B6495" w:rsidRPr="000C07F6" w:rsidTr="006B6495">
        <w:trPr>
          <w:trHeight w:val="331"/>
        </w:trPr>
        <w:tc>
          <w:tcPr>
            <w:tcW w:w="5587" w:type="dxa"/>
            <w:tcBorders>
              <w:top w:val="nil"/>
              <w:left w:val="single" w:sz="8" w:space="0" w:color="auto"/>
              <w:bottom w:val="nil"/>
              <w:right w:val="nil"/>
            </w:tcBorders>
            <w:shd w:val="clear" w:color="auto" w:fill="auto"/>
            <w:noWrap/>
            <w:vAlign w:val="bottom"/>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Nombre total d’exceptions</w:t>
            </w:r>
          </w:p>
        </w:tc>
        <w:tc>
          <w:tcPr>
            <w:tcW w:w="1380" w:type="dxa"/>
            <w:tcBorders>
              <w:top w:val="nil"/>
              <w:left w:val="nil"/>
              <w:bottom w:val="nil"/>
              <w:right w:val="nil"/>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395</w:t>
            </w:r>
          </w:p>
        </w:tc>
        <w:tc>
          <w:tcPr>
            <w:tcW w:w="1380" w:type="dxa"/>
            <w:tcBorders>
              <w:top w:val="nil"/>
              <w:left w:val="nil"/>
              <w:bottom w:val="nil"/>
              <w:right w:val="nil"/>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655</w:t>
            </w:r>
          </w:p>
        </w:tc>
        <w:tc>
          <w:tcPr>
            <w:tcW w:w="1380" w:type="dxa"/>
            <w:tcBorders>
              <w:top w:val="nil"/>
              <w:left w:val="nil"/>
              <w:bottom w:val="nil"/>
              <w:right w:val="single" w:sz="8" w:space="0" w:color="auto"/>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624</w:t>
            </w:r>
          </w:p>
        </w:tc>
      </w:tr>
      <w:tr w:rsidR="006B6495" w:rsidRPr="000C07F6" w:rsidTr="006B6495">
        <w:trPr>
          <w:trHeight w:val="331"/>
        </w:trPr>
        <w:tc>
          <w:tcPr>
            <w:tcW w:w="5587" w:type="dxa"/>
            <w:tcBorders>
              <w:top w:val="nil"/>
              <w:left w:val="single" w:sz="8" w:space="0" w:color="auto"/>
              <w:bottom w:val="nil"/>
              <w:right w:val="nil"/>
            </w:tcBorders>
            <w:shd w:val="clear" w:color="auto" w:fill="auto"/>
            <w:noWrap/>
            <w:vAlign w:val="bottom"/>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380" w:type="dxa"/>
            <w:tcBorders>
              <w:top w:val="nil"/>
              <w:left w:val="nil"/>
              <w:bottom w:val="nil"/>
              <w:right w:val="nil"/>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323</w:t>
            </w:r>
          </w:p>
        </w:tc>
        <w:tc>
          <w:tcPr>
            <w:tcW w:w="1380" w:type="dxa"/>
            <w:tcBorders>
              <w:top w:val="nil"/>
              <w:left w:val="nil"/>
              <w:bottom w:val="nil"/>
              <w:right w:val="nil"/>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528</w:t>
            </w:r>
          </w:p>
        </w:tc>
        <w:tc>
          <w:tcPr>
            <w:tcW w:w="1380" w:type="dxa"/>
            <w:tcBorders>
              <w:top w:val="nil"/>
              <w:left w:val="nil"/>
              <w:bottom w:val="nil"/>
              <w:right w:val="single" w:sz="8" w:space="0" w:color="auto"/>
            </w:tcBorders>
            <w:shd w:val="clear" w:color="auto" w:fill="auto"/>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551</w:t>
            </w:r>
          </w:p>
        </w:tc>
      </w:tr>
      <w:tr w:rsidR="006B6495" w:rsidRPr="000C07F6" w:rsidTr="006B6495">
        <w:trPr>
          <w:trHeight w:val="348"/>
        </w:trPr>
        <w:tc>
          <w:tcPr>
            <w:tcW w:w="5587" w:type="dxa"/>
            <w:tcBorders>
              <w:top w:val="nil"/>
              <w:left w:val="single" w:sz="8" w:space="0" w:color="auto"/>
              <w:bottom w:val="single" w:sz="8" w:space="0" w:color="auto"/>
              <w:right w:val="nil"/>
            </w:tcBorders>
            <w:shd w:val="clear" w:color="000000" w:fill="DBE5F1"/>
            <w:noWrap/>
            <w:vAlign w:val="bottom"/>
            <w:hideMark/>
          </w:tcPr>
          <w:p w:rsidR="006B6495" w:rsidRPr="000C07F6" w:rsidRDefault="006B6495" w:rsidP="006B6495">
            <w:pPr>
              <w:spacing w:after="0" w:line="240" w:lineRule="auto"/>
              <w:rPr>
                <w:rFonts w:ascii="Calibri" w:eastAsia="Times New Roman" w:hAnsi="Calibri" w:cs="Times New Roman"/>
                <w:color w:val="000000"/>
                <w:lang w:val="fr-CA"/>
              </w:rPr>
            </w:pPr>
            <w:r w:rsidRPr="000C07F6">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380" w:type="dxa"/>
            <w:tcBorders>
              <w:top w:val="nil"/>
              <w:left w:val="nil"/>
              <w:bottom w:val="single" w:sz="8" w:space="0" w:color="auto"/>
              <w:right w:val="nil"/>
            </w:tcBorders>
            <w:shd w:val="clear" w:color="000000" w:fill="DBE5F1"/>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1,2</w:t>
            </w:r>
            <w:r>
              <w:rPr>
                <w:rFonts w:ascii="Calibri" w:eastAsia="Times New Roman" w:hAnsi="Calibri" w:cs="Times New Roman"/>
                <w:color w:val="000000"/>
                <w:lang w:val="fr-CA"/>
              </w:rPr>
              <w:t>2</w:t>
            </w:r>
          </w:p>
        </w:tc>
        <w:tc>
          <w:tcPr>
            <w:tcW w:w="1380" w:type="dxa"/>
            <w:tcBorders>
              <w:top w:val="nil"/>
              <w:left w:val="nil"/>
              <w:bottom w:val="single" w:sz="8" w:space="0" w:color="auto"/>
              <w:right w:val="nil"/>
            </w:tcBorders>
            <w:shd w:val="clear" w:color="000000" w:fill="DBE5F1"/>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1,2</w:t>
            </w:r>
            <w:r>
              <w:rPr>
                <w:rFonts w:ascii="Calibri" w:eastAsia="Times New Roman" w:hAnsi="Calibri" w:cs="Times New Roman"/>
                <w:color w:val="000000"/>
                <w:lang w:val="fr-CA"/>
              </w:rPr>
              <w:t>4</w:t>
            </w:r>
          </w:p>
        </w:tc>
        <w:tc>
          <w:tcPr>
            <w:tcW w:w="1380" w:type="dxa"/>
            <w:tcBorders>
              <w:top w:val="nil"/>
              <w:left w:val="nil"/>
              <w:bottom w:val="single" w:sz="8" w:space="0" w:color="auto"/>
              <w:right w:val="single" w:sz="8" w:space="0" w:color="auto"/>
            </w:tcBorders>
            <w:shd w:val="clear" w:color="000000" w:fill="DBE5F1"/>
            <w:noWrap/>
            <w:vAlign w:val="bottom"/>
            <w:hideMark/>
          </w:tcPr>
          <w:p w:rsidR="006B6495" w:rsidRPr="000C07F6" w:rsidRDefault="006B6495" w:rsidP="006B6495">
            <w:pPr>
              <w:spacing w:after="0" w:line="240" w:lineRule="auto"/>
              <w:jc w:val="center"/>
              <w:rPr>
                <w:rFonts w:ascii="Calibri" w:eastAsia="Times New Roman" w:hAnsi="Calibri" w:cs="Times New Roman"/>
                <w:color w:val="000000"/>
                <w:lang w:val="fr-CA"/>
              </w:rPr>
            </w:pPr>
            <w:r w:rsidRPr="000C07F6">
              <w:rPr>
                <w:rFonts w:ascii="Calibri" w:eastAsia="Times New Roman" w:hAnsi="Calibri" w:cs="Times New Roman"/>
                <w:color w:val="000000"/>
                <w:lang w:val="fr-CA"/>
              </w:rPr>
              <w:t>1,1</w:t>
            </w:r>
            <w:r>
              <w:rPr>
                <w:rFonts w:ascii="Calibri" w:eastAsia="Times New Roman" w:hAnsi="Calibri" w:cs="Times New Roman"/>
                <w:color w:val="000000"/>
                <w:lang w:val="fr-CA"/>
              </w:rPr>
              <w:t>3</w:t>
            </w:r>
          </w:p>
        </w:tc>
      </w:tr>
    </w:tbl>
    <w:p w:rsidR="006B6495" w:rsidRPr="00B07A36" w:rsidRDefault="006B6495" w:rsidP="006B6495">
      <w:pPr>
        <w:pStyle w:val="Heading2"/>
        <w:spacing w:before="240"/>
      </w:pPr>
      <w:r w:rsidRPr="00B07A36">
        <w:t>Plaintes au Commissariat à l’information</w:t>
      </w:r>
    </w:p>
    <w:p w:rsidR="006B6495" w:rsidRPr="000C07F6" w:rsidRDefault="006B6495" w:rsidP="006B6495">
      <w:pPr>
        <w:jc w:val="both"/>
        <w:rPr>
          <w:lang w:val="fr-CA"/>
        </w:rPr>
      </w:pPr>
      <w:r w:rsidRPr="000C07F6">
        <w:rPr>
          <w:lang w:val="fr-CA"/>
        </w:rPr>
        <w:t>Le nombre de plaintes reçues</w:t>
      </w:r>
      <w:r>
        <w:rPr>
          <w:rStyle w:val="FootnoteReference"/>
          <w:lang w:val="fr-CA"/>
        </w:rPr>
        <w:footnoteReference w:id="84"/>
      </w:r>
      <w:r w:rsidRPr="000C07F6">
        <w:rPr>
          <w:lang w:val="fr-CA"/>
        </w:rPr>
        <w:t xml:space="preserve"> concernant JUS a diminué</w:t>
      </w:r>
      <w:r>
        <w:rPr>
          <w:lang w:val="fr-CA"/>
        </w:rPr>
        <w:t>, passant</w:t>
      </w:r>
      <w:r w:rsidRPr="000C07F6">
        <w:rPr>
          <w:lang w:val="fr-CA"/>
        </w:rPr>
        <w:t xml:space="preserve"> de 51 en 201</w:t>
      </w:r>
      <w:r>
        <w:rPr>
          <w:lang w:val="fr-CA"/>
        </w:rPr>
        <w:t>3-</w:t>
      </w:r>
      <w:r w:rsidRPr="000C07F6">
        <w:rPr>
          <w:lang w:val="fr-CA"/>
        </w:rPr>
        <w:t xml:space="preserve">2014 à 44 pour la période de référence actuelle. Nous avons observé une </w:t>
      </w:r>
      <w:r>
        <w:rPr>
          <w:lang w:val="fr-CA"/>
        </w:rPr>
        <w:t>forte augmentation de la proportion des</w:t>
      </w:r>
      <w:r w:rsidRPr="000C07F6">
        <w:rPr>
          <w:lang w:val="fr-CA"/>
        </w:rPr>
        <w:t xml:space="preserve"> plaintes de nature administrative par rapport à la période précédente (</w:t>
      </w:r>
      <w:r>
        <w:rPr>
          <w:lang w:val="fr-CA"/>
        </w:rPr>
        <w:t>11,7 % en 2013-2014 et 56.8 % en 2014-</w:t>
      </w:r>
      <w:r w:rsidRPr="000C07F6">
        <w:rPr>
          <w:lang w:val="fr-CA"/>
        </w:rPr>
        <w:lastRenderedPageBreak/>
        <w:t xml:space="preserve">2015). </w:t>
      </w:r>
      <w:r>
        <w:rPr>
          <w:lang w:val="fr-CA"/>
        </w:rPr>
        <w:t>17 plaintes étaient fondées, 9 ont été discontinuées, 4 ont été réglées, et 14 étaient toujours en cours de traitement.</w:t>
      </w:r>
    </w:p>
    <w:p w:rsidR="006B6495" w:rsidRDefault="006B6495">
      <w:pPr>
        <w:rPr>
          <w:lang w:val="fr-CA"/>
        </w:rPr>
      </w:pPr>
      <w:r>
        <w:rPr>
          <w:lang w:val="fr-CA"/>
        </w:rPr>
        <w:br w:type="page"/>
      </w:r>
    </w:p>
    <w:p w:rsidR="006B6495" w:rsidRPr="00923EC1" w:rsidRDefault="006B6495" w:rsidP="006B6495">
      <w:pPr>
        <w:pStyle w:val="Heading1"/>
      </w:pPr>
      <w:r w:rsidRPr="00923EC1">
        <w:lastRenderedPageBreak/>
        <w:t>Ministère des Finances du Canada</w:t>
      </w:r>
    </w:p>
    <w:p w:rsidR="006B6495" w:rsidRPr="00923EC1" w:rsidRDefault="006B6495" w:rsidP="006B6495">
      <w:pPr>
        <w:pStyle w:val="Heading2"/>
      </w:pPr>
      <w:r w:rsidRPr="00923EC1">
        <w:t>Rendement global</w:t>
      </w:r>
      <w:r w:rsidRPr="00B3701B">
        <w:rPr>
          <w:rStyle w:val="FootnoteReference"/>
        </w:rPr>
        <w:footnoteReference w:id="85"/>
      </w:r>
    </w:p>
    <w:p w:rsidR="006B6495" w:rsidRPr="00B3701B" w:rsidRDefault="006B6495" w:rsidP="006B6495">
      <w:pPr>
        <w:jc w:val="both"/>
        <w:rPr>
          <w:lang w:val="fr-CA"/>
        </w:rPr>
      </w:pPr>
      <w:r w:rsidRPr="00417872">
        <w:rPr>
          <w:lang w:val="fr-CA"/>
        </w:rPr>
        <w:t>Le ministère des Finances du Canada (FIN) a reçu 5,1 % moins de demandes que la période précédente. Son rendement</w:t>
      </w:r>
      <w:r>
        <w:rPr>
          <w:lang w:val="fr-CA"/>
        </w:rPr>
        <w:t xml:space="preserve"> global</w:t>
      </w:r>
      <w:r w:rsidRPr="00417872">
        <w:rPr>
          <w:lang w:val="fr-CA"/>
        </w:rPr>
        <w:t xml:space="preserve"> </w:t>
      </w:r>
      <w:r>
        <w:rPr>
          <w:lang w:val="fr-CA"/>
        </w:rPr>
        <w:t xml:space="preserve">pour 2014-2015 </w:t>
      </w:r>
      <w:r w:rsidRPr="00417872">
        <w:rPr>
          <w:lang w:val="fr-CA"/>
        </w:rPr>
        <w:t>était similaire</w:t>
      </w:r>
      <w:r>
        <w:rPr>
          <w:lang w:val="fr-CA"/>
        </w:rPr>
        <w:t xml:space="preserve"> à l’année de référence précédente</w:t>
      </w:r>
      <w:r w:rsidRPr="00417872">
        <w:rPr>
          <w:lang w:val="fr-CA"/>
        </w:rPr>
        <w:t>. Le présent rapport contient des statistiques comparatives pour les trois dernières périodes (2012 à 2015).</w:t>
      </w:r>
    </w:p>
    <w:p w:rsidR="006B6495" w:rsidRPr="00923EC1" w:rsidRDefault="006B6495" w:rsidP="006B6495">
      <w:pPr>
        <w:pStyle w:val="Heading2"/>
      </w:pPr>
      <w:r w:rsidRPr="00923EC1">
        <w:t>Charge de travail</w:t>
      </w:r>
    </w:p>
    <w:p w:rsidR="006B6495" w:rsidRPr="00B3701B" w:rsidRDefault="006B6495" w:rsidP="006B6495">
      <w:pPr>
        <w:jc w:val="both"/>
        <w:rPr>
          <w:lang w:val="fr-CA"/>
        </w:rPr>
      </w:pPr>
      <w:r>
        <w:rPr>
          <w:lang w:val="fr-CA"/>
        </w:rPr>
        <w:t xml:space="preserve">FIN </w:t>
      </w:r>
      <w:r w:rsidRPr="00B3701B">
        <w:rPr>
          <w:lang w:val="fr-CA"/>
        </w:rPr>
        <w:t xml:space="preserve">a reçu 519 demandes en vertu de la </w:t>
      </w:r>
      <w:r w:rsidRPr="00B3701B">
        <w:rPr>
          <w:i/>
          <w:lang w:val="fr-CA"/>
        </w:rPr>
        <w:t>Loi sur l’accès à l‘information</w:t>
      </w:r>
      <w:r w:rsidRPr="00B3701B">
        <w:rPr>
          <w:lang w:val="fr-CA"/>
        </w:rPr>
        <w:t xml:space="preserve"> (la </w:t>
      </w:r>
      <w:r w:rsidRPr="00B3701B">
        <w:rPr>
          <w:i/>
          <w:lang w:val="fr-CA"/>
        </w:rPr>
        <w:t>Loi</w:t>
      </w:r>
      <w:r w:rsidRPr="00B3701B">
        <w:rPr>
          <w:lang w:val="fr-CA"/>
        </w:rPr>
        <w:t>), représentant 0,</w:t>
      </w:r>
      <w:r>
        <w:rPr>
          <w:lang w:val="fr-CA"/>
        </w:rPr>
        <w:t>7</w:t>
      </w:r>
      <w:r w:rsidRPr="00B3701B">
        <w:rPr>
          <w:lang w:val="fr-CA"/>
        </w:rPr>
        <w:t> % du nombre total de demandes reçues à l’</w:t>
      </w:r>
      <w:r>
        <w:rPr>
          <w:lang w:val="fr-CA"/>
        </w:rPr>
        <w:t>échelle du gouvernement en 2014-</w:t>
      </w:r>
      <w:r w:rsidRPr="00B3701B">
        <w:rPr>
          <w:lang w:val="fr-CA"/>
        </w:rPr>
        <w:t>2015. La plupart des demandes reçues par FIN provenaient des médias</w:t>
      </w:r>
      <w:r>
        <w:rPr>
          <w:lang w:val="fr-CA"/>
        </w:rPr>
        <w:t xml:space="preserve"> </w:t>
      </w:r>
      <w:r w:rsidRPr="00B3701B">
        <w:rPr>
          <w:lang w:val="fr-CA"/>
        </w:rPr>
        <w:t>(36,4 %), suivies du secteur privé (23,9 %). Les demandes des médias ont chuté de 42,6 % pour la période de référence actuelle par rapport à 2013</w:t>
      </w:r>
      <w:r>
        <w:rPr>
          <w:lang w:val="fr-CA"/>
        </w:rPr>
        <w:t>-</w:t>
      </w:r>
      <w:r w:rsidRPr="00B3701B">
        <w:rPr>
          <w:lang w:val="fr-CA"/>
        </w:rPr>
        <w:t>2014, alors que les demandes du sec</w:t>
      </w:r>
      <w:r>
        <w:rPr>
          <w:lang w:val="fr-CA"/>
        </w:rPr>
        <w:t>teur privé ont augmenté de 27,8 %.</w:t>
      </w:r>
    </w:p>
    <w:p w:rsidR="006B6495" w:rsidRPr="00B3701B" w:rsidRDefault="006B6495" w:rsidP="006B6495">
      <w:pPr>
        <w:jc w:val="both"/>
        <w:rPr>
          <w:lang w:val="fr-CA"/>
        </w:rPr>
      </w:pPr>
      <w:r w:rsidRPr="00B3701B">
        <w:rPr>
          <w:lang w:val="fr-CA"/>
        </w:rPr>
        <w:t xml:space="preserve">FIN a </w:t>
      </w:r>
      <w:r>
        <w:rPr>
          <w:lang w:val="fr-CA"/>
        </w:rPr>
        <w:t>complété</w:t>
      </w:r>
      <w:r w:rsidRPr="00B3701B">
        <w:rPr>
          <w:lang w:val="fr-CA"/>
        </w:rPr>
        <w:t xml:space="preserve"> 482 demandes pour cette période de référence. Le taux d’achèvement</w:t>
      </w:r>
      <w:r>
        <w:rPr>
          <w:rStyle w:val="FootnoteReference"/>
          <w:lang w:val="fr-CA"/>
        </w:rPr>
        <w:footnoteReference w:id="86"/>
      </w:r>
      <w:r w:rsidRPr="00B3701B">
        <w:rPr>
          <w:lang w:val="fr-CA"/>
        </w:rPr>
        <w:t xml:space="preserve"> était de 80,1 %, soit un </w:t>
      </w:r>
      <w:r w:rsidRPr="00EF185D">
        <w:rPr>
          <w:lang w:val="fr-CA"/>
        </w:rPr>
        <w:t>taux inférieur à celui établi pour l’ensemble du gouvernement qui lui, était de 85,1%. Cela représente une diminution de 7,5 % par rapport</w:t>
      </w:r>
      <w:r w:rsidRPr="00B3701B">
        <w:rPr>
          <w:lang w:val="fr-CA"/>
        </w:rPr>
        <w:t xml:space="preserve"> au taux d’achèvement de FIN pour la période précédente.</w:t>
      </w:r>
      <w:r>
        <w:rPr>
          <w:lang w:val="fr-CA"/>
        </w:rPr>
        <w:t xml:space="preserve"> </w:t>
      </w:r>
      <w:r w:rsidRPr="00B3701B">
        <w:rPr>
          <w:lang w:val="fr-CA"/>
        </w:rPr>
        <w:t>FIN a</w:t>
      </w:r>
      <w:r>
        <w:rPr>
          <w:lang w:val="fr-CA"/>
        </w:rPr>
        <w:t xml:space="preserve"> aussi</w:t>
      </w:r>
      <w:r w:rsidRPr="00B3701B">
        <w:rPr>
          <w:lang w:val="fr-CA"/>
        </w:rPr>
        <w:t xml:space="preserve"> reçu 292 demandes informelles en 2014</w:t>
      </w:r>
      <w:r>
        <w:rPr>
          <w:lang w:val="fr-CA"/>
        </w:rPr>
        <w:t>-</w:t>
      </w:r>
      <w:r w:rsidRPr="00B3701B">
        <w:rPr>
          <w:lang w:val="fr-CA"/>
        </w:rPr>
        <w:t xml:space="preserve">2015, dont 80,8 % </w:t>
      </w:r>
      <w:r>
        <w:rPr>
          <w:lang w:val="fr-CA"/>
        </w:rPr>
        <w:t>qui ont été complété</w:t>
      </w:r>
      <w:r w:rsidRPr="00B3701B">
        <w:rPr>
          <w:lang w:val="fr-CA"/>
        </w:rPr>
        <w:t>es en 30 jours</w:t>
      </w:r>
      <w:r>
        <w:rPr>
          <w:lang w:val="fr-CA"/>
        </w:rPr>
        <w:t xml:space="preserve"> ou </w:t>
      </w:r>
      <w:r w:rsidRPr="00EF185D">
        <w:rPr>
          <w:lang w:val="fr-CA"/>
        </w:rPr>
        <w:t>moins. Le nombre de demandes de consultation reçues par FIN en provenance d’autres institutions fédérales a diminué de 189 à 159, ce qui représente une bais</w:t>
      </w:r>
      <w:r>
        <w:rPr>
          <w:lang w:val="fr-CA"/>
        </w:rPr>
        <w:t>se de 15,9 % par rapport à 2013-</w:t>
      </w:r>
      <w:r w:rsidRPr="00EF185D">
        <w:rPr>
          <w:lang w:val="fr-CA"/>
        </w:rPr>
        <w:t>2014.</w:t>
      </w:r>
    </w:p>
    <w:p w:rsidR="006B6495" w:rsidRPr="00B3701B" w:rsidRDefault="006B6495" w:rsidP="006B6495">
      <w:pPr>
        <w:jc w:val="both"/>
        <w:rPr>
          <w:lang w:val="fr-CA"/>
        </w:rPr>
      </w:pPr>
      <w:r>
        <w:rPr>
          <w:lang w:val="fr-CA"/>
        </w:rPr>
        <w:t>En 2014-</w:t>
      </w:r>
      <w:r w:rsidRPr="00B3701B">
        <w:rPr>
          <w:lang w:val="fr-CA"/>
        </w:rPr>
        <w:t xml:space="preserve">2015, </w:t>
      </w:r>
      <w:r>
        <w:rPr>
          <w:lang w:val="fr-CA"/>
        </w:rPr>
        <w:t>FIN a traité 48 699 </w:t>
      </w:r>
      <w:r w:rsidRPr="00B3701B">
        <w:rPr>
          <w:lang w:val="fr-CA"/>
        </w:rPr>
        <w:t>pages</w:t>
      </w:r>
      <w:r>
        <w:rPr>
          <w:lang w:val="fr-CA"/>
        </w:rPr>
        <w:t xml:space="preserve">. </w:t>
      </w:r>
      <w:r w:rsidRPr="00B3701B">
        <w:rPr>
          <w:lang w:val="fr-CA"/>
        </w:rPr>
        <w:t xml:space="preserve">Le nombre moyen de pages traitées par demande </w:t>
      </w:r>
      <w:r>
        <w:rPr>
          <w:lang w:val="fr-CA"/>
        </w:rPr>
        <w:t>complétée</w:t>
      </w:r>
      <w:r w:rsidRPr="00B3701B">
        <w:rPr>
          <w:lang w:val="fr-CA"/>
        </w:rPr>
        <w:t xml:space="preserve"> est passé de 130 en 2013</w:t>
      </w:r>
      <w:r>
        <w:rPr>
          <w:lang w:val="fr-CA"/>
        </w:rPr>
        <w:t>-</w:t>
      </w:r>
      <w:r w:rsidRPr="00B3701B">
        <w:rPr>
          <w:lang w:val="fr-CA"/>
        </w:rPr>
        <w:t>2014 à 136 en 2014</w:t>
      </w:r>
      <w:r>
        <w:rPr>
          <w:lang w:val="fr-CA"/>
        </w:rPr>
        <w:t>-2015.</w:t>
      </w:r>
    </w:p>
    <w:p w:rsidR="006B6495" w:rsidRDefault="006B6495" w:rsidP="006B6495">
      <w:pPr>
        <w:jc w:val="both"/>
        <w:rPr>
          <w:lang w:val="fr-CA"/>
        </w:rPr>
      </w:pPr>
      <w:r w:rsidRPr="00B3701B">
        <w:rPr>
          <w:lang w:val="fr-CA"/>
        </w:rPr>
        <w:t xml:space="preserve">L’information diffusée par FIN était </w:t>
      </w:r>
      <w:r>
        <w:rPr>
          <w:color w:val="000000" w:themeColor="text1"/>
          <w:lang w:val="fr-CA"/>
        </w:rPr>
        <w:t>majoritairement</w:t>
      </w:r>
      <w:r w:rsidRPr="00B3701B">
        <w:rPr>
          <w:lang w:val="fr-CA"/>
        </w:rPr>
        <w:t xml:space="preserve"> en format papier</w:t>
      </w:r>
      <w:r>
        <w:rPr>
          <w:lang w:val="fr-CA"/>
        </w:rPr>
        <w:t> : 2</w:t>
      </w:r>
      <w:r w:rsidRPr="00B3701B">
        <w:rPr>
          <w:lang w:val="fr-CA"/>
        </w:rPr>
        <w:t>22</w:t>
      </w:r>
      <w:r>
        <w:rPr>
          <w:lang w:val="fr-CA"/>
        </w:rPr>
        <w:t xml:space="preserve"> demandes en format papier</w:t>
      </w:r>
      <w:r w:rsidRPr="00B3701B">
        <w:rPr>
          <w:lang w:val="fr-CA"/>
        </w:rPr>
        <w:t xml:space="preserve"> par rapport à </w:t>
      </w:r>
      <w:r>
        <w:rPr>
          <w:lang w:val="fr-CA"/>
        </w:rPr>
        <w:t>118</w:t>
      </w:r>
      <w:r w:rsidRPr="00B3701B">
        <w:rPr>
          <w:lang w:val="fr-CA"/>
        </w:rPr>
        <w:t xml:space="preserve"> en format électronique</w:t>
      </w:r>
      <w:r>
        <w:rPr>
          <w:lang w:val="fr-CA"/>
        </w:rPr>
        <w:t>.</w:t>
      </w:r>
    </w:p>
    <w:p w:rsidR="006B6495" w:rsidRPr="00923EC1" w:rsidRDefault="006B6495" w:rsidP="006B6495">
      <w:pPr>
        <w:pStyle w:val="Heading3"/>
      </w:pPr>
      <w:r w:rsidRPr="00923EC1">
        <w:t xml:space="preserve">Tableau </w:t>
      </w:r>
      <w:proofErr w:type="gramStart"/>
      <w:r w:rsidRPr="00923EC1">
        <w:t>1 :</w:t>
      </w:r>
      <w:proofErr w:type="gramEnd"/>
      <w:r w:rsidRPr="00923EC1">
        <w:t xml:space="preserve"> Charge de travail</w:t>
      </w:r>
    </w:p>
    <w:tbl>
      <w:tblPr>
        <w:tblW w:w="9508" w:type="dxa"/>
        <w:tblInd w:w="98" w:type="dxa"/>
        <w:tblLook w:val="04A0"/>
      </w:tblPr>
      <w:tblGrid>
        <w:gridCol w:w="4893"/>
        <w:gridCol w:w="1312"/>
        <w:gridCol w:w="1991"/>
        <w:gridCol w:w="1312"/>
      </w:tblGrid>
      <w:tr w:rsidR="006B6495" w:rsidRPr="00B3701B" w:rsidTr="006B6495">
        <w:trPr>
          <w:trHeight w:val="263"/>
        </w:trPr>
        <w:tc>
          <w:tcPr>
            <w:tcW w:w="4893" w:type="dxa"/>
            <w:tcBorders>
              <w:top w:val="single" w:sz="4" w:space="0" w:color="auto"/>
              <w:left w:val="single" w:sz="4" w:space="0" w:color="auto"/>
              <w:bottom w:val="single" w:sz="8" w:space="0" w:color="auto"/>
              <w:right w:val="nil"/>
            </w:tcBorders>
            <w:shd w:val="clear" w:color="auto" w:fill="auto"/>
            <w:noWrap/>
            <w:vAlign w:val="bottom"/>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 xml:space="preserve">Mesures </w:t>
            </w:r>
          </w:p>
        </w:tc>
        <w:tc>
          <w:tcPr>
            <w:tcW w:w="1312" w:type="dxa"/>
            <w:tcBorders>
              <w:top w:val="single" w:sz="4" w:space="0" w:color="auto"/>
              <w:left w:val="nil"/>
              <w:bottom w:val="single" w:sz="8" w:space="0" w:color="auto"/>
              <w:right w:val="nil"/>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2012-2013</w:t>
            </w:r>
          </w:p>
        </w:tc>
        <w:tc>
          <w:tcPr>
            <w:tcW w:w="1991" w:type="dxa"/>
            <w:tcBorders>
              <w:top w:val="single" w:sz="4" w:space="0" w:color="auto"/>
              <w:left w:val="nil"/>
              <w:bottom w:val="single" w:sz="8" w:space="0" w:color="auto"/>
              <w:right w:val="nil"/>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2013-2014</w:t>
            </w:r>
          </w:p>
        </w:tc>
        <w:tc>
          <w:tcPr>
            <w:tcW w:w="1312" w:type="dxa"/>
            <w:tcBorders>
              <w:top w:val="single" w:sz="4" w:space="0" w:color="auto"/>
              <w:left w:val="nil"/>
              <w:bottom w:val="single" w:sz="8" w:space="0" w:color="auto"/>
              <w:right w:val="single" w:sz="4" w:space="0" w:color="auto"/>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2014-2015</w:t>
            </w:r>
          </w:p>
        </w:tc>
      </w:tr>
      <w:tr w:rsidR="006B6495" w:rsidRPr="00B3701B" w:rsidTr="006B6495">
        <w:trPr>
          <w:trHeight w:val="302"/>
        </w:trPr>
        <w:tc>
          <w:tcPr>
            <w:tcW w:w="4893" w:type="dxa"/>
            <w:tcBorders>
              <w:top w:val="nil"/>
              <w:left w:val="single" w:sz="4" w:space="0" w:color="auto"/>
              <w:bottom w:val="nil"/>
              <w:right w:val="nil"/>
            </w:tcBorders>
            <w:shd w:val="clear" w:color="000000" w:fill="DBE5F1"/>
            <w:noWrap/>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 xml:space="preserve">Nombre de demandes reçues </w:t>
            </w:r>
          </w:p>
        </w:tc>
        <w:tc>
          <w:tcPr>
            <w:tcW w:w="1312" w:type="dxa"/>
            <w:tcBorders>
              <w:top w:val="nil"/>
              <w:left w:val="nil"/>
              <w:bottom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495</w:t>
            </w:r>
          </w:p>
        </w:tc>
        <w:tc>
          <w:tcPr>
            <w:tcW w:w="1991" w:type="dxa"/>
            <w:tcBorders>
              <w:top w:val="nil"/>
              <w:left w:val="nil"/>
              <w:bottom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547</w:t>
            </w:r>
          </w:p>
        </w:tc>
        <w:tc>
          <w:tcPr>
            <w:tcW w:w="1312" w:type="dxa"/>
            <w:tcBorders>
              <w:top w:val="nil"/>
              <w:left w:val="nil"/>
              <w:bottom w:val="nil"/>
              <w:right w:val="single" w:sz="4" w:space="0" w:color="auto"/>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519</w:t>
            </w:r>
          </w:p>
        </w:tc>
      </w:tr>
      <w:tr w:rsidR="006B6495" w:rsidRPr="00B3701B" w:rsidTr="006B6495">
        <w:trPr>
          <w:trHeight w:val="302"/>
        </w:trPr>
        <w:tc>
          <w:tcPr>
            <w:tcW w:w="4893" w:type="dxa"/>
            <w:tcBorders>
              <w:top w:val="nil"/>
              <w:left w:val="single" w:sz="4" w:space="0" w:color="auto"/>
              <w:right w:val="nil"/>
            </w:tcBorders>
            <w:shd w:val="clear" w:color="auto" w:fill="auto"/>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Variation annuelle en %</w:t>
            </w:r>
          </w:p>
        </w:tc>
        <w:tc>
          <w:tcPr>
            <w:tcW w:w="1312" w:type="dxa"/>
            <w:tcBorders>
              <w:top w:val="nil"/>
              <w:left w:val="nil"/>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w:t>
            </w:r>
          </w:p>
        </w:tc>
        <w:tc>
          <w:tcPr>
            <w:tcW w:w="1991" w:type="dxa"/>
            <w:tcBorders>
              <w:top w:val="nil"/>
              <w:left w:val="nil"/>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10,5 %</w:t>
            </w:r>
          </w:p>
        </w:tc>
        <w:tc>
          <w:tcPr>
            <w:tcW w:w="1312" w:type="dxa"/>
            <w:tcBorders>
              <w:top w:val="nil"/>
              <w:left w:val="nil"/>
              <w:right w:val="single" w:sz="4" w:space="0" w:color="auto"/>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-5,1 %</w:t>
            </w:r>
          </w:p>
        </w:tc>
      </w:tr>
      <w:tr w:rsidR="006B6495" w:rsidRPr="00B3701B" w:rsidTr="006B6495">
        <w:trPr>
          <w:trHeight w:val="252"/>
        </w:trPr>
        <w:tc>
          <w:tcPr>
            <w:tcW w:w="4893" w:type="dxa"/>
            <w:tcBorders>
              <w:top w:val="nil"/>
              <w:left w:val="single" w:sz="4" w:space="0" w:color="auto"/>
              <w:bottom w:val="nil"/>
              <w:right w:val="nil"/>
            </w:tcBorders>
            <w:shd w:val="clear" w:color="000000" w:fill="DBE5F1"/>
            <w:hideMark/>
          </w:tcPr>
          <w:p w:rsidR="006B6495" w:rsidRPr="006E04FA" w:rsidRDefault="006B6495" w:rsidP="006B6495">
            <w:pPr>
              <w:spacing w:after="0" w:line="240" w:lineRule="auto"/>
              <w:rPr>
                <w:rFonts w:ascii="Calibri" w:eastAsia="Times New Roman" w:hAnsi="Calibri" w:cs="Times New Roman"/>
                <w:color w:val="000000"/>
              </w:rPr>
            </w:pPr>
            <w:r w:rsidRPr="00B3701B">
              <w:rPr>
                <w:rFonts w:ascii="Calibri" w:eastAsia="Times New Roman" w:hAnsi="Calibri" w:cs="Times New Roman"/>
                <w:color w:val="000000"/>
                <w:lang w:val="fr-CA"/>
              </w:rPr>
              <w:t xml:space="preserve">Demandes </w:t>
            </w:r>
            <w:proofErr w:type="spellStart"/>
            <w:r>
              <w:rPr>
                <w:rFonts w:ascii="Calibri" w:eastAsia="Times New Roman" w:hAnsi="Calibri" w:cs="Times New Roman"/>
                <w:color w:val="000000"/>
                <w:lang w:val="fr-CA"/>
              </w:rPr>
              <w:t>comp</w:t>
            </w:r>
            <w:r>
              <w:rPr>
                <w:rFonts w:ascii="Calibri" w:eastAsia="Times New Roman" w:hAnsi="Calibri" w:cs="Times New Roman"/>
                <w:color w:val="000000"/>
              </w:rPr>
              <w:t>létées</w:t>
            </w:r>
            <w:proofErr w:type="spellEnd"/>
          </w:p>
        </w:tc>
        <w:tc>
          <w:tcPr>
            <w:tcW w:w="1312" w:type="dxa"/>
            <w:tcBorders>
              <w:top w:val="nil"/>
              <w:left w:val="nil"/>
              <w:bottom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458</w:t>
            </w:r>
          </w:p>
        </w:tc>
        <w:tc>
          <w:tcPr>
            <w:tcW w:w="1991" w:type="dxa"/>
            <w:tcBorders>
              <w:top w:val="nil"/>
              <w:left w:val="nil"/>
              <w:bottom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573</w:t>
            </w:r>
          </w:p>
        </w:tc>
        <w:tc>
          <w:tcPr>
            <w:tcW w:w="1312" w:type="dxa"/>
            <w:tcBorders>
              <w:top w:val="nil"/>
              <w:left w:val="nil"/>
              <w:bottom w:val="nil"/>
              <w:right w:val="single" w:sz="4" w:space="0" w:color="auto"/>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482</w:t>
            </w:r>
          </w:p>
        </w:tc>
      </w:tr>
      <w:tr w:rsidR="006B6495" w:rsidRPr="00B3701B" w:rsidTr="006B6495">
        <w:trPr>
          <w:trHeight w:val="263"/>
        </w:trPr>
        <w:tc>
          <w:tcPr>
            <w:tcW w:w="4893" w:type="dxa"/>
            <w:tcBorders>
              <w:top w:val="nil"/>
              <w:left w:val="single" w:sz="4" w:space="0" w:color="auto"/>
              <w:right w:val="nil"/>
            </w:tcBorders>
            <w:shd w:val="clear" w:color="auto" w:fill="auto"/>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Variation annuelle en %</w:t>
            </w:r>
          </w:p>
        </w:tc>
        <w:tc>
          <w:tcPr>
            <w:tcW w:w="1312" w:type="dxa"/>
            <w:tcBorders>
              <w:top w:val="nil"/>
              <w:left w:val="nil"/>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w:t>
            </w:r>
          </w:p>
        </w:tc>
        <w:tc>
          <w:tcPr>
            <w:tcW w:w="1991" w:type="dxa"/>
            <w:tcBorders>
              <w:top w:val="nil"/>
              <w:left w:val="nil"/>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25,1 %</w:t>
            </w:r>
          </w:p>
        </w:tc>
        <w:tc>
          <w:tcPr>
            <w:tcW w:w="1312" w:type="dxa"/>
            <w:tcBorders>
              <w:top w:val="nil"/>
              <w:left w:val="nil"/>
              <w:right w:val="single" w:sz="4" w:space="0" w:color="auto"/>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-15,9 %</w:t>
            </w:r>
          </w:p>
        </w:tc>
      </w:tr>
      <w:tr w:rsidR="006B6495" w:rsidRPr="00B3701B" w:rsidTr="006B6495">
        <w:trPr>
          <w:trHeight w:val="478"/>
        </w:trPr>
        <w:tc>
          <w:tcPr>
            <w:tcW w:w="4893" w:type="dxa"/>
            <w:tcBorders>
              <w:top w:val="nil"/>
              <w:left w:val="single" w:sz="4" w:space="0" w:color="auto"/>
              <w:right w:val="nil"/>
            </w:tcBorders>
            <w:shd w:val="clear" w:color="000000" w:fill="DBE5F1"/>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Nombre de demandes de consultation reçues (d’autres institutions fédérales)</w:t>
            </w:r>
          </w:p>
        </w:tc>
        <w:tc>
          <w:tcPr>
            <w:tcW w:w="1312" w:type="dxa"/>
            <w:tcBorders>
              <w:top w:val="nil"/>
              <w:left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261</w:t>
            </w:r>
          </w:p>
        </w:tc>
        <w:tc>
          <w:tcPr>
            <w:tcW w:w="1991" w:type="dxa"/>
            <w:tcBorders>
              <w:top w:val="nil"/>
              <w:left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189</w:t>
            </w:r>
          </w:p>
        </w:tc>
        <w:tc>
          <w:tcPr>
            <w:tcW w:w="1312" w:type="dxa"/>
            <w:tcBorders>
              <w:top w:val="nil"/>
              <w:left w:val="nil"/>
              <w:right w:val="single" w:sz="4" w:space="0" w:color="auto"/>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159</w:t>
            </w:r>
          </w:p>
        </w:tc>
      </w:tr>
      <w:tr w:rsidR="006B6495" w:rsidRPr="00B3701B" w:rsidTr="006B6495">
        <w:trPr>
          <w:trHeight w:val="401"/>
        </w:trPr>
        <w:tc>
          <w:tcPr>
            <w:tcW w:w="4893" w:type="dxa"/>
            <w:tcBorders>
              <w:top w:val="nil"/>
              <w:left w:val="single" w:sz="4" w:space="0" w:color="auto"/>
              <w:right w:val="nil"/>
            </w:tcBorders>
            <w:shd w:val="clear" w:color="auto" w:fill="auto"/>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Variation annuelle en %</w:t>
            </w:r>
          </w:p>
        </w:tc>
        <w:tc>
          <w:tcPr>
            <w:tcW w:w="1312" w:type="dxa"/>
            <w:tcBorders>
              <w:top w:val="nil"/>
              <w:left w:val="nil"/>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w:t>
            </w:r>
          </w:p>
        </w:tc>
        <w:tc>
          <w:tcPr>
            <w:tcW w:w="1991" w:type="dxa"/>
            <w:tcBorders>
              <w:top w:val="nil"/>
              <w:left w:val="nil"/>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-27,6 %</w:t>
            </w:r>
          </w:p>
        </w:tc>
        <w:tc>
          <w:tcPr>
            <w:tcW w:w="1312" w:type="dxa"/>
            <w:tcBorders>
              <w:top w:val="nil"/>
              <w:left w:val="nil"/>
              <w:right w:val="single" w:sz="4" w:space="0" w:color="auto"/>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-15,9 %</w:t>
            </w:r>
          </w:p>
        </w:tc>
      </w:tr>
      <w:tr w:rsidR="006B6495" w:rsidRPr="00B3701B" w:rsidTr="006B6495">
        <w:trPr>
          <w:trHeight w:val="515"/>
        </w:trPr>
        <w:tc>
          <w:tcPr>
            <w:tcW w:w="4893" w:type="dxa"/>
            <w:tcBorders>
              <w:left w:val="single" w:sz="4" w:space="0" w:color="auto"/>
              <w:right w:val="nil"/>
            </w:tcBorders>
            <w:shd w:val="clear" w:color="000000" w:fill="DBE5F1"/>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lastRenderedPageBreak/>
              <w:t xml:space="preserve">Nombre moyen de pages traitées par demande </w:t>
            </w:r>
            <w:r>
              <w:rPr>
                <w:rFonts w:ascii="Calibri" w:eastAsia="Times New Roman" w:hAnsi="Calibri" w:cs="Times New Roman"/>
                <w:color w:val="000000"/>
                <w:lang w:val="fr-CA"/>
              </w:rPr>
              <w:t>complétée</w:t>
            </w:r>
          </w:p>
        </w:tc>
        <w:tc>
          <w:tcPr>
            <w:tcW w:w="1312" w:type="dxa"/>
            <w:tcBorders>
              <w:left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135</w:t>
            </w:r>
          </w:p>
        </w:tc>
        <w:tc>
          <w:tcPr>
            <w:tcW w:w="1991" w:type="dxa"/>
            <w:tcBorders>
              <w:left w:val="nil"/>
              <w:right w:val="nil"/>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130</w:t>
            </w:r>
          </w:p>
        </w:tc>
        <w:tc>
          <w:tcPr>
            <w:tcW w:w="1312" w:type="dxa"/>
            <w:tcBorders>
              <w:left w:val="nil"/>
              <w:right w:val="single" w:sz="4" w:space="0" w:color="auto"/>
            </w:tcBorders>
            <w:shd w:val="clear" w:color="000000" w:fill="DBE5F1"/>
            <w:noWrap/>
            <w:vAlign w:val="center"/>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136</w:t>
            </w:r>
          </w:p>
        </w:tc>
      </w:tr>
      <w:tr w:rsidR="006B6495" w:rsidRPr="00B3701B" w:rsidTr="006B6495">
        <w:trPr>
          <w:trHeight w:val="453"/>
        </w:trPr>
        <w:tc>
          <w:tcPr>
            <w:tcW w:w="4893" w:type="dxa"/>
            <w:tcBorders>
              <w:left w:val="single" w:sz="4" w:space="0" w:color="auto"/>
              <w:bottom w:val="single" w:sz="4" w:space="0" w:color="auto"/>
              <w:right w:val="nil"/>
            </w:tcBorders>
            <w:shd w:val="clear" w:color="auto" w:fill="auto"/>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 des demandes pour lesquelles plus de 1 000 pages ont été traitées</w:t>
            </w:r>
          </w:p>
        </w:tc>
        <w:tc>
          <w:tcPr>
            <w:tcW w:w="1312" w:type="dxa"/>
            <w:tcBorders>
              <w:left w:val="nil"/>
              <w:bottom w:val="single" w:sz="4" w:space="0" w:color="auto"/>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2,2 %</w:t>
            </w:r>
          </w:p>
        </w:tc>
        <w:tc>
          <w:tcPr>
            <w:tcW w:w="1991" w:type="dxa"/>
            <w:tcBorders>
              <w:left w:val="nil"/>
              <w:bottom w:val="single" w:sz="4" w:space="0" w:color="auto"/>
              <w:right w:val="nil"/>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2,7 %</w:t>
            </w:r>
          </w:p>
        </w:tc>
        <w:tc>
          <w:tcPr>
            <w:tcW w:w="1312" w:type="dxa"/>
            <w:tcBorders>
              <w:left w:val="nil"/>
              <w:bottom w:val="single" w:sz="4" w:space="0" w:color="auto"/>
              <w:right w:val="single" w:sz="4" w:space="0" w:color="auto"/>
            </w:tcBorders>
            <w:shd w:val="clear" w:color="auto" w:fill="auto"/>
            <w:noWrap/>
            <w:vAlign w:val="center"/>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1,7 %</w:t>
            </w:r>
          </w:p>
        </w:tc>
      </w:tr>
    </w:tbl>
    <w:p w:rsidR="006B6495" w:rsidRPr="00923EC1" w:rsidRDefault="006B6495" w:rsidP="006B6495">
      <w:pPr>
        <w:pStyle w:val="Heading2"/>
        <w:spacing w:before="240"/>
      </w:pPr>
      <w:r w:rsidRPr="00923EC1">
        <w:t>Délai de traitement des demandes</w:t>
      </w:r>
    </w:p>
    <w:p w:rsidR="006B6495" w:rsidRPr="00923EC1" w:rsidRDefault="006B6495" w:rsidP="006B6495">
      <w:pPr>
        <w:pStyle w:val="Heading4"/>
      </w:pPr>
      <w:r w:rsidRPr="00923EC1">
        <w:t>Rapidité</w:t>
      </w:r>
    </w:p>
    <w:p w:rsidR="006B6495" w:rsidRPr="00B3701B" w:rsidRDefault="006B6495" w:rsidP="006B6495">
      <w:pPr>
        <w:jc w:val="both"/>
        <w:rPr>
          <w:lang w:val="fr-CA"/>
        </w:rPr>
      </w:pPr>
      <w:r w:rsidRPr="00B3701B">
        <w:rPr>
          <w:lang w:val="fr-CA"/>
        </w:rPr>
        <w:t xml:space="preserve">La figure 1 révèle que 53,1 % des demandes ont été </w:t>
      </w:r>
      <w:r>
        <w:rPr>
          <w:lang w:val="fr-CA"/>
        </w:rPr>
        <w:t>complétées</w:t>
      </w:r>
      <w:r w:rsidRPr="00B3701B">
        <w:rPr>
          <w:lang w:val="fr-CA"/>
        </w:rPr>
        <w:t xml:space="preserve"> en 30 jours ou moins, soit une légère diminution par rapport aux résultats observés en 2013</w:t>
      </w:r>
      <w:r>
        <w:rPr>
          <w:lang w:val="fr-CA"/>
        </w:rPr>
        <w:t>-</w:t>
      </w:r>
      <w:r w:rsidRPr="00B3701B">
        <w:rPr>
          <w:lang w:val="fr-CA"/>
        </w:rPr>
        <w:t xml:space="preserve">2014 (56,7 %). La proportion de demandes </w:t>
      </w:r>
      <w:r>
        <w:rPr>
          <w:lang w:val="fr-CA"/>
        </w:rPr>
        <w:t>complétées</w:t>
      </w:r>
      <w:r w:rsidRPr="00B3701B">
        <w:rPr>
          <w:lang w:val="fr-CA"/>
        </w:rPr>
        <w:t xml:space="preserve"> dans un délai de 31 à 60 jours a augmenté de 1</w:t>
      </w:r>
      <w:r>
        <w:rPr>
          <w:lang w:val="fr-CA"/>
        </w:rPr>
        <w:t>,4</w:t>
      </w:r>
      <w:r w:rsidRPr="00B3701B">
        <w:rPr>
          <w:lang w:val="fr-CA"/>
        </w:rPr>
        <w:t xml:space="preserve"> %. </w:t>
      </w:r>
      <w:r>
        <w:rPr>
          <w:lang w:val="fr-CA"/>
        </w:rPr>
        <w:t>Nous observons</w:t>
      </w:r>
      <w:r w:rsidRPr="00B3701B">
        <w:rPr>
          <w:lang w:val="fr-CA"/>
        </w:rPr>
        <w:t xml:space="preserve"> également une faible diminution du pourcentage de demandes dont le traitement a pris plus de 365 </w:t>
      </w:r>
      <w:r>
        <w:rPr>
          <w:lang w:val="fr-CA"/>
        </w:rPr>
        <w:t>jours.</w:t>
      </w:r>
    </w:p>
    <w:p w:rsidR="006B6495" w:rsidRPr="00853C2E" w:rsidRDefault="006B6495" w:rsidP="006B6495">
      <w:pPr>
        <w:spacing w:line="240" w:lineRule="auto"/>
        <w:rPr>
          <w:sz w:val="24"/>
          <w:szCs w:val="24"/>
          <w:lang w:val="fr-CA"/>
        </w:rPr>
      </w:pPr>
      <w:r w:rsidRPr="006B6495">
        <w:rPr>
          <w:rStyle w:val="Heading3Char"/>
          <w:lang w:val="fr-FR"/>
        </w:rPr>
        <w:t>Figure 1 : Délai de traitement des demandes</w:t>
      </w:r>
      <w:r w:rsidRPr="009031A4">
        <w:rPr>
          <w:noProof/>
          <w:color w:val="FF0000"/>
          <w:sz w:val="24"/>
          <w:szCs w:val="24"/>
        </w:rPr>
        <w:drawing>
          <wp:inline distT="0" distB="0" distL="0" distR="0">
            <wp:extent cx="5939624" cy="4063117"/>
            <wp:effectExtent l="0" t="0" r="23495" b="13970"/>
            <wp:docPr id="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6B6495" w:rsidRPr="00805A8C" w:rsidRDefault="006B6495" w:rsidP="006B6495">
      <w:pPr>
        <w:pStyle w:val="Heading4"/>
      </w:pPr>
      <w:r w:rsidRPr="00805A8C">
        <w:t>Prorogations</w:t>
      </w:r>
    </w:p>
    <w:p w:rsidR="006B6495" w:rsidRPr="00E858E4" w:rsidRDefault="006B6495" w:rsidP="006B6495">
      <w:pPr>
        <w:jc w:val="both"/>
        <w:rPr>
          <w:lang w:val="fr-CA"/>
        </w:rPr>
      </w:pPr>
      <w:r w:rsidRPr="00E858E4">
        <w:rPr>
          <w:lang w:val="fr-CA"/>
        </w:rPr>
        <w:t>FIN a eu recours à 255 prorogations en 2014-2015 par rapport à 299 en 2013-2014. Les demandes de consultation (61,2 %) étaient la raison la plus fréquemment invoquée pour demander une prorogation, suivies de l’entrave au fonctionnement de l’institution (20,0 %) et des avis à des tiers (18,8 %).</w:t>
      </w:r>
    </w:p>
    <w:p w:rsidR="006B6495" w:rsidRPr="00E858E4" w:rsidRDefault="006B6495" w:rsidP="006B6495">
      <w:pPr>
        <w:jc w:val="both"/>
        <w:rPr>
          <w:lang w:val="fr-CA"/>
        </w:rPr>
      </w:pPr>
      <w:r w:rsidRPr="00E858E4">
        <w:rPr>
          <w:lang w:val="fr-CA"/>
        </w:rPr>
        <w:t xml:space="preserve">La figure 2 montre que 30,2 % des prorogations étaient de 30 jours ou moins, soit une augmentation de 7,1 % par rapport à la période précédente. La figure 2 montre également que la proportion de </w:t>
      </w:r>
      <w:r w:rsidRPr="00E858E4">
        <w:rPr>
          <w:lang w:val="fr-CA"/>
        </w:rPr>
        <w:lastRenderedPageBreak/>
        <w:t>prorogations de 31 à 60 jours a chuté de 23,9 % depuis 2012-2013. Aucune prorogation n’a été demandée pour plus de 180 jours en 2014-2015.</w:t>
      </w:r>
    </w:p>
    <w:p w:rsidR="006B6495" w:rsidRPr="009031A4" w:rsidRDefault="006B6495" w:rsidP="006B6495">
      <w:pPr>
        <w:rPr>
          <w:lang w:val="fr-CA"/>
        </w:rPr>
      </w:pPr>
      <w:r w:rsidRPr="006B6495">
        <w:rPr>
          <w:rStyle w:val="Heading3Char"/>
          <w:lang w:val="fr-FR"/>
        </w:rPr>
        <w:t>Figure 2 : Durée des prorogations</w:t>
      </w:r>
      <w:r w:rsidRPr="009031A4">
        <w:rPr>
          <w:noProof/>
        </w:rPr>
        <w:drawing>
          <wp:inline distT="0" distB="0" distL="0" distR="0">
            <wp:extent cx="5939624" cy="4023360"/>
            <wp:effectExtent l="0" t="0" r="4445" b="0"/>
            <wp:docPr id="7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6B6495" w:rsidRPr="00805A8C" w:rsidRDefault="006B6495" w:rsidP="006B6495">
      <w:pPr>
        <w:pStyle w:val="Heading4"/>
      </w:pPr>
      <w:r w:rsidRPr="00805A8C">
        <w:t>Présomptions de refus</w:t>
      </w:r>
    </w:p>
    <w:p w:rsidR="006B6495" w:rsidRPr="00E858E4" w:rsidRDefault="006B6495" w:rsidP="006B6495">
      <w:pPr>
        <w:jc w:val="both"/>
        <w:rPr>
          <w:lang w:val="fr-CA"/>
        </w:rPr>
      </w:pPr>
      <w:r w:rsidRPr="00E858E4">
        <w:rPr>
          <w:lang w:val="fr-CA"/>
        </w:rPr>
        <w:t>En 2014-2015, 37 demandes ont été fermées après l’échéancier réglementaire, ce qui représente 7,7 % des demandes complétées. Ce résultat procure à FIN la note de « B »</w:t>
      </w:r>
      <w:r w:rsidRPr="00E858E4">
        <w:rPr>
          <w:rStyle w:val="FootnoteReference"/>
          <w:lang w:val="fr-CA"/>
        </w:rPr>
        <w:footnoteReference w:id="87"/>
      </w:r>
      <w:r w:rsidRPr="00E858E4">
        <w:rPr>
          <w:lang w:val="fr-CA"/>
        </w:rPr>
        <w:t>. Les raisons invoquées pour expliquer ces retards étaient les consultations externes (24,3 %), les consultations internes (18,9 %), les autres motifs (43,2 %) et la charge de travail (13,5 %).</w:t>
      </w:r>
    </w:p>
    <w:p w:rsidR="006B6495" w:rsidRPr="00E858E4" w:rsidRDefault="006B6495" w:rsidP="006B6495">
      <w:pPr>
        <w:jc w:val="both"/>
        <w:rPr>
          <w:lang w:val="fr-CA"/>
        </w:rPr>
      </w:pPr>
      <w:r w:rsidRPr="00E858E4">
        <w:rPr>
          <w:lang w:val="fr-CA"/>
        </w:rPr>
        <w:t>La figure 3 montre que la 48,7 % des demandes échues étaient en retard de 15 jours ou moins et que 13,5 % des demandes étaient en retard de 16 à 30 jours. Au total, 62,2 % des demandes échues ont été complétées après 30 jours de retard ou moins.</w:t>
      </w:r>
    </w:p>
    <w:p w:rsidR="006B6495" w:rsidRPr="000162AD" w:rsidRDefault="006B6495" w:rsidP="006B6495">
      <w:pPr>
        <w:rPr>
          <w:lang w:val="fr-CA"/>
        </w:rPr>
      </w:pPr>
      <w:r w:rsidRPr="006B6495">
        <w:rPr>
          <w:rStyle w:val="Heading3Char"/>
          <w:lang w:val="fr-FR"/>
        </w:rPr>
        <w:lastRenderedPageBreak/>
        <w:t>Figure 3 : Retard des demandes échues</w:t>
      </w:r>
      <w:r w:rsidRPr="009031A4">
        <w:rPr>
          <w:noProof/>
        </w:rPr>
        <w:drawing>
          <wp:inline distT="0" distB="0" distL="0" distR="0">
            <wp:extent cx="5883965" cy="3904091"/>
            <wp:effectExtent l="0" t="0" r="2540" b="1270"/>
            <wp:docPr id="7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6B6495" w:rsidRPr="00805A8C" w:rsidRDefault="006B6495" w:rsidP="006B6495">
      <w:pPr>
        <w:pStyle w:val="Heading2"/>
      </w:pPr>
      <w:r w:rsidRPr="00805A8C">
        <w:t>Divulgation</w:t>
      </w:r>
    </w:p>
    <w:p w:rsidR="006B6495" w:rsidRPr="00805A8C" w:rsidRDefault="006B6495" w:rsidP="006B6495">
      <w:pPr>
        <w:pStyle w:val="Heading4"/>
      </w:pPr>
      <w:r w:rsidRPr="00805A8C">
        <w:t>Pourcentage de demandes pour lesquelle</w:t>
      </w:r>
      <w:r>
        <w:t>s l’information a été divulguée</w:t>
      </w:r>
    </w:p>
    <w:p w:rsidR="006B6495" w:rsidRPr="00B3701B" w:rsidRDefault="006B6495" w:rsidP="006B6495">
      <w:pPr>
        <w:jc w:val="both"/>
        <w:rPr>
          <w:lang w:val="fr-CA"/>
        </w:rPr>
      </w:pPr>
      <w:r>
        <w:rPr>
          <w:lang w:val="fr-CA"/>
        </w:rPr>
        <w:t xml:space="preserve">En 2014-2015, 42 </w:t>
      </w:r>
      <w:r w:rsidRPr="00B3701B">
        <w:rPr>
          <w:lang w:val="fr-CA"/>
        </w:rPr>
        <w:t xml:space="preserve">des demandes </w:t>
      </w:r>
      <w:r>
        <w:rPr>
          <w:lang w:val="fr-CA"/>
        </w:rPr>
        <w:t>complétées</w:t>
      </w:r>
      <w:r w:rsidRPr="00B3701B">
        <w:rPr>
          <w:lang w:val="fr-CA"/>
        </w:rPr>
        <w:t xml:space="preserve"> ont fait l’objet d’une divulgation complète,</w:t>
      </w:r>
      <w:r>
        <w:rPr>
          <w:lang w:val="fr-CA"/>
        </w:rPr>
        <w:t xml:space="preserve"> soit 8,7 % des demandes complétées. Ceci</w:t>
      </w:r>
      <w:r w:rsidRPr="00B3701B">
        <w:rPr>
          <w:lang w:val="fr-CA"/>
        </w:rPr>
        <w:t xml:space="preserve"> représente le taux de divulgation le plus faible depuis 2012 (voir figure 4). La figure 4 montre également que le taux de demandes faisant l’objet d’une d</w:t>
      </w:r>
      <w:r>
        <w:rPr>
          <w:lang w:val="fr-CA"/>
        </w:rPr>
        <w:t>ivulgation partielle était de 61,8 % en 2014-</w:t>
      </w:r>
      <w:r w:rsidRPr="00B3701B">
        <w:rPr>
          <w:lang w:val="fr-CA"/>
        </w:rPr>
        <w:t>2015, ce qui représente un taux similaire à cel</w:t>
      </w:r>
      <w:r>
        <w:rPr>
          <w:lang w:val="fr-CA"/>
        </w:rPr>
        <w:t>ui des deux dernières périodes.</w:t>
      </w:r>
    </w:p>
    <w:p w:rsidR="006B6495" w:rsidRPr="00B3701B" w:rsidRDefault="006B6495" w:rsidP="006B6495">
      <w:pPr>
        <w:spacing w:line="240" w:lineRule="auto"/>
        <w:rPr>
          <w:lang w:val="fr-CA"/>
        </w:rPr>
      </w:pPr>
      <w:r w:rsidRPr="00957E09">
        <w:rPr>
          <w:rStyle w:val="Heading3Char"/>
          <w:lang w:val="fr-FR"/>
        </w:rPr>
        <w:lastRenderedPageBreak/>
        <w:t>Figure 4 : Niveau de divulgation</w:t>
      </w:r>
      <w:r w:rsidRPr="009031A4">
        <w:rPr>
          <w:noProof/>
        </w:rPr>
        <w:drawing>
          <wp:inline distT="0" distB="0" distL="0" distR="0">
            <wp:extent cx="5939624" cy="3888188"/>
            <wp:effectExtent l="0" t="0" r="23495" b="17145"/>
            <wp:docPr id="7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6B6495" w:rsidRPr="00805A8C" w:rsidRDefault="006B6495" w:rsidP="006B6495">
      <w:pPr>
        <w:pStyle w:val="Heading4"/>
      </w:pPr>
      <w:r w:rsidRPr="00805A8C">
        <w:t>Exceptions</w:t>
      </w:r>
    </w:p>
    <w:p w:rsidR="006B6495" w:rsidRPr="00B3701B" w:rsidRDefault="006B6495" w:rsidP="006B6495">
      <w:pPr>
        <w:jc w:val="both"/>
        <w:rPr>
          <w:lang w:val="fr-CA"/>
        </w:rPr>
      </w:pPr>
      <w:r w:rsidRPr="00B3701B">
        <w:rPr>
          <w:lang w:val="fr-CA"/>
        </w:rPr>
        <w:t xml:space="preserve">Le nombre </w:t>
      </w:r>
      <w:r w:rsidRPr="00015AC5">
        <w:rPr>
          <w:lang w:val="fr-CA"/>
        </w:rPr>
        <w:t xml:space="preserve">moyen d’exceptions par demande complétée a diminué de 3,22 en 2013-2014 à 2,97 en </w:t>
      </w:r>
      <w:r>
        <w:rPr>
          <w:lang w:val="fr-CA"/>
        </w:rPr>
        <w:t>2014-</w:t>
      </w:r>
      <w:r w:rsidRPr="00015AC5">
        <w:rPr>
          <w:lang w:val="fr-CA"/>
        </w:rPr>
        <w:t>2015</w:t>
      </w:r>
      <w:r>
        <w:rPr>
          <w:lang w:val="fr-CA"/>
        </w:rPr>
        <w:t xml:space="preserve"> (voir tableau 2)</w:t>
      </w:r>
      <w:r w:rsidRPr="00015AC5">
        <w:rPr>
          <w:lang w:val="fr-CA"/>
        </w:rPr>
        <w:t>.</w:t>
      </w:r>
    </w:p>
    <w:p w:rsidR="006B6495" w:rsidRPr="00E858E4" w:rsidRDefault="006B6495" w:rsidP="006B6495">
      <w:pPr>
        <w:jc w:val="both"/>
        <w:rPr>
          <w:lang w:val="fr-CA"/>
        </w:rPr>
      </w:pPr>
      <w:r w:rsidRPr="00E858E4">
        <w:rPr>
          <w:lang w:val="fr-CA"/>
        </w:rPr>
        <w:t>Les exceptions les plu</w:t>
      </w:r>
      <w:r>
        <w:rPr>
          <w:lang w:val="fr-CA"/>
        </w:rPr>
        <w:t>s fréquemment invoquées en 2014-</w:t>
      </w:r>
      <w:r w:rsidRPr="00E858E4">
        <w:rPr>
          <w:lang w:val="fr-CA"/>
        </w:rPr>
        <w:t xml:space="preserve">2015 étaient l’article 21 (les activités du gouvernement) (39,9 %), l’article 20 (les renseignements de tiers) (10,6 %) et l’article 14 (les affaires </w:t>
      </w:r>
      <w:proofErr w:type="spellStart"/>
      <w:r w:rsidRPr="00E858E4">
        <w:rPr>
          <w:lang w:val="fr-CA"/>
        </w:rPr>
        <w:t>fédéro</w:t>
      </w:r>
      <w:proofErr w:type="spellEnd"/>
      <w:r w:rsidRPr="00E858E4">
        <w:rPr>
          <w:lang w:val="fr-CA"/>
        </w:rPr>
        <w:t>-provinciales) (10,8 %). En général, nous avons observé une augmentation du recours aux exceptions par rapport à la période précédente.</w:t>
      </w:r>
    </w:p>
    <w:p w:rsidR="006B6495" w:rsidRPr="00B62DEC" w:rsidRDefault="006B6495" w:rsidP="006B6495">
      <w:pPr>
        <w:pStyle w:val="Heading3"/>
      </w:pPr>
      <w:r w:rsidRPr="00B3701B">
        <w:t xml:space="preserve">Tableau </w:t>
      </w:r>
      <w:proofErr w:type="gramStart"/>
      <w:r w:rsidRPr="00B3701B">
        <w:t>2 :</w:t>
      </w:r>
      <w:proofErr w:type="gramEnd"/>
      <w:r w:rsidRPr="00B3701B">
        <w:t xml:space="preserve"> Exceptions</w:t>
      </w:r>
    </w:p>
    <w:tbl>
      <w:tblPr>
        <w:tblW w:w="9492" w:type="dxa"/>
        <w:tblInd w:w="98" w:type="dxa"/>
        <w:tblLook w:val="04A0"/>
      </w:tblPr>
      <w:tblGrid>
        <w:gridCol w:w="5079"/>
        <w:gridCol w:w="1255"/>
        <w:gridCol w:w="1903"/>
        <w:gridCol w:w="1255"/>
      </w:tblGrid>
      <w:tr w:rsidR="006B6495" w:rsidRPr="00B3701B" w:rsidTr="006B6495">
        <w:trPr>
          <w:trHeight w:val="301"/>
        </w:trPr>
        <w:tc>
          <w:tcPr>
            <w:tcW w:w="5079" w:type="dxa"/>
            <w:tcBorders>
              <w:top w:val="single" w:sz="8" w:space="0" w:color="auto"/>
              <w:left w:val="single" w:sz="8" w:space="0" w:color="auto"/>
              <w:bottom w:val="single" w:sz="8" w:space="0" w:color="auto"/>
              <w:right w:val="nil"/>
            </w:tcBorders>
            <w:shd w:val="clear" w:color="000000" w:fill="DBE5F1"/>
            <w:noWrap/>
            <w:vAlign w:val="bottom"/>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 xml:space="preserve">Exceptions </w:t>
            </w:r>
          </w:p>
        </w:tc>
        <w:tc>
          <w:tcPr>
            <w:tcW w:w="1255" w:type="dxa"/>
            <w:tcBorders>
              <w:top w:val="single" w:sz="8" w:space="0" w:color="auto"/>
              <w:left w:val="nil"/>
              <w:bottom w:val="single" w:sz="8" w:space="0" w:color="auto"/>
              <w:right w:val="nil"/>
            </w:tcBorders>
            <w:shd w:val="clear" w:color="000000" w:fill="DBE5F1"/>
            <w:noWrap/>
            <w:vAlign w:val="bottom"/>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2012-2013</w:t>
            </w:r>
          </w:p>
        </w:tc>
        <w:tc>
          <w:tcPr>
            <w:tcW w:w="1903" w:type="dxa"/>
            <w:tcBorders>
              <w:top w:val="single" w:sz="8" w:space="0" w:color="auto"/>
              <w:left w:val="nil"/>
              <w:bottom w:val="single" w:sz="8" w:space="0" w:color="auto"/>
              <w:right w:val="nil"/>
            </w:tcBorders>
            <w:shd w:val="clear" w:color="000000" w:fill="DBE5F1"/>
            <w:noWrap/>
            <w:vAlign w:val="bottom"/>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2013-2014</w:t>
            </w:r>
          </w:p>
        </w:tc>
        <w:tc>
          <w:tcPr>
            <w:tcW w:w="1255" w:type="dxa"/>
            <w:tcBorders>
              <w:top w:val="single" w:sz="8" w:space="0" w:color="auto"/>
              <w:left w:val="nil"/>
              <w:bottom w:val="single" w:sz="8" w:space="0" w:color="auto"/>
              <w:right w:val="single" w:sz="8" w:space="0" w:color="auto"/>
            </w:tcBorders>
            <w:shd w:val="clear" w:color="000000" w:fill="DBE5F1"/>
            <w:noWrap/>
            <w:vAlign w:val="bottom"/>
            <w:hideMark/>
          </w:tcPr>
          <w:p w:rsidR="006B6495" w:rsidRPr="00B3701B" w:rsidRDefault="006B6495" w:rsidP="006B6495">
            <w:pPr>
              <w:spacing w:after="0" w:line="240" w:lineRule="auto"/>
              <w:jc w:val="center"/>
              <w:rPr>
                <w:rFonts w:ascii="Calibri" w:eastAsia="Times New Roman" w:hAnsi="Calibri" w:cs="Times New Roman"/>
                <w:b/>
                <w:bCs/>
                <w:color w:val="000000"/>
                <w:lang w:val="fr-CA"/>
              </w:rPr>
            </w:pPr>
            <w:r w:rsidRPr="00B3701B">
              <w:rPr>
                <w:rFonts w:ascii="Calibri" w:eastAsia="Times New Roman" w:hAnsi="Calibri" w:cs="Times New Roman"/>
                <w:b/>
                <w:bCs/>
                <w:color w:val="000000"/>
                <w:lang w:val="fr-CA"/>
              </w:rPr>
              <w:t>2014-2015</w:t>
            </w:r>
          </w:p>
        </w:tc>
      </w:tr>
      <w:tr w:rsidR="006B6495" w:rsidRPr="00B3701B" w:rsidTr="006B6495">
        <w:trPr>
          <w:trHeight w:val="287"/>
        </w:trPr>
        <w:tc>
          <w:tcPr>
            <w:tcW w:w="5079" w:type="dxa"/>
            <w:tcBorders>
              <w:top w:val="nil"/>
              <w:left w:val="single" w:sz="8" w:space="0" w:color="auto"/>
              <w:bottom w:val="nil"/>
              <w:right w:val="nil"/>
            </w:tcBorders>
            <w:shd w:val="clear" w:color="auto" w:fill="auto"/>
            <w:noWrap/>
            <w:vAlign w:val="bottom"/>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Nombre total d’exceptions</w:t>
            </w:r>
          </w:p>
        </w:tc>
        <w:tc>
          <w:tcPr>
            <w:tcW w:w="1255" w:type="dxa"/>
            <w:tcBorders>
              <w:top w:val="nil"/>
              <w:left w:val="nil"/>
              <w:bottom w:val="nil"/>
              <w:right w:val="nil"/>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1 289</w:t>
            </w:r>
          </w:p>
        </w:tc>
        <w:tc>
          <w:tcPr>
            <w:tcW w:w="1903" w:type="dxa"/>
            <w:tcBorders>
              <w:top w:val="nil"/>
              <w:left w:val="nil"/>
              <w:bottom w:val="nil"/>
              <w:right w:val="nil"/>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1 846</w:t>
            </w:r>
          </w:p>
        </w:tc>
        <w:tc>
          <w:tcPr>
            <w:tcW w:w="1255" w:type="dxa"/>
            <w:tcBorders>
              <w:top w:val="nil"/>
              <w:left w:val="nil"/>
              <w:bottom w:val="nil"/>
              <w:right w:val="single" w:sz="8" w:space="0" w:color="auto"/>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1 430</w:t>
            </w:r>
          </w:p>
        </w:tc>
      </w:tr>
      <w:tr w:rsidR="006B6495" w:rsidRPr="00B3701B" w:rsidTr="006B6495">
        <w:trPr>
          <w:trHeight w:val="287"/>
        </w:trPr>
        <w:tc>
          <w:tcPr>
            <w:tcW w:w="5079" w:type="dxa"/>
            <w:tcBorders>
              <w:top w:val="nil"/>
              <w:left w:val="single" w:sz="8" w:space="0" w:color="auto"/>
              <w:bottom w:val="nil"/>
              <w:right w:val="nil"/>
            </w:tcBorders>
            <w:shd w:val="clear" w:color="auto" w:fill="auto"/>
            <w:noWrap/>
            <w:vAlign w:val="bottom"/>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255" w:type="dxa"/>
            <w:tcBorders>
              <w:top w:val="nil"/>
              <w:left w:val="nil"/>
              <w:bottom w:val="nil"/>
              <w:right w:val="nil"/>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458</w:t>
            </w:r>
          </w:p>
        </w:tc>
        <w:tc>
          <w:tcPr>
            <w:tcW w:w="1903" w:type="dxa"/>
            <w:tcBorders>
              <w:top w:val="nil"/>
              <w:left w:val="nil"/>
              <w:bottom w:val="nil"/>
              <w:right w:val="nil"/>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573</w:t>
            </w:r>
          </w:p>
        </w:tc>
        <w:tc>
          <w:tcPr>
            <w:tcW w:w="1255" w:type="dxa"/>
            <w:tcBorders>
              <w:top w:val="nil"/>
              <w:left w:val="nil"/>
              <w:bottom w:val="nil"/>
              <w:right w:val="single" w:sz="8" w:space="0" w:color="auto"/>
            </w:tcBorders>
            <w:shd w:val="clear" w:color="auto" w:fill="auto"/>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482</w:t>
            </w:r>
          </w:p>
        </w:tc>
      </w:tr>
      <w:tr w:rsidR="006B6495" w:rsidRPr="00B3701B" w:rsidTr="006B6495">
        <w:trPr>
          <w:trHeight w:val="301"/>
        </w:trPr>
        <w:tc>
          <w:tcPr>
            <w:tcW w:w="5079" w:type="dxa"/>
            <w:tcBorders>
              <w:top w:val="nil"/>
              <w:left w:val="single" w:sz="8" w:space="0" w:color="auto"/>
              <w:bottom w:val="single" w:sz="8" w:space="0" w:color="auto"/>
              <w:right w:val="nil"/>
            </w:tcBorders>
            <w:shd w:val="clear" w:color="000000" w:fill="DBE5F1"/>
            <w:noWrap/>
            <w:vAlign w:val="bottom"/>
            <w:hideMark/>
          </w:tcPr>
          <w:p w:rsidR="006B6495" w:rsidRPr="00B3701B" w:rsidRDefault="006B6495" w:rsidP="006B6495">
            <w:pPr>
              <w:spacing w:after="0" w:line="240" w:lineRule="auto"/>
              <w:rPr>
                <w:rFonts w:ascii="Calibri" w:eastAsia="Times New Roman" w:hAnsi="Calibri" w:cs="Times New Roman"/>
                <w:color w:val="000000"/>
                <w:lang w:val="fr-CA"/>
              </w:rPr>
            </w:pPr>
            <w:r w:rsidRPr="00B3701B">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w:t>
            </w:r>
          </w:p>
        </w:tc>
        <w:tc>
          <w:tcPr>
            <w:tcW w:w="1255" w:type="dxa"/>
            <w:tcBorders>
              <w:top w:val="nil"/>
              <w:left w:val="nil"/>
              <w:bottom w:val="single" w:sz="8" w:space="0" w:color="auto"/>
              <w:right w:val="nil"/>
            </w:tcBorders>
            <w:shd w:val="clear" w:color="000000" w:fill="DBE5F1"/>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2,8</w:t>
            </w:r>
            <w:r>
              <w:rPr>
                <w:rFonts w:ascii="Calibri" w:eastAsia="Times New Roman" w:hAnsi="Calibri" w:cs="Times New Roman"/>
                <w:color w:val="000000"/>
                <w:lang w:val="fr-CA"/>
              </w:rPr>
              <w:t>1</w:t>
            </w:r>
          </w:p>
        </w:tc>
        <w:tc>
          <w:tcPr>
            <w:tcW w:w="1903" w:type="dxa"/>
            <w:tcBorders>
              <w:top w:val="nil"/>
              <w:left w:val="nil"/>
              <w:bottom w:val="single" w:sz="8" w:space="0" w:color="auto"/>
              <w:right w:val="nil"/>
            </w:tcBorders>
            <w:shd w:val="clear" w:color="000000" w:fill="DBE5F1"/>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sidRPr="00B3701B">
              <w:rPr>
                <w:rFonts w:ascii="Calibri" w:eastAsia="Times New Roman" w:hAnsi="Calibri" w:cs="Times New Roman"/>
                <w:color w:val="000000"/>
                <w:lang w:val="fr-CA"/>
              </w:rPr>
              <w:t>3,2</w:t>
            </w:r>
            <w:r>
              <w:rPr>
                <w:rFonts w:ascii="Calibri" w:eastAsia="Times New Roman" w:hAnsi="Calibri" w:cs="Times New Roman"/>
                <w:color w:val="000000"/>
                <w:lang w:val="fr-CA"/>
              </w:rPr>
              <w:t>2</w:t>
            </w:r>
          </w:p>
        </w:tc>
        <w:tc>
          <w:tcPr>
            <w:tcW w:w="1255" w:type="dxa"/>
            <w:tcBorders>
              <w:top w:val="nil"/>
              <w:left w:val="nil"/>
              <w:bottom w:val="single" w:sz="8" w:space="0" w:color="auto"/>
              <w:right w:val="single" w:sz="8" w:space="0" w:color="auto"/>
            </w:tcBorders>
            <w:shd w:val="clear" w:color="000000" w:fill="DBE5F1"/>
            <w:noWrap/>
            <w:vAlign w:val="bottom"/>
            <w:hideMark/>
          </w:tcPr>
          <w:p w:rsidR="006B6495" w:rsidRPr="00B3701B" w:rsidRDefault="006B6495" w:rsidP="006B6495">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2,97</w:t>
            </w:r>
          </w:p>
        </w:tc>
      </w:tr>
    </w:tbl>
    <w:p w:rsidR="006B6495" w:rsidRDefault="006B6495" w:rsidP="006B6495">
      <w:pPr>
        <w:pStyle w:val="Heading2"/>
        <w:spacing w:before="240"/>
      </w:pPr>
    </w:p>
    <w:p w:rsidR="006B6495" w:rsidRDefault="006B6495" w:rsidP="006B6495">
      <w:pPr>
        <w:rPr>
          <w:lang w:val="fr-CA"/>
        </w:rPr>
      </w:pPr>
      <w:r>
        <w:br w:type="page"/>
      </w:r>
    </w:p>
    <w:p w:rsidR="006B6495" w:rsidRPr="00B62DEC" w:rsidRDefault="006B6495" w:rsidP="006B6495">
      <w:pPr>
        <w:pStyle w:val="Heading2"/>
        <w:spacing w:before="240"/>
      </w:pPr>
      <w:r w:rsidRPr="00B62DEC">
        <w:lastRenderedPageBreak/>
        <w:t>Plaintes au Commissariat à l’information</w:t>
      </w:r>
    </w:p>
    <w:p w:rsidR="006B6495" w:rsidRDefault="006B6495" w:rsidP="006B6495">
      <w:pPr>
        <w:jc w:val="both"/>
        <w:rPr>
          <w:lang w:val="fr-CA"/>
        </w:rPr>
      </w:pPr>
      <w:r>
        <w:rPr>
          <w:lang w:val="fr-CA"/>
        </w:rPr>
        <w:t>En 2014-</w:t>
      </w:r>
      <w:r w:rsidRPr="00B3701B">
        <w:rPr>
          <w:lang w:val="fr-CA"/>
        </w:rPr>
        <w:t>2015, le Commissariat à l’information du Canada a reçu 12 plaintes</w:t>
      </w:r>
      <w:r>
        <w:rPr>
          <w:rStyle w:val="FootnoteReference"/>
          <w:lang w:val="fr-CA"/>
        </w:rPr>
        <w:footnoteReference w:id="88"/>
      </w:r>
      <w:r w:rsidRPr="00B3701B">
        <w:rPr>
          <w:lang w:val="fr-CA"/>
        </w:rPr>
        <w:t xml:space="preserve"> concernant FIN, soit moins que les 19 plaintes reçues en 2013</w:t>
      </w:r>
      <w:r>
        <w:rPr>
          <w:lang w:val="fr-CA"/>
        </w:rPr>
        <w:t>-</w:t>
      </w:r>
      <w:r w:rsidRPr="00B3701B">
        <w:rPr>
          <w:lang w:val="fr-CA"/>
        </w:rPr>
        <w:t xml:space="preserve">2014. La majeure partie des plaintes reçues étaient attribuables à des refus (10), et les autres étaient de nature administrative (2). Il s’agit d’un résultat similaire à celui de l’année précédente (14 plaintes pour refus et 5 plaintes de nature </w:t>
      </w:r>
      <w:r>
        <w:rPr>
          <w:lang w:val="fr-CA"/>
        </w:rPr>
        <w:t>administrative).</w:t>
      </w:r>
    </w:p>
    <w:p w:rsidR="006B6495" w:rsidRPr="00B3701B" w:rsidRDefault="006B6495" w:rsidP="006B6495">
      <w:pPr>
        <w:jc w:val="both"/>
        <w:rPr>
          <w:lang w:val="fr-CA"/>
        </w:rPr>
      </w:pPr>
      <w:r w:rsidRPr="00B3701B">
        <w:rPr>
          <w:lang w:val="fr-CA"/>
        </w:rPr>
        <w:t>Pour la période de référence actuelle, la moitié des plaintes reçues étaient fondées et ont été réglées et les autres ont été abandonnées.</w:t>
      </w:r>
    </w:p>
    <w:p w:rsidR="006B6495" w:rsidRDefault="006B6495">
      <w:pPr>
        <w:rPr>
          <w:lang w:val="fr-CA"/>
        </w:rPr>
      </w:pPr>
      <w:r>
        <w:rPr>
          <w:lang w:val="fr-CA"/>
        </w:rPr>
        <w:br w:type="page"/>
      </w:r>
    </w:p>
    <w:p w:rsidR="006B6495" w:rsidRPr="00680877" w:rsidRDefault="006B6495" w:rsidP="006B6495">
      <w:pPr>
        <w:pStyle w:val="Heading1"/>
      </w:pPr>
      <w:r w:rsidRPr="00680877">
        <w:lastRenderedPageBreak/>
        <w:t>Pêches et Océans Canada</w:t>
      </w:r>
    </w:p>
    <w:p w:rsidR="006B6495" w:rsidRPr="00680877" w:rsidRDefault="006B6495" w:rsidP="006B6495">
      <w:pPr>
        <w:rPr>
          <w:b/>
          <w:lang w:val="fr-CA"/>
        </w:rPr>
      </w:pPr>
      <w:r w:rsidRPr="00680877">
        <w:rPr>
          <w:rStyle w:val="Heading2Char"/>
        </w:rPr>
        <w:t>Rendement global</w:t>
      </w:r>
      <w:r w:rsidRPr="004315D3">
        <w:rPr>
          <w:rStyle w:val="FootnoteReference"/>
          <w:b/>
          <w:lang w:val="fr-CA"/>
        </w:rPr>
        <w:footnoteReference w:id="89"/>
      </w:r>
    </w:p>
    <w:p w:rsidR="006B6495" w:rsidRPr="002100CD" w:rsidRDefault="006B6495" w:rsidP="006B6495">
      <w:pPr>
        <w:jc w:val="both"/>
        <w:rPr>
          <w:color w:val="000000" w:themeColor="text1"/>
          <w:lang w:val="fr-CA"/>
        </w:rPr>
      </w:pPr>
      <w:r w:rsidRPr="004315D3">
        <w:rPr>
          <w:color w:val="000000" w:themeColor="text1"/>
          <w:lang w:val="fr-CA"/>
        </w:rPr>
        <w:t xml:space="preserve">Pêches et Océans Canada (POC) a </w:t>
      </w:r>
      <w:r>
        <w:rPr>
          <w:color w:val="000000" w:themeColor="text1"/>
          <w:lang w:val="fr-CA"/>
        </w:rPr>
        <w:t>connu</w:t>
      </w:r>
      <w:r w:rsidRPr="004315D3">
        <w:rPr>
          <w:color w:val="000000" w:themeColor="text1"/>
          <w:lang w:val="fr-CA"/>
        </w:rPr>
        <w:t xml:space="preserve"> une augmentation de 22,8 % du nombre de </w:t>
      </w:r>
      <w:r>
        <w:rPr>
          <w:color w:val="000000" w:themeColor="text1"/>
          <w:lang w:val="fr-CA"/>
        </w:rPr>
        <w:t xml:space="preserve">ses </w:t>
      </w:r>
      <w:r w:rsidRPr="004315D3">
        <w:rPr>
          <w:color w:val="000000" w:themeColor="text1"/>
          <w:lang w:val="fr-CA"/>
        </w:rPr>
        <w:t xml:space="preserve">demandes reçues et </w:t>
      </w:r>
      <w:r w:rsidRPr="004315D3">
        <w:rPr>
          <w:color w:val="000000" w:themeColor="text1"/>
          <w:lang w:val="fr-FR"/>
        </w:rPr>
        <w:t xml:space="preserve">à </w:t>
      </w:r>
      <w:r w:rsidRPr="004315D3">
        <w:rPr>
          <w:color w:val="000000" w:themeColor="text1"/>
          <w:lang w:val="fr-CA"/>
        </w:rPr>
        <w:t>légèrement amélioré son pourcentage de 1,8 % au niveau des demandes complétées en 30 jours ou moins</w:t>
      </w:r>
      <w:r>
        <w:rPr>
          <w:color w:val="000000" w:themeColor="text1"/>
          <w:lang w:val="fr-CA"/>
        </w:rPr>
        <w:t>.</w:t>
      </w:r>
      <w:r w:rsidRPr="004315D3">
        <w:rPr>
          <w:color w:val="000000" w:themeColor="text1"/>
          <w:lang w:val="fr-CA"/>
        </w:rPr>
        <w:t xml:space="preserve"> Le présent rapport contient des statistiques comparatives pour les trois dernières périodes (2012 à 2015).</w:t>
      </w:r>
    </w:p>
    <w:p w:rsidR="006B6495" w:rsidRPr="00680877" w:rsidRDefault="006B6495" w:rsidP="006B6495">
      <w:pPr>
        <w:pStyle w:val="Heading2"/>
      </w:pPr>
      <w:r w:rsidRPr="00680877">
        <w:t>Charge de travail</w:t>
      </w:r>
    </w:p>
    <w:p w:rsidR="006B6495" w:rsidRPr="002100CD" w:rsidRDefault="006B6495" w:rsidP="006B6495">
      <w:pPr>
        <w:jc w:val="both"/>
        <w:rPr>
          <w:color w:val="000000" w:themeColor="text1"/>
          <w:lang w:val="fr-CA"/>
        </w:rPr>
      </w:pPr>
      <w:r w:rsidRPr="002100CD">
        <w:rPr>
          <w:color w:val="000000" w:themeColor="text1"/>
          <w:lang w:val="fr-CA"/>
        </w:rPr>
        <w:t xml:space="preserve">POC a reçu 512 demandes en vertu de la </w:t>
      </w:r>
      <w:r w:rsidRPr="002100CD">
        <w:rPr>
          <w:i/>
          <w:color w:val="000000" w:themeColor="text1"/>
          <w:lang w:val="fr-CA"/>
        </w:rPr>
        <w:t>Loi sur l’accès à l‘information</w:t>
      </w:r>
      <w:r w:rsidRPr="002100CD">
        <w:rPr>
          <w:color w:val="000000" w:themeColor="text1"/>
          <w:lang w:val="fr-CA"/>
        </w:rPr>
        <w:t xml:space="preserve"> (la </w:t>
      </w:r>
      <w:r w:rsidRPr="002100CD">
        <w:rPr>
          <w:i/>
          <w:color w:val="000000" w:themeColor="text1"/>
          <w:lang w:val="fr-CA"/>
        </w:rPr>
        <w:t>Loi</w:t>
      </w:r>
      <w:r w:rsidRPr="002100CD">
        <w:rPr>
          <w:color w:val="000000" w:themeColor="text1"/>
          <w:lang w:val="fr-CA"/>
        </w:rPr>
        <w:t xml:space="preserve">), </w:t>
      </w:r>
      <w:r>
        <w:rPr>
          <w:color w:val="000000" w:themeColor="text1"/>
          <w:lang w:val="fr-CA"/>
        </w:rPr>
        <w:t>ce qui représente</w:t>
      </w:r>
      <w:r w:rsidRPr="002100CD">
        <w:rPr>
          <w:color w:val="000000" w:themeColor="text1"/>
          <w:lang w:val="fr-CA"/>
        </w:rPr>
        <w:t xml:space="preserve"> 0,</w:t>
      </w:r>
      <w:r>
        <w:rPr>
          <w:color w:val="000000" w:themeColor="text1"/>
          <w:lang w:val="fr-CA"/>
        </w:rPr>
        <w:t>8</w:t>
      </w:r>
      <w:r w:rsidRPr="002100CD">
        <w:rPr>
          <w:color w:val="000000" w:themeColor="text1"/>
          <w:lang w:val="fr-CA"/>
        </w:rPr>
        <w:t> % du nombre total de demandes reçues à l’échelle du gouvernement en 2014</w:t>
      </w:r>
      <w:r>
        <w:rPr>
          <w:color w:val="000000" w:themeColor="text1"/>
          <w:lang w:val="fr-CA"/>
        </w:rPr>
        <w:t>-</w:t>
      </w:r>
      <w:r w:rsidRPr="002100CD">
        <w:rPr>
          <w:color w:val="000000" w:themeColor="text1"/>
          <w:lang w:val="fr-CA"/>
        </w:rPr>
        <w:t>2015. En 2013</w:t>
      </w:r>
      <w:r>
        <w:rPr>
          <w:color w:val="000000" w:themeColor="text1"/>
          <w:lang w:val="fr-CA"/>
        </w:rPr>
        <w:t>-</w:t>
      </w:r>
      <w:r w:rsidRPr="002100CD">
        <w:rPr>
          <w:color w:val="000000" w:themeColor="text1"/>
          <w:lang w:val="fr-CA"/>
        </w:rPr>
        <w:t>2014, POC a reçu 417 demandes, soit 22,8 % de moins que lors de la période de r</w:t>
      </w:r>
      <w:r>
        <w:rPr>
          <w:color w:val="000000" w:themeColor="text1"/>
          <w:lang w:val="fr-CA"/>
        </w:rPr>
        <w:t>éférence actuelle</w:t>
      </w:r>
      <w:r w:rsidRPr="002100CD">
        <w:rPr>
          <w:color w:val="000000" w:themeColor="text1"/>
          <w:lang w:val="fr-CA"/>
        </w:rPr>
        <w:t>. La plupart des demandes e</w:t>
      </w:r>
      <w:r>
        <w:rPr>
          <w:color w:val="000000" w:themeColor="text1"/>
          <w:lang w:val="fr-CA"/>
        </w:rPr>
        <w:t>n 2014-</w:t>
      </w:r>
      <w:r w:rsidRPr="002100CD">
        <w:rPr>
          <w:color w:val="000000" w:themeColor="text1"/>
          <w:lang w:val="fr-CA"/>
        </w:rPr>
        <w:t>2015 pr</w:t>
      </w:r>
      <w:r>
        <w:rPr>
          <w:color w:val="000000" w:themeColor="text1"/>
          <w:lang w:val="fr-CA"/>
        </w:rPr>
        <w:t>ovenaient du secteur privé (33,6</w:t>
      </w:r>
      <w:r w:rsidRPr="002100CD">
        <w:rPr>
          <w:color w:val="000000" w:themeColor="text1"/>
          <w:lang w:val="fr-CA"/>
        </w:rPr>
        <w:t> %) et du public (32</w:t>
      </w:r>
      <w:r>
        <w:rPr>
          <w:color w:val="000000" w:themeColor="text1"/>
          <w:lang w:val="fr-CA"/>
        </w:rPr>
        <w:t>,0</w:t>
      </w:r>
      <w:r w:rsidRPr="002100CD">
        <w:rPr>
          <w:color w:val="000000" w:themeColor="text1"/>
          <w:lang w:val="fr-CA"/>
        </w:rPr>
        <w:t> %), suivies des demandes des médias (</w:t>
      </w:r>
      <w:r>
        <w:rPr>
          <w:color w:val="000000" w:themeColor="text1"/>
          <w:lang w:val="fr-CA"/>
        </w:rPr>
        <w:t>21,7</w:t>
      </w:r>
      <w:r w:rsidRPr="002100CD">
        <w:rPr>
          <w:color w:val="000000" w:themeColor="text1"/>
          <w:lang w:val="fr-CA"/>
        </w:rPr>
        <w:t xml:space="preserve"> %). Les demandes du </w:t>
      </w:r>
      <w:r>
        <w:rPr>
          <w:color w:val="000000" w:themeColor="text1"/>
          <w:lang w:val="fr-CA"/>
        </w:rPr>
        <w:t>secteur privé</w:t>
      </w:r>
      <w:r w:rsidRPr="002100CD">
        <w:rPr>
          <w:color w:val="000000" w:themeColor="text1"/>
          <w:lang w:val="fr-CA"/>
        </w:rPr>
        <w:t xml:space="preserve">, du public </w:t>
      </w:r>
      <w:r>
        <w:rPr>
          <w:color w:val="000000" w:themeColor="text1"/>
          <w:lang w:val="fr-CA"/>
        </w:rPr>
        <w:t>et des médias ont augmenté de 44,5 %, 5,8</w:t>
      </w:r>
      <w:r w:rsidRPr="002100CD">
        <w:rPr>
          <w:color w:val="000000" w:themeColor="text1"/>
          <w:lang w:val="fr-CA"/>
        </w:rPr>
        <w:t> % et 35,4 %, respectivement.</w:t>
      </w:r>
    </w:p>
    <w:p w:rsidR="006B6495" w:rsidRDefault="006B6495" w:rsidP="006B6495">
      <w:pPr>
        <w:jc w:val="both"/>
        <w:rPr>
          <w:lang w:val="fr-CA"/>
        </w:rPr>
      </w:pPr>
      <w:r w:rsidRPr="002100CD">
        <w:rPr>
          <w:color w:val="000000" w:themeColor="text1"/>
          <w:lang w:val="fr-CA"/>
        </w:rPr>
        <w:t xml:space="preserve">POC a </w:t>
      </w:r>
      <w:r>
        <w:rPr>
          <w:color w:val="000000" w:themeColor="text1"/>
          <w:lang w:val="fr-CA"/>
        </w:rPr>
        <w:t>complété</w:t>
      </w:r>
      <w:r w:rsidRPr="002100CD">
        <w:rPr>
          <w:color w:val="000000" w:themeColor="text1"/>
          <w:lang w:val="fr-CA"/>
        </w:rPr>
        <w:t xml:space="preserve"> 503 demandes pour cette période de référence. Le taux d’achèvement</w:t>
      </w:r>
      <w:r>
        <w:rPr>
          <w:rStyle w:val="FootnoteReference"/>
          <w:color w:val="000000" w:themeColor="text1"/>
          <w:lang w:val="fr-CA"/>
        </w:rPr>
        <w:footnoteReference w:id="90"/>
      </w:r>
      <w:r w:rsidRPr="002100CD">
        <w:rPr>
          <w:color w:val="000000" w:themeColor="text1"/>
          <w:lang w:val="fr-CA"/>
        </w:rPr>
        <w:t xml:space="preserve"> est de 72,1 %,</w:t>
      </w:r>
      <w:r>
        <w:rPr>
          <w:color w:val="000000" w:themeColor="text1"/>
          <w:lang w:val="fr-CA"/>
        </w:rPr>
        <w:t xml:space="preserve"> soit un taux</w:t>
      </w:r>
      <w:r w:rsidRPr="002100CD">
        <w:rPr>
          <w:color w:val="000000" w:themeColor="text1"/>
          <w:lang w:val="fr-CA"/>
        </w:rPr>
        <w:t xml:space="preserve"> inférieur à </w:t>
      </w:r>
      <w:r>
        <w:rPr>
          <w:color w:val="000000" w:themeColor="text1"/>
          <w:lang w:val="fr-CA"/>
        </w:rPr>
        <w:t>celui pour</w:t>
      </w:r>
      <w:r w:rsidRPr="002100CD">
        <w:rPr>
          <w:color w:val="000000" w:themeColor="text1"/>
          <w:lang w:val="fr-CA"/>
        </w:rPr>
        <w:t xml:space="preserve"> l’ensemble du gouvernement</w:t>
      </w:r>
      <w:r>
        <w:rPr>
          <w:color w:val="000000" w:themeColor="text1"/>
          <w:lang w:val="fr-CA"/>
        </w:rPr>
        <w:t xml:space="preserve"> qui lui, était de 85,1%. Cela représente aussi une diminution de 4,0 % du taux d’achèvement par rapport à l’année 2013-2014. </w:t>
      </w:r>
      <w:r w:rsidRPr="002100CD">
        <w:rPr>
          <w:color w:val="000000" w:themeColor="text1"/>
          <w:lang w:val="fr-CA"/>
        </w:rPr>
        <w:t>POC a</w:t>
      </w:r>
      <w:r>
        <w:rPr>
          <w:color w:val="000000" w:themeColor="text1"/>
          <w:lang w:val="fr-CA"/>
        </w:rPr>
        <w:t xml:space="preserve"> aussi</w:t>
      </w:r>
      <w:r w:rsidRPr="002100CD">
        <w:rPr>
          <w:color w:val="000000" w:themeColor="text1"/>
          <w:lang w:val="fr-CA"/>
        </w:rPr>
        <w:t xml:space="preserve"> reçu </w:t>
      </w:r>
      <w:r>
        <w:rPr>
          <w:color w:val="000000" w:themeColor="text1"/>
          <w:lang w:val="fr-CA"/>
        </w:rPr>
        <w:t>118 </w:t>
      </w:r>
      <w:r w:rsidRPr="002100CD">
        <w:rPr>
          <w:color w:val="000000" w:themeColor="text1"/>
          <w:lang w:val="fr-CA"/>
        </w:rPr>
        <w:t>demandes informelles, dont 67,8 %</w:t>
      </w:r>
      <w:r>
        <w:rPr>
          <w:color w:val="000000" w:themeColor="text1"/>
          <w:lang w:val="fr-CA"/>
        </w:rPr>
        <w:t xml:space="preserve"> qui</w:t>
      </w:r>
      <w:r w:rsidRPr="002100CD">
        <w:rPr>
          <w:color w:val="000000" w:themeColor="text1"/>
          <w:lang w:val="fr-CA"/>
        </w:rPr>
        <w:t xml:space="preserve"> ont été </w:t>
      </w:r>
      <w:r>
        <w:rPr>
          <w:color w:val="000000" w:themeColor="text1"/>
          <w:lang w:val="fr-CA"/>
        </w:rPr>
        <w:t>complétées</w:t>
      </w:r>
      <w:r w:rsidRPr="002100CD">
        <w:rPr>
          <w:color w:val="000000" w:themeColor="text1"/>
          <w:lang w:val="fr-CA"/>
        </w:rPr>
        <w:t xml:space="preserve"> en 30 jours</w:t>
      </w:r>
      <w:r>
        <w:rPr>
          <w:color w:val="000000" w:themeColor="text1"/>
          <w:lang w:val="fr-CA"/>
        </w:rPr>
        <w:t xml:space="preserve"> ou moins</w:t>
      </w:r>
      <w:r w:rsidRPr="00662B83">
        <w:rPr>
          <w:lang w:val="fr-CA"/>
        </w:rPr>
        <w:t xml:space="preserve"> Le nombre de demandes de consultation reçues par POC en provenance d’autres institutions fédérales a augmenté de 170 à 226, ce qui représente une haus</w:t>
      </w:r>
      <w:r>
        <w:rPr>
          <w:lang w:val="fr-CA"/>
        </w:rPr>
        <w:t>se de 32,9 % par rapport à 2013-</w:t>
      </w:r>
      <w:r w:rsidRPr="00662B83">
        <w:rPr>
          <w:lang w:val="fr-CA"/>
        </w:rPr>
        <w:t>2014.</w:t>
      </w:r>
    </w:p>
    <w:p w:rsidR="006B6495" w:rsidRPr="002100CD" w:rsidRDefault="006B6495" w:rsidP="006B6495">
      <w:pPr>
        <w:jc w:val="both"/>
        <w:rPr>
          <w:color w:val="000000" w:themeColor="text1"/>
          <w:lang w:val="fr-CA"/>
        </w:rPr>
      </w:pPr>
      <w:r w:rsidRPr="002100CD">
        <w:rPr>
          <w:color w:val="000000" w:themeColor="text1"/>
          <w:lang w:val="fr-CA"/>
        </w:rPr>
        <w:t>Le nombre total de pages traitées est passé de 183 315 en 2013</w:t>
      </w:r>
      <w:r>
        <w:rPr>
          <w:color w:val="000000" w:themeColor="text1"/>
          <w:lang w:val="fr-CA"/>
        </w:rPr>
        <w:t>-</w:t>
      </w:r>
      <w:r w:rsidRPr="002100CD">
        <w:rPr>
          <w:color w:val="000000" w:themeColor="text1"/>
          <w:lang w:val="fr-CA"/>
        </w:rPr>
        <w:t>2014 à 307 313 en 2014</w:t>
      </w:r>
      <w:r>
        <w:rPr>
          <w:color w:val="000000" w:themeColor="text1"/>
          <w:lang w:val="fr-CA"/>
        </w:rPr>
        <w:t>-</w:t>
      </w:r>
      <w:r w:rsidRPr="002100CD">
        <w:rPr>
          <w:color w:val="000000" w:themeColor="text1"/>
          <w:lang w:val="fr-CA"/>
        </w:rPr>
        <w:t>2015</w:t>
      </w:r>
      <w:r>
        <w:rPr>
          <w:color w:val="000000" w:themeColor="text1"/>
          <w:lang w:val="fr-CA"/>
        </w:rPr>
        <w:t xml:space="preserve"> </w:t>
      </w:r>
      <w:proofErr w:type="gramStart"/>
      <w:r>
        <w:rPr>
          <w:color w:val="000000" w:themeColor="text1"/>
          <w:lang w:val="fr-CA"/>
        </w:rPr>
        <w:t>représentant</w:t>
      </w:r>
      <w:proofErr w:type="gramEnd"/>
      <w:r w:rsidRPr="002100CD">
        <w:rPr>
          <w:color w:val="000000" w:themeColor="text1"/>
          <w:lang w:val="fr-CA"/>
        </w:rPr>
        <w:t xml:space="preserve"> une hausse de 67,6 %. Le tableau 1 montre que le nombre moyen de pages traitées par demande </w:t>
      </w:r>
      <w:r>
        <w:rPr>
          <w:color w:val="000000" w:themeColor="text1"/>
          <w:lang w:val="fr-CA"/>
        </w:rPr>
        <w:t xml:space="preserve">complétée a augmenté, passant </w:t>
      </w:r>
      <w:r w:rsidRPr="002100CD">
        <w:rPr>
          <w:color w:val="000000" w:themeColor="text1"/>
          <w:lang w:val="fr-CA"/>
        </w:rPr>
        <w:t>de 538 en 2013</w:t>
      </w:r>
      <w:r>
        <w:rPr>
          <w:color w:val="000000" w:themeColor="text1"/>
          <w:lang w:val="fr-CA"/>
        </w:rPr>
        <w:t>-</w:t>
      </w:r>
      <w:r w:rsidRPr="002100CD">
        <w:rPr>
          <w:color w:val="000000" w:themeColor="text1"/>
          <w:lang w:val="fr-CA"/>
        </w:rPr>
        <w:t>2014 à 770 en 2014</w:t>
      </w:r>
      <w:r>
        <w:rPr>
          <w:color w:val="000000" w:themeColor="text1"/>
          <w:lang w:val="fr-CA"/>
        </w:rPr>
        <w:t>-2015.</w:t>
      </w:r>
    </w:p>
    <w:p w:rsidR="006B6495" w:rsidRPr="00680877" w:rsidRDefault="006B6495" w:rsidP="006B6495">
      <w:pPr>
        <w:jc w:val="both"/>
        <w:rPr>
          <w:color w:val="000000" w:themeColor="text1"/>
          <w:lang w:val="fr-CA"/>
        </w:rPr>
      </w:pPr>
      <w:r w:rsidRPr="002100CD">
        <w:rPr>
          <w:color w:val="000000" w:themeColor="text1"/>
          <w:lang w:val="fr-CA"/>
        </w:rPr>
        <w:t xml:space="preserve">L’information diffusée par POC était </w:t>
      </w:r>
      <w:r>
        <w:rPr>
          <w:color w:val="000000" w:themeColor="text1"/>
          <w:lang w:val="fr-CA"/>
        </w:rPr>
        <w:t>majoritairement</w:t>
      </w:r>
      <w:r w:rsidRPr="002100CD">
        <w:rPr>
          <w:color w:val="000000" w:themeColor="text1"/>
          <w:lang w:val="fr-CA"/>
        </w:rPr>
        <w:t xml:space="preserve"> en format papier : </w:t>
      </w:r>
      <w:r>
        <w:rPr>
          <w:color w:val="000000" w:themeColor="text1"/>
          <w:lang w:val="fr-CA"/>
        </w:rPr>
        <w:t>224 demandes</w:t>
      </w:r>
      <w:r w:rsidRPr="002100CD">
        <w:rPr>
          <w:color w:val="000000" w:themeColor="text1"/>
          <w:lang w:val="fr-CA"/>
        </w:rPr>
        <w:t xml:space="preserve"> en </w:t>
      </w:r>
      <w:r>
        <w:rPr>
          <w:color w:val="000000" w:themeColor="text1"/>
          <w:lang w:val="fr-CA"/>
        </w:rPr>
        <w:t>format papier par rapport à 120</w:t>
      </w:r>
      <w:r w:rsidRPr="002100CD">
        <w:rPr>
          <w:color w:val="000000" w:themeColor="text1"/>
          <w:lang w:val="fr-CA"/>
        </w:rPr>
        <w:t xml:space="preserve"> en for</w:t>
      </w:r>
      <w:r>
        <w:rPr>
          <w:color w:val="000000" w:themeColor="text1"/>
          <w:lang w:val="fr-CA"/>
        </w:rPr>
        <w:t>mat électronique.</w:t>
      </w:r>
    </w:p>
    <w:p w:rsidR="006B6495" w:rsidRPr="00680877" w:rsidRDefault="006B6495" w:rsidP="006B6495">
      <w:pPr>
        <w:pStyle w:val="Heading3"/>
      </w:pPr>
      <w:r w:rsidRPr="00680877">
        <w:t xml:space="preserve">Tableau </w:t>
      </w:r>
      <w:proofErr w:type="gramStart"/>
      <w:r w:rsidRPr="00680877">
        <w:t>1 :</w:t>
      </w:r>
      <w:proofErr w:type="gramEnd"/>
      <w:r w:rsidRPr="00680877">
        <w:t xml:space="preserve"> Charge de travail</w:t>
      </w:r>
    </w:p>
    <w:tbl>
      <w:tblPr>
        <w:tblW w:w="9285" w:type="dxa"/>
        <w:tblInd w:w="98" w:type="dxa"/>
        <w:tblLook w:val="04A0"/>
      </w:tblPr>
      <w:tblGrid>
        <w:gridCol w:w="5232"/>
        <w:gridCol w:w="1351"/>
        <w:gridCol w:w="1351"/>
        <w:gridCol w:w="1351"/>
      </w:tblGrid>
      <w:tr w:rsidR="006B6495" w:rsidRPr="002100CD" w:rsidTr="006B6495">
        <w:trPr>
          <w:trHeight w:val="276"/>
        </w:trPr>
        <w:tc>
          <w:tcPr>
            <w:tcW w:w="5232" w:type="dxa"/>
            <w:tcBorders>
              <w:top w:val="single" w:sz="4" w:space="0" w:color="auto"/>
              <w:left w:val="single" w:sz="4" w:space="0" w:color="auto"/>
              <w:right w:val="nil"/>
            </w:tcBorders>
            <w:shd w:val="clear" w:color="auto" w:fill="auto"/>
            <w:noWrap/>
            <w:vAlign w:val="bottom"/>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Mesures </w:t>
            </w:r>
          </w:p>
        </w:tc>
        <w:tc>
          <w:tcPr>
            <w:tcW w:w="1351" w:type="dxa"/>
            <w:tcBorders>
              <w:top w:val="single" w:sz="4" w:space="0" w:color="auto"/>
              <w:left w:val="nil"/>
              <w:right w:val="nil"/>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2012-2013</w:t>
            </w:r>
          </w:p>
        </w:tc>
        <w:tc>
          <w:tcPr>
            <w:tcW w:w="1351" w:type="dxa"/>
            <w:tcBorders>
              <w:top w:val="single" w:sz="4" w:space="0" w:color="auto"/>
              <w:left w:val="nil"/>
              <w:right w:val="nil"/>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2013-2014</w:t>
            </w:r>
          </w:p>
        </w:tc>
        <w:tc>
          <w:tcPr>
            <w:tcW w:w="1351" w:type="dxa"/>
            <w:tcBorders>
              <w:top w:val="single" w:sz="4" w:space="0" w:color="auto"/>
              <w:left w:val="nil"/>
              <w:right w:val="single" w:sz="4" w:space="0" w:color="auto"/>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2014-2015</w:t>
            </w:r>
          </w:p>
        </w:tc>
      </w:tr>
      <w:tr w:rsidR="006B6495" w:rsidRPr="002100CD" w:rsidTr="006B6495">
        <w:trPr>
          <w:trHeight w:val="264"/>
        </w:trPr>
        <w:tc>
          <w:tcPr>
            <w:tcW w:w="5232" w:type="dxa"/>
            <w:tcBorders>
              <w:top w:val="nil"/>
              <w:left w:val="single" w:sz="4" w:space="0" w:color="auto"/>
              <w:bottom w:val="nil"/>
              <w:right w:val="nil"/>
            </w:tcBorders>
            <w:shd w:val="clear" w:color="000000" w:fill="DBE5F1"/>
            <w:noWrap/>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Nombre de demandes reçues </w:t>
            </w:r>
          </w:p>
        </w:tc>
        <w:tc>
          <w:tcPr>
            <w:tcW w:w="1351" w:type="dxa"/>
            <w:tcBorders>
              <w:top w:val="nil"/>
              <w:left w:val="nil"/>
              <w:bottom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547</w:t>
            </w:r>
          </w:p>
        </w:tc>
        <w:tc>
          <w:tcPr>
            <w:tcW w:w="1351" w:type="dxa"/>
            <w:tcBorders>
              <w:top w:val="nil"/>
              <w:left w:val="nil"/>
              <w:bottom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417</w:t>
            </w:r>
          </w:p>
        </w:tc>
        <w:tc>
          <w:tcPr>
            <w:tcW w:w="1351" w:type="dxa"/>
            <w:tcBorders>
              <w:top w:val="nil"/>
              <w:left w:val="nil"/>
              <w:bottom w:val="nil"/>
              <w:right w:val="single" w:sz="4" w:space="0" w:color="auto"/>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512</w:t>
            </w:r>
          </w:p>
        </w:tc>
      </w:tr>
      <w:tr w:rsidR="006B6495" w:rsidRPr="002100CD" w:rsidTr="006B6495">
        <w:trPr>
          <w:trHeight w:val="264"/>
        </w:trPr>
        <w:tc>
          <w:tcPr>
            <w:tcW w:w="5232" w:type="dxa"/>
            <w:tcBorders>
              <w:top w:val="nil"/>
              <w:left w:val="single" w:sz="4" w:space="0" w:color="auto"/>
              <w:bottom w:val="nil"/>
              <w:right w:val="nil"/>
            </w:tcBorders>
            <w:shd w:val="clear" w:color="auto" w:fill="auto"/>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Variation annuelle en %</w:t>
            </w:r>
          </w:p>
        </w:tc>
        <w:tc>
          <w:tcPr>
            <w:tcW w:w="1351" w:type="dxa"/>
            <w:tcBorders>
              <w:top w:val="nil"/>
              <w:left w:val="nil"/>
              <w:bottom w:val="nil"/>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w:t>
            </w:r>
          </w:p>
        </w:tc>
        <w:tc>
          <w:tcPr>
            <w:tcW w:w="1351" w:type="dxa"/>
            <w:tcBorders>
              <w:top w:val="nil"/>
              <w:left w:val="nil"/>
              <w:bottom w:val="nil"/>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-23,8 %</w:t>
            </w:r>
          </w:p>
        </w:tc>
        <w:tc>
          <w:tcPr>
            <w:tcW w:w="1351" w:type="dxa"/>
            <w:tcBorders>
              <w:top w:val="nil"/>
              <w:left w:val="nil"/>
              <w:bottom w:val="nil"/>
              <w:right w:val="single" w:sz="4" w:space="0" w:color="auto"/>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22,8 %</w:t>
            </w:r>
          </w:p>
        </w:tc>
      </w:tr>
      <w:tr w:rsidR="006B6495" w:rsidRPr="002100CD" w:rsidTr="006B6495">
        <w:trPr>
          <w:trHeight w:val="264"/>
        </w:trPr>
        <w:tc>
          <w:tcPr>
            <w:tcW w:w="5232" w:type="dxa"/>
            <w:tcBorders>
              <w:top w:val="nil"/>
              <w:left w:val="single" w:sz="4" w:space="0" w:color="auto"/>
              <w:bottom w:val="nil"/>
              <w:right w:val="nil"/>
            </w:tcBorders>
            <w:shd w:val="clear" w:color="000000" w:fill="DBE5F1"/>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351" w:type="dxa"/>
            <w:tcBorders>
              <w:top w:val="nil"/>
              <w:left w:val="nil"/>
              <w:bottom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453</w:t>
            </w:r>
          </w:p>
        </w:tc>
        <w:tc>
          <w:tcPr>
            <w:tcW w:w="1351" w:type="dxa"/>
            <w:tcBorders>
              <w:top w:val="nil"/>
              <w:left w:val="nil"/>
              <w:bottom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397</w:t>
            </w:r>
          </w:p>
        </w:tc>
        <w:tc>
          <w:tcPr>
            <w:tcW w:w="1351" w:type="dxa"/>
            <w:tcBorders>
              <w:top w:val="nil"/>
              <w:left w:val="nil"/>
              <w:bottom w:val="nil"/>
              <w:right w:val="single" w:sz="4" w:space="0" w:color="auto"/>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503</w:t>
            </w:r>
          </w:p>
        </w:tc>
      </w:tr>
      <w:tr w:rsidR="006B6495" w:rsidRPr="002100CD" w:rsidTr="006B6495">
        <w:trPr>
          <w:trHeight w:val="276"/>
        </w:trPr>
        <w:tc>
          <w:tcPr>
            <w:tcW w:w="5232" w:type="dxa"/>
            <w:tcBorders>
              <w:top w:val="nil"/>
              <w:left w:val="single" w:sz="4" w:space="0" w:color="auto"/>
              <w:right w:val="nil"/>
            </w:tcBorders>
            <w:shd w:val="clear" w:color="auto" w:fill="auto"/>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Variation annuelle en %</w:t>
            </w:r>
          </w:p>
        </w:tc>
        <w:tc>
          <w:tcPr>
            <w:tcW w:w="1351" w:type="dxa"/>
            <w:tcBorders>
              <w:top w:val="nil"/>
              <w:left w:val="nil"/>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w:t>
            </w:r>
          </w:p>
        </w:tc>
        <w:tc>
          <w:tcPr>
            <w:tcW w:w="1351" w:type="dxa"/>
            <w:tcBorders>
              <w:top w:val="nil"/>
              <w:left w:val="nil"/>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-12,4 %</w:t>
            </w:r>
          </w:p>
        </w:tc>
        <w:tc>
          <w:tcPr>
            <w:tcW w:w="1351" w:type="dxa"/>
            <w:tcBorders>
              <w:top w:val="nil"/>
              <w:left w:val="nil"/>
              <w:right w:val="single" w:sz="4" w:space="0" w:color="auto"/>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26,7 %</w:t>
            </w:r>
          </w:p>
        </w:tc>
      </w:tr>
      <w:tr w:rsidR="006B6495" w:rsidRPr="002100CD" w:rsidTr="006B6495">
        <w:trPr>
          <w:trHeight w:val="435"/>
        </w:trPr>
        <w:tc>
          <w:tcPr>
            <w:tcW w:w="5232" w:type="dxa"/>
            <w:tcBorders>
              <w:top w:val="nil"/>
              <w:left w:val="single" w:sz="4" w:space="0" w:color="auto"/>
              <w:right w:val="nil"/>
            </w:tcBorders>
            <w:shd w:val="clear" w:color="000000" w:fill="DBE5F1"/>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Nom</w:t>
            </w:r>
            <w:r>
              <w:rPr>
                <w:rFonts w:ascii="Calibri" w:eastAsia="Times New Roman" w:hAnsi="Calibri" w:cs="Times New Roman"/>
                <w:color w:val="000000"/>
                <w:lang w:val="fr-CA"/>
              </w:rPr>
              <w:t>bre de demandes de consultation</w:t>
            </w:r>
            <w:r w:rsidRPr="002100CD">
              <w:rPr>
                <w:rFonts w:ascii="Calibri" w:eastAsia="Times New Roman" w:hAnsi="Calibri" w:cs="Times New Roman"/>
                <w:color w:val="000000"/>
                <w:lang w:val="fr-CA"/>
              </w:rPr>
              <w:t xml:space="preserve"> reçues (d’autres institutions fédérales)</w:t>
            </w:r>
          </w:p>
        </w:tc>
        <w:tc>
          <w:tcPr>
            <w:tcW w:w="1351" w:type="dxa"/>
            <w:tcBorders>
              <w:top w:val="nil"/>
              <w:left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288</w:t>
            </w:r>
          </w:p>
        </w:tc>
        <w:tc>
          <w:tcPr>
            <w:tcW w:w="1351" w:type="dxa"/>
            <w:tcBorders>
              <w:top w:val="nil"/>
              <w:left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170</w:t>
            </w:r>
          </w:p>
        </w:tc>
        <w:tc>
          <w:tcPr>
            <w:tcW w:w="1351" w:type="dxa"/>
            <w:tcBorders>
              <w:top w:val="nil"/>
              <w:left w:val="nil"/>
              <w:right w:val="single" w:sz="4" w:space="0" w:color="auto"/>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226</w:t>
            </w:r>
          </w:p>
        </w:tc>
      </w:tr>
      <w:tr w:rsidR="006B6495" w:rsidRPr="002100CD" w:rsidTr="006B6495">
        <w:trPr>
          <w:trHeight w:val="307"/>
        </w:trPr>
        <w:tc>
          <w:tcPr>
            <w:tcW w:w="5232" w:type="dxa"/>
            <w:tcBorders>
              <w:top w:val="nil"/>
              <w:left w:val="single" w:sz="4" w:space="0" w:color="auto"/>
              <w:right w:val="nil"/>
            </w:tcBorders>
            <w:shd w:val="clear" w:color="auto" w:fill="auto"/>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lastRenderedPageBreak/>
              <w:t>Variation annuelle en %</w:t>
            </w:r>
          </w:p>
        </w:tc>
        <w:tc>
          <w:tcPr>
            <w:tcW w:w="1351" w:type="dxa"/>
            <w:tcBorders>
              <w:top w:val="nil"/>
              <w:left w:val="nil"/>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w:t>
            </w:r>
          </w:p>
        </w:tc>
        <w:tc>
          <w:tcPr>
            <w:tcW w:w="1351" w:type="dxa"/>
            <w:tcBorders>
              <w:top w:val="nil"/>
              <w:left w:val="nil"/>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-41,0 %</w:t>
            </w:r>
          </w:p>
        </w:tc>
        <w:tc>
          <w:tcPr>
            <w:tcW w:w="1351" w:type="dxa"/>
            <w:tcBorders>
              <w:top w:val="nil"/>
              <w:left w:val="nil"/>
              <w:right w:val="single" w:sz="4" w:space="0" w:color="auto"/>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32,9 %</w:t>
            </w:r>
          </w:p>
        </w:tc>
      </w:tr>
      <w:tr w:rsidR="006B6495" w:rsidRPr="002100CD" w:rsidTr="006B6495">
        <w:trPr>
          <w:trHeight w:val="540"/>
        </w:trPr>
        <w:tc>
          <w:tcPr>
            <w:tcW w:w="5232" w:type="dxa"/>
            <w:tcBorders>
              <w:left w:val="single" w:sz="4" w:space="0" w:color="auto"/>
              <w:bottom w:val="nil"/>
              <w:right w:val="nil"/>
            </w:tcBorders>
            <w:shd w:val="clear" w:color="000000" w:fill="DBE5F1"/>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351" w:type="dxa"/>
            <w:tcBorders>
              <w:left w:val="nil"/>
              <w:bottom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378</w:t>
            </w:r>
          </w:p>
        </w:tc>
        <w:tc>
          <w:tcPr>
            <w:tcW w:w="1351" w:type="dxa"/>
            <w:tcBorders>
              <w:left w:val="nil"/>
              <w:bottom w:val="nil"/>
              <w:right w:val="nil"/>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538</w:t>
            </w:r>
          </w:p>
        </w:tc>
        <w:tc>
          <w:tcPr>
            <w:tcW w:w="1351" w:type="dxa"/>
            <w:tcBorders>
              <w:left w:val="nil"/>
              <w:bottom w:val="nil"/>
              <w:right w:val="single" w:sz="4" w:space="0" w:color="auto"/>
            </w:tcBorders>
            <w:shd w:val="clear" w:color="000000" w:fill="DBE5F1"/>
            <w:noWrap/>
            <w:vAlign w:val="center"/>
            <w:hideMark/>
          </w:tcPr>
          <w:p w:rsidR="006B6495" w:rsidRPr="007C589F" w:rsidRDefault="006B6495" w:rsidP="006B6495">
            <w:pPr>
              <w:spacing w:after="0" w:line="240" w:lineRule="auto"/>
              <w:jc w:val="center"/>
              <w:rPr>
                <w:rFonts w:ascii="Calibri" w:eastAsia="Times New Roman" w:hAnsi="Calibri" w:cs="Times New Roman"/>
                <w:b/>
                <w:bCs/>
                <w:color w:val="000000"/>
                <w:lang w:val="fr-CA"/>
              </w:rPr>
            </w:pPr>
            <w:r w:rsidRPr="007C589F">
              <w:rPr>
                <w:rFonts w:ascii="Calibri" w:eastAsia="Times New Roman" w:hAnsi="Calibri" w:cs="Times New Roman"/>
                <w:b/>
                <w:bCs/>
                <w:color w:val="000000"/>
                <w:lang w:val="fr-CA"/>
              </w:rPr>
              <w:t>770</w:t>
            </w:r>
          </w:p>
        </w:tc>
      </w:tr>
      <w:tr w:rsidR="006B6495" w:rsidRPr="002100CD" w:rsidTr="006B6495">
        <w:trPr>
          <w:trHeight w:val="367"/>
        </w:trPr>
        <w:tc>
          <w:tcPr>
            <w:tcW w:w="5232" w:type="dxa"/>
            <w:tcBorders>
              <w:top w:val="nil"/>
              <w:left w:val="single" w:sz="4" w:space="0" w:color="auto"/>
              <w:bottom w:val="single" w:sz="4" w:space="0" w:color="auto"/>
              <w:right w:val="nil"/>
            </w:tcBorders>
            <w:shd w:val="clear" w:color="auto" w:fill="auto"/>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des demandes pour lesquelles plus de 1 000 pages ont été traitées</w:t>
            </w:r>
          </w:p>
        </w:tc>
        <w:tc>
          <w:tcPr>
            <w:tcW w:w="1351" w:type="dxa"/>
            <w:tcBorders>
              <w:top w:val="nil"/>
              <w:left w:val="nil"/>
              <w:bottom w:val="single" w:sz="4" w:space="0" w:color="auto"/>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8,2 %</w:t>
            </w:r>
          </w:p>
        </w:tc>
        <w:tc>
          <w:tcPr>
            <w:tcW w:w="1351" w:type="dxa"/>
            <w:tcBorders>
              <w:top w:val="nil"/>
              <w:left w:val="nil"/>
              <w:bottom w:val="single" w:sz="4" w:space="0" w:color="auto"/>
              <w:right w:val="nil"/>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13,5 %</w:t>
            </w:r>
          </w:p>
        </w:tc>
        <w:tc>
          <w:tcPr>
            <w:tcW w:w="1351" w:type="dxa"/>
            <w:tcBorders>
              <w:top w:val="nil"/>
              <w:left w:val="nil"/>
              <w:bottom w:val="single" w:sz="4" w:space="0" w:color="auto"/>
              <w:right w:val="single" w:sz="4" w:space="0" w:color="auto"/>
            </w:tcBorders>
            <w:shd w:val="clear" w:color="auto" w:fill="auto"/>
            <w:noWrap/>
            <w:vAlign w:val="center"/>
            <w:hideMark/>
          </w:tcPr>
          <w:p w:rsidR="006B6495" w:rsidRPr="007C589F" w:rsidRDefault="006B6495" w:rsidP="006B6495">
            <w:pPr>
              <w:spacing w:after="0" w:line="240" w:lineRule="auto"/>
              <w:jc w:val="center"/>
              <w:rPr>
                <w:rFonts w:ascii="Calibri" w:eastAsia="Times New Roman" w:hAnsi="Calibri" w:cs="Times New Roman"/>
                <w:color w:val="000000"/>
                <w:lang w:val="fr-CA"/>
              </w:rPr>
            </w:pPr>
            <w:r w:rsidRPr="007C589F">
              <w:rPr>
                <w:rFonts w:ascii="Calibri" w:eastAsia="Times New Roman" w:hAnsi="Calibri" w:cs="Times New Roman"/>
                <w:color w:val="000000"/>
                <w:lang w:val="fr-CA"/>
              </w:rPr>
              <w:t>15,0 %</w:t>
            </w:r>
          </w:p>
        </w:tc>
      </w:tr>
    </w:tbl>
    <w:p w:rsidR="006B6495" w:rsidRPr="00680877" w:rsidRDefault="006B6495" w:rsidP="006B6495">
      <w:pPr>
        <w:pStyle w:val="Heading2"/>
        <w:spacing w:before="240"/>
      </w:pPr>
      <w:r w:rsidRPr="00680877">
        <w:t>Délai de traitement des demandes</w:t>
      </w:r>
    </w:p>
    <w:p w:rsidR="006B6495" w:rsidRPr="00680877" w:rsidRDefault="006B6495" w:rsidP="006B6495">
      <w:pPr>
        <w:pStyle w:val="Heading4"/>
      </w:pPr>
      <w:r w:rsidRPr="00680877">
        <w:t>Rapidité</w:t>
      </w:r>
    </w:p>
    <w:p w:rsidR="006B6495" w:rsidRPr="002100CD" w:rsidRDefault="006B6495" w:rsidP="006B6495">
      <w:pPr>
        <w:jc w:val="both"/>
        <w:rPr>
          <w:color w:val="000000" w:themeColor="text1"/>
          <w:lang w:val="fr-CA"/>
        </w:rPr>
      </w:pPr>
      <w:r w:rsidRPr="002100CD">
        <w:rPr>
          <w:color w:val="000000" w:themeColor="text1"/>
          <w:lang w:val="fr-CA"/>
        </w:rPr>
        <w:t xml:space="preserve">La figure 1 révèle que 44,5 % des demandes ont été </w:t>
      </w:r>
      <w:r>
        <w:rPr>
          <w:color w:val="000000" w:themeColor="text1"/>
          <w:lang w:val="fr-CA"/>
        </w:rPr>
        <w:t>complétées</w:t>
      </w:r>
      <w:r w:rsidRPr="002100CD">
        <w:rPr>
          <w:color w:val="000000" w:themeColor="text1"/>
          <w:lang w:val="fr-CA"/>
        </w:rPr>
        <w:t xml:space="preserve"> en 30 jours ou moins, soit un p</w:t>
      </w:r>
      <w:r>
        <w:rPr>
          <w:color w:val="000000" w:themeColor="text1"/>
          <w:lang w:val="fr-CA"/>
        </w:rPr>
        <w:t>eu moins que le résultat obtenu</w:t>
      </w:r>
      <w:r w:rsidRPr="002100CD">
        <w:rPr>
          <w:color w:val="000000" w:themeColor="text1"/>
          <w:lang w:val="fr-CA"/>
        </w:rPr>
        <w:t xml:space="preserve"> en 2013</w:t>
      </w:r>
      <w:r>
        <w:rPr>
          <w:color w:val="000000" w:themeColor="text1"/>
          <w:lang w:val="fr-CA"/>
        </w:rPr>
        <w:t>-2014</w:t>
      </w:r>
      <w:r w:rsidRPr="002100CD">
        <w:rPr>
          <w:color w:val="000000" w:themeColor="text1"/>
          <w:lang w:val="fr-CA"/>
        </w:rPr>
        <w:t>. On observe également une faible augmentation</w:t>
      </w:r>
      <w:r>
        <w:rPr>
          <w:color w:val="000000" w:themeColor="text1"/>
          <w:lang w:val="fr-CA"/>
        </w:rPr>
        <w:t xml:space="preserve"> de 1,6</w:t>
      </w:r>
      <w:r w:rsidRPr="002100CD">
        <w:rPr>
          <w:color w:val="000000" w:themeColor="text1"/>
          <w:lang w:val="fr-CA"/>
        </w:rPr>
        <w:t> </w:t>
      </w:r>
      <w:r>
        <w:rPr>
          <w:color w:val="000000" w:themeColor="text1"/>
          <w:lang w:val="fr-CA"/>
        </w:rPr>
        <w:t>%</w:t>
      </w:r>
      <w:r w:rsidRPr="002100CD">
        <w:rPr>
          <w:color w:val="000000" w:themeColor="text1"/>
          <w:lang w:val="fr-CA"/>
        </w:rPr>
        <w:t xml:space="preserve"> du nombre de demandes dont le traitement a pris plus de 365 </w:t>
      </w:r>
      <w:r>
        <w:rPr>
          <w:color w:val="000000" w:themeColor="text1"/>
          <w:lang w:val="fr-CA"/>
        </w:rPr>
        <w:t>jours.</w:t>
      </w:r>
    </w:p>
    <w:p w:rsidR="006B6495" w:rsidRPr="00680877" w:rsidRDefault="006B6495" w:rsidP="006B6495">
      <w:pPr>
        <w:spacing w:line="240" w:lineRule="auto"/>
        <w:rPr>
          <w:sz w:val="24"/>
          <w:szCs w:val="24"/>
          <w:lang w:val="fr-CA"/>
        </w:rPr>
      </w:pPr>
      <w:r w:rsidRPr="006B6495">
        <w:rPr>
          <w:rStyle w:val="Heading3Char"/>
          <w:lang w:val="fr-FR"/>
        </w:rPr>
        <w:t>Figure 1 : Délai de traitement des demandes</w:t>
      </w:r>
      <w:r w:rsidRPr="00DE3CDB">
        <w:rPr>
          <w:noProof/>
          <w:color w:val="FF0000"/>
          <w:sz w:val="24"/>
          <w:szCs w:val="24"/>
        </w:rPr>
        <w:drawing>
          <wp:inline distT="0" distB="0" distL="0" distR="0">
            <wp:extent cx="5943600" cy="3937379"/>
            <wp:effectExtent l="0" t="0" r="19050" b="25400"/>
            <wp:docPr id="7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6B6495" w:rsidRPr="00680877" w:rsidRDefault="006B6495" w:rsidP="006B6495">
      <w:pPr>
        <w:pStyle w:val="Heading4"/>
      </w:pPr>
      <w:r w:rsidRPr="00680877">
        <w:t>Prorogations</w:t>
      </w:r>
    </w:p>
    <w:p w:rsidR="006B6495" w:rsidRPr="007B3674" w:rsidRDefault="006B6495" w:rsidP="006B6495">
      <w:pPr>
        <w:jc w:val="both"/>
        <w:rPr>
          <w:color w:val="000000" w:themeColor="text1"/>
          <w:lang w:val="fr-CA"/>
        </w:rPr>
      </w:pPr>
      <w:r w:rsidRPr="007B3674">
        <w:rPr>
          <w:color w:val="000000" w:themeColor="text1"/>
          <w:lang w:val="fr-CA"/>
        </w:rPr>
        <w:t>POC a eu recours à 365 prorogations en 2014-2015 par rapport à 273 en 2013-2014. Les demandes de consultation (44,1 %) étaient la raison la plus fréquemment invoquée pour demander une prorogation, suivies de l’</w:t>
      </w:r>
      <w:r w:rsidRPr="007B3674">
        <w:rPr>
          <w:lang w:val="fr-CA"/>
        </w:rPr>
        <w:t>entrave au fonctionnement de l’institution</w:t>
      </w:r>
      <w:r w:rsidRPr="007B3674">
        <w:rPr>
          <w:color w:val="000000" w:themeColor="text1"/>
          <w:lang w:val="fr-CA"/>
        </w:rPr>
        <w:t xml:space="preserve"> (32,6 %) et des avis à des tiers (23,2 %).</w:t>
      </w:r>
    </w:p>
    <w:p w:rsidR="006B6495" w:rsidRPr="007B3674" w:rsidRDefault="006B6495" w:rsidP="006B6495">
      <w:pPr>
        <w:jc w:val="both"/>
        <w:rPr>
          <w:color w:val="000000" w:themeColor="text1"/>
          <w:lang w:val="fr-CA"/>
        </w:rPr>
      </w:pPr>
      <w:r w:rsidRPr="007B3674">
        <w:rPr>
          <w:color w:val="000000" w:themeColor="text1"/>
          <w:lang w:val="fr-CA"/>
        </w:rPr>
        <w:lastRenderedPageBreak/>
        <w:t>Nous constatons qu’il y a eu 139 prorogations demandées pour consulter d’autres ministères en 2014-2015 par rapport à 94 en 2013-2014. Les prorogations pour des avis à des tiers ont doublé pour la période de référence actuelle par rapport à 2013-2014.</w:t>
      </w:r>
    </w:p>
    <w:p w:rsidR="006B6495" w:rsidRPr="007B3674" w:rsidRDefault="006B6495" w:rsidP="006B6495">
      <w:pPr>
        <w:jc w:val="both"/>
        <w:rPr>
          <w:color w:val="000000" w:themeColor="text1"/>
          <w:lang w:val="fr-CA"/>
        </w:rPr>
      </w:pPr>
      <w:r w:rsidRPr="007B3674">
        <w:rPr>
          <w:color w:val="000000" w:themeColor="text1"/>
          <w:lang w:val="fr-CA"/>
        </w:rPr>
        <w:t>La figure 2 montre que 29,0 % des prorogations en 2014-2015 étaient de 30 jours ou moins. Cette mesure est inférieure de 4,4% par rapport à 2013-2014. La figure 2 montre également que le nombre de prorogations de 31 à 60 jours en 2014-2015 a augmenté de 3,8 % par rapport à la période précédente.</w:t>
      </w:r>
    </w:p>
    <w:p w:rsidR="006B6495" w:rsidRPr="004A4061" w:rsidRDefault="006B6495" w:rsidP="006B6495">
      <w:pPr>
        <w:rPr>
          <w:lang w:val="fr-CA"/>
        </w:rPr>
      </w:pPr>
      <w:r w:rsidRPr="0017368C">
        <w:rPr>
          <w:b/>
          <w:lang w:val="fr-CA"/>
        </w:rPr>
        <w:t>Figure 2 : Duré</w:t>
      </w:r>
      <w:r>
        <w:rPr>
          <w:b/>
          <w:lang w:val="fr-CA"/>
        </w:rPr>
        <w:t>e des prorogations</w:t>
      </w:r>
      <w:r w:rsidRPr="004A4061">
        <w:rPr>
          <w:noProof/>
          <w:lang w:val="fr-FR"/>
        </w:rPr>
        <w:t xml:space="preserve"> </w:t>
      </w:r>
      <w:r w:rsidRPr="004A4061">
        <w:rPr>
          <w:noProof/>
        </w:rPr>
        <w:drawing>
          <wp:inline distT="0" distB="0" distL="0" distR="0">
            <wp:extent cx="5943600" cy="3562066"/>
            <wp:effectExtent l="0" t="0" r="19050" b="19685"/>
            <wp:docPr id="7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6B6495" w:rsidRPr="00680877" w:rsidRDefault="006B6495" w:rsidP="006B6495">
      <w:pPr>
        <w:pStyle w:val="Heading4"/>
      </w:pPr>
      <w:r w:rsidRPr="00680877">
        <w:t>Présomptions de refus</w:t>
      </w:r>
    </w:p>
    <w:p w:rsidR="006B6495" w:rsidRPr="007B3674" w:rsidRDefault="006B6495" w:rsidP="006B6495">
      <w:pPr>
        <w:jc w:val="both"/>
        <w:rPr>
          <w:lang w:val="fr-CA"/>
        </w:rPr>
      </w:pPr>
      <w:r w:rsidRPr="007B3674">
        <w:rPr>
          <w:lang w:val="fr-CA"/>
        </w:rPr>
        <w:t>En 2014-2015, 91 demandes ont été fermées après l’échéancier réglementaire, ce qui représente 18,1 % des demandes complétées, un résultat similaire à celui de la dernière période. Ce résultat procure à POC la note de « D »</w:t>
      </w:r>
      <w:r w:rsidRPr="007B3674">
        <w:rPr>
          <w:rStyle w:val="FootnoteReference"/>
          <w:lang w:val="fr-CA"/>
        </w:rPr>
        <w:footnoteReference w:id="91"/>
      </w:r>
      <w:r w:rsidRPr="007B3674">
        <w:rPr>
          <w:lang w:val="fr-CA"/>
        </w:rPr>
        <w:t>. La charge de travail (79,1 %) était la raison la plus fréquemment invoquée, suivie des consultations externes (20,9 %).</w:t>
      </w:r>
    </w:p>
    <w:p w:rsidR="006B6495" w:rsidRPr="002100CD" w:rsidRDefault="006B6495" w:rsidP="006B6495">
      <w:pPr>
        <w:jc w:val="both"/>
        <w:rPr>
          <w:lang w:val="fr-CA"/>
        </w:rPr>
      </w:pPr>
      <w:r w:rsidRPr="002100CD">
        <w:rPr>
          <w:lang w:val="fr-CA"/>
        </w:rPr>
        <w:t xml:space="preserve">La figure 3 montre que </w:t>
      </w:r>
      <w:r>
        <w:rPr>
          <w:lang w:val="fr-CA"/>
        </w:rPr>
        <w:t>13,2 </w:t>
      </w:r>
      <w:r w:rsidRPr="002100CD">
        <w:rPr>
          <w:lang w:val="fr-CA"/>
        </w:rPr>
        <w:t>% des d</w:t>
      </w:r>
      <w:r>
        <w:rPr>
          <w:lang w:val="fr-CA"/>
        </w:rPr>
        <w:t>emandes étaient en retard de 30 </w:t>
      </w:r>
      <w:r w:rsidRPr="002100CD">
        <w:rPr>
          <w:lang w:val="fr-CA"/>
        </w:rPr>
        <w:t xml:space="preserve">jours ou moins. </w:t>
      </w:r>
      <w:r>
        <w:rPr>
          <w:lang w:val="fr-CA"/>
        </w:rPr>
        <w:t xml:space="preserve"> </w:t>
      </w:r>
      <w:r w:rsidRPr="006343DD">
        <w:rPr>
          <w:lang w:val="fr-CA"/>
        </w:rPr>
        <w:t xml:space="preserve">Le </w:t>
      </w:r>
      <w:r>
        <w:rPr>
          <w:lang w:val="fr-CA"/>
        </w:rPr>
        <w:t>pourcentage du nombre</w:t>
      </w:r>
      <w:r w:rsidRPr="006343DD">
        <w:rPr>
          <w:lang w:val="fr-CA"/>
        </w:rPr>
        <w:t xml:space="preserve"> de demandes échues de plus de 365 jours a augmenté de 12 % en 2013-2014 à 38</w:t>
      </w:r>
      <w:r>
        <w:rPr>
          <w:lang w:val="fr-CA"/>
        </w:rPr>
        <w:t>,5</w:t>
      </w:r>
      <w:r w:rsidRPr="006343DD">
        <w:rPr>
          <w:lang w:val="fr-CA"/>
        </w:rPr>
        <w:t> % en 2014-2015.</w:t>
      </w:r>
      <w:r w:rsidRPr="002100CD">
        <w:rPr>
          <w:lang w:val="fr-CA"/>
        </w:rPr>
        <w:t xml:space="preserve"> Le rapport annuel de POC sur l’application de la </w:t>
      </w:r>
      <w:r w:rsidRPr="002100CD">
        <w:rPr>
          <w:i/>
          <w:lang w:val="fr-CA"/>
        </w:rPr>
        <w:t>Loi</w:t>
      </w:r>
      <w:r w:rsidRPr="002100CD">
        <w:rPr>
          <w:lang w:val="fr-CA"/>
        </w:rPr>
        <w:t xml:space="preserve"> attribue ces retards à l’augmentation marquée du volume de demandes </w:t>
      </w:r>
      <w:r>
        <w:rPr>
          <w:lang w:val="fr-CA"/>
        </w:rPr>
        <w:t xml:space="preserve">reçues </w:t>
      </w:r>
      <w:r w:rsidRPr="002100CD">
        <w:rPr>
          <w:lang w:val="fr-CA"/>
        </w:rPr>
        <w:t>(voir section sur la charge de travail).</w:t>
      </w:r>
    </w:p>
    <w:p w:rsidR="006B6495" w:rsidRPr="002100CD" w:rsidRDefault="006B6495" w:rsidP="006B6495">
      <w:pPr>
        <w:rPr>
          <w:lang w:val="fr-CA"/>
        </w:rPr>
      </w:pPr>
      <w:r w:rsidRPr="006B6495">
        <w:rPr>
          <w:rStyle w:val="Heading3Char"/>
          <w:lang w:val="fr-FR"/>
        </w:rPr>
        <w:lastRenderedPageBreak/>
        <w:t>Figure 3 : Retard des demandes échues</w:t>
      </w:r>
      <w:r w:rsidRPr="004A4061">
        <w:rPr>
          <w:noProof/>
        </w:rPr>
        <w:drawing>
          <wp:inline distT="0" distB="0" distL="0" distR="0">
            <wp:extent cx="5788550" cy="4071067"/>
            <wp:effectExtent l="0" t="0" r="22225" b="24765"/>
            <wp:docPr id="7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6B6495" w:rsidRPr="00680877" w:rsidRDefault="006B6495" w:rsidP="006B6495">
      <w:pPr>
        <w:pStyle w:val="Heading2"/>
      </w:pPr>
      <w:r w:rsidRPr="00680877">
        <w:t>Divulgation</w:t>
      </w:r>
    </w:p>
    <w:p w:rsidR="006B6495" w:rsidRPr="00680877" w:rsidRDefault="006B6495" w:rsidP="006B6495">
      <w:pPr>
        <w:pStyle w:val="Heading4"/>
      </w:pPr>
      <w:r w:rsidRPr="00680877">
        <w:t>Pourcentage de demandes pour lesquelle</w:t>
      </w:r>
      <w:r>
        <w:t>s l’information a été divulguée</w:t>
      </w:r>
    </w:p>
    <w:p w:rsidR="006B6495" w:rsidRPr="002100CD" w:rsidRDefault="006B6495" w:rsidP="006B6495">
      <w:pPr>
        <w:jc w:val="both"/>
        <w:rPr>
          <w:color w:val="000000" w:themeColor="text1"/>
          <w:lang w:val="fr-CA"/>
        </w:rPr>
      </w:pPr>
      <w:r>
        <w:rPr>
          <w:lang w:val="fr-CA"/>
        </w:rPr>
        <w:t>En 2014-</w:t>
      </w:r>
      <w:r w:rsidRPr="002100CD">
        <w:rPr>
          <w:lang w:val="fr-CA"/>
        </w:rPr>
        <w:t xml:space="preserve">2015, 12,9 % des demandes </w:t>
      </w:r>
      <w:r>
        <w:rPr>
          <w:lang w:val="fr-CA"/>
        </w:rPr>
        <w:t>complétées</w:t>
      </w:r>
      <w:r w:rsidRPr="002100CD">
        <w:rPr>
          <w:lang w:val="fr-CA"/>
        </w:rPr>
        <w:t xml:space="preserve"> ont fait l’objet d’une divulgation complète, ce qui représente le taux de divulgation le plus faible depuis 2012 (voir figure 4). La figure 4 montre également que le taux de demandes faisant l’objet d’une divulgation partielle était de 55,5 % en 2014</w:t>
      </w:r>
      <w:r>
        <w:rPr>
          <w:lang w:val="fr-CA"/>
        </w:rPr>
        <w:t>-</w:t>
      </w:r>
      <w:r w:rsidRPr="002100CD">
        <w:rPr>
          <w:lang w:val="fr-CA"/>
        </w:rPr>
        <w:t xml:space="preserve">2015, ce qui </w:t>
      </w:r>
      <w:r>
        <w:rPr>
          <w:lang w:val="fr-CA"/>
        </w:rPr>
        <w:t>représente une augmentation de 4,9</w:t>
      </w:r>
      <w:r w:rsidRPr="002100CD">
        <w:rPr>
          <w:lang w:val="fr-CA"/>
        </w:rPr>
        <w:t> % par rapport à la pé</w:t>
      </w:r>
      <w:r>
        <w:rPr>
          <w:lang w:val="fr-CA"/>
        </w:rPr>
        <w:t>riode précédente.</w:t>
      </w:r>
    </w:p>
    <w:p w:rsidR="006B6495" w:rsidRPr="002100CD" w:rsidRDefault="006B6495" w:rsidP="006B6495">
      <w:pPr>
        <w:spacing w:line="240" w:lineRule="auto"/>
        <w:rPr>
          <w:lang w:val="fr-CA"/>
        </w:rPr>
      </w:pPr>
      <w:r w:rsidRPr="0059549B">
        <w:rPr>
          <w:b/>
          <w:lang w:val="fr-CA"/>
        </w:rPr>
        <w:lastRenderedPageBreak/>
        <w:t>Figure 4 : Niveau de divulgation</w:t>
      </w:r>
      <w:r w:rsidRPr="004A4061">
        <w:rPr>
          <w:noProof/>
        </w:rPr>
        <w:drawing>
          <wp:inline distT="0" distB="0" distL="0" distR="0">
            <wp:extent cx="5939624" cy="3959750"/>
            <wp:effectExtent l="0" t="0" r="23495" b="22225"/>
            <wp:docPr id="7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6B6495" w:rsidRPr="00680877" w:rsidRDefault="006B6495" w:rsidP="006B6495">
      <w:pPr>
        <w:pStyle w:val="Heading4"/>
      </w:pPr>
      <w:r w:rsidRPr="00680877">
        <w:t>Exceptions</w:t>
      </w:r>
    </w:p>
    <w:p w:rsidR="006B6495" w:rsidRPr="007B3674" w:rsidRDefault="006B6495" w:rsidP="006B6495">
      <w:pPr>
        <w:keepNext/>
        <w:keepLines/>
        <w:jc w:val="both"/>
        <w:rPr>
          <w:lang w:val="fr-CA"/>
        </w:rPr>
      </w:pPr>
      <w:r w:rsidRPr="007B3674">
        <w:rPr>
          <w:lang w:val="fr-CA"/>
        </w:rPr>
        <w:t>En 2014-2015, POC a eu recours à 967 exceptions par rapport à 747 lors de la période précédente. Le nombre moyen d’exceptions par demande complétée est similaire (1,92 en 2014-2015 et 1,88 en 2013-2014) (voir tableau 2). Les exceptions les plus fréquemment invoquées en 2014-2015 étaient l’article 21 (les activités du gouvernement) (32,8 %), l’article 19 (les renseignements personnels) (24,9 %) et l’article 20 (les renseignements de tiers) (16,5 %).</w:t>
      </w:r>
    </w:p>
    <w:p w:rsidR="006B6495" w:rsidRPr="002100CD" w:rsidRDefault="006B6495" w:rsidP="006B6495">
      <w:pPr>
        <w:pStyle w:val="Heading3"/>
      </w:pPr>
      <w:r w:rsidRPr="002100CD">
        <w:t xml:space="preserve">Tableau </w:t>
      </w:r>
      <w:proofErr w:type="gramStart"/>
      <w:r w:rsidRPr="002100CD">
        <w:t>2 :</w:t>
      </w:r>
      <w:proofErr w:type="gramEnd"/>
      <w:r w:rsidRPr="002100CD">
        <w:t xml:space="preserve"> Exceptions</w:t>
      </w:r>
    </w:p>
    <w:tbl>
      <w:tblPr>
        <w:tblW w:w="9428" w:type="dxa"/>
        <w:tblInd w:w="98" w:type="dxa"/>
        <w:tblLook w:val="04A0"/>
      </w:tblPr>
      <w:tblGrid>
        <w:gridCol w:w="5414"/>
        <w:gridCol w:w="1338"/>
        <w:gridCol w:w="1338"/>
        <w:gridCol w:w="1338"/>
      </w:tblGrid>
      <w:tr w:rsidR="006B6495" w:rsidRPr="002100CD" w:rsidTr="006B6495">
        <w:trPr>
          <w:trHeight w:val="310"/>
        </w:trPr>
        <w:tc>
          <w:tcPr>
            <w:tcW w:w="5414" w:type="dxa"/>
            <w:tcBorders>
              <w:top w:val="single" w:sz="8" w:space="0" w:color="auto"/>
              <w:left w:val="single" w:sz="8" w:space="0" w:color="auto"/>
              <w:bottom w:val="single" w:sz="8" w:space="0" w:color="auto"/>
              <w:right w:val="nil"/>
            </w:tcBorders>
            <w:shd w:val="clear" w:color="000000" w:fill="DBE5F1"/>
            <w:noWrap/>
            <w:vAlign w:val="bottom"/>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Exceptions </w:t>
            </w:r>
          </w:p>
        </w:tc>
        <w:tc>
          <w:tcPr>
            <w:tcW w:w="1338" w:type="dxa"/>
            <w:tcBorders>
              <w:top w:val="single" w:sz="8" w:space="0" w:color="auto"/>
              <w:left w:val="nil"/>
              <w:bottom w:val="single" w:sz="8" w:space="0" w:color="auto"/>
              <w:right w:val="nil"/>
            </w:tcBorders>
            <w:shd w:val="clear" w:color="000000" w:fill="DBE5F1"/>
            <w:noWrap/>
            <w:vAlign w:val="bottom"/>
            <w:hideMark/>
          </w:tcPr>
          <w:p w:rsidR="006B6495" w:rsidRPr="002100CD" w:rsidRDefault="006B6495" w:rsidP="006B6495">
            <w:pPr>
              <w:spacing w:after="0" w:line="240" w:lineRule="auto"/>
              <w:jc w:val="center"/>
              <w:rPr>
                <w:rFonts w:ascii="Calibri" w:eastAsia="Times New Roman" w:hAnsi="Calibri" w:cs="Times New Roman"/>
                <w:b/>
                <w:bCs/>
                <w:color w:val="000000"/>
                <w:lang w:val="fr-CA"/>
              </w:rPr>
            </w:pPr>
            <w:r w:rsidRPr="002100CD">
              <w:rPr>
                <w:rFonts w:ascii="Calibri" w:eastAsia="Times New Roman" w:hAnsi="Calibri" w:cs="Times New Roman"/>
                <w:b/>
                <w:bCs/>
                <w:color w:val="000000"/>
                <w:lang w:val="fr-CA"/>
              </w:rPr>
              <w:t>2012-2013</w:t>
            </w:r>
          </w:p>
        </w:tc>
        <w:tc>
          <w:tcPr>
            <w:tcW w:w="1338" w:type="dxa"/>
            <w:tcBorders>
              <w:top w:val="single" w:sz="8" w:space="0" w:color="auto"/>
              <w:left w:val="nil"/>
              <w:bottom w:val="single" w:sz="8" w:space="0" w:color="auto"/>
              <w:right w:val="nil"/>
            </w:tcBorders>
            <w:shd w:val="clear" w:color="000000" w:fill="DBE5F1"/>
            <w:noWrap/>
            <w:vAlign w:val="bottom"/>
            <w:hideMark/>
          </w:tcPr>
          <w:p w:rsidR="006B6495" w:rsidRPr="002100CD" w:rsidRDefault="006B6495" w:rsidP="006B6495">
            <w:pPr>
              <w:spacing w:after="0" w:line="240" w:lineRule="auto"/>
              <w:jc w:val="center"/>
              <w:rPr>
                <w:rFonts w:ascii="Calibri" w:eastAsia="Times New Roman" w:hAnsi="Calibri" w:cs="Times New Roman"/>
                <w:b/>
                <w:bCs/>
                <w:color w:val="000000"/>
                <w:lang w:val="fr-CA"/>
              </w:rPr>
            </w:pPr>
            <w:r w:rsidRPr="002100CD">
              <w:rPr>
                <w:rFonts w:ascii="Calibri" w:eastAsia="Times New Roman" w:hAnsi="Calibri" w:cs="Times New Roman"/>
                <w:b/>
                <w:bCs/>
                <w:color w:val="000000"/>
                <w:lang w:val="fr-CA"/>
              </w:rPr>
              <w:t>2013-2014</w:t>
            </w:r>
          </w:p>
        </w:tc>
        <w:tc>
          <w:tcPr>
            <w:tcW w:w="1338" w:type="dxa"/>
            <w:tcBorders>
              <w:top w:val="single" w:sz="8" w:space="0" w:color="auto"/>
              <w:left w:val="nil"/>
              <w:bottom w:val="single" w:sz="8" w:space="0" w:color="auto"/>
              <w:right w:val="single" w:sz="8" w:space="0" w:color="auto"/>
            </w:tcBorders>
            <w:shd w:val="clear" w:color="000000" w:fill="DBE5F1"/>
            <w:noWrap/>
            <w:vAlign w:val="bottom"/>
            <w:hideMark/>
          </w:tcPr>
          <w:p w:rsidR="006B6495" w:rsidRPr="002100CD" w:rsidRDefault="006B6495" w:rsidP="006B6495">
            <w:pPr>
              <w:spacing w:after="0" w:line="240" w:lineRule="auto"/>
              <w:jc w:val="center"/>
              <w:rPr>
                <w:rFonts w:ascii="Calibri" w:eastAsia="Times New Roman" w:hAnsi="Calibri" w:cs="Times New Roman"/>
                <w:b/>
                <w:bCs/>
                <w:color w:val="000000"/>
                <w:lang w:val="fr-CA"/>
              </w:rPr>
            </w:pPr>
            <w:r w:rsidRPr="002100CD">
              <w:rPr>
                <w:rFonts w:ascii="Calibri" w:eastAsia="Times New Roman" w:hAnsi="Calibri" w:cs="Times New Roman"/>
                <w:b/>
                <w:bCs/>
                <w:color w:val="000000"/>
                <w:lang w:val="fr-CA"/>
              </w:rPr>
              <w:t>2014-2015</w:t>
            </w:r>
          </w:p>
        </w:tc>
      </w:tr>
      <w:tr w:rsidR="006B6495" w:rsidRPr="002100CD" w:rsidTr="006B6495">
        <w:trPr>
          <w:trHeight w:val="294"/>
        </w:trPr>
        <w:tc>
          <w:tcPr>
            <w:tcW w:w="5414" w:type="dxa"/>
            <w:tcBorders>
              <w:top w:val="nil"/>
              <w:left w:val="single" w:sz="8" w:space="0" w:color="auto"/>
              <w:bottom w:val="nil"/>
              <w:right w:val="nil"/>
            </w:tcBorders>
            <w:shd w:val="clear" w:color="auto" w:fill="auto"/>
            <w:noWrap/>
            <w:vAlign w:val="bottom"/>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338" w:type="dxa"/>
            <w:tcBorders>
              <w:top w:val="nil"/>
              <w:left w:val="nil"/>
              <w:bottom w:val="nil"/>
              <w:right w:val="nil"/>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643</w:t>
            </w:r>
          </w:p>
        </w:tc>
        <w:tc>
          <w:tcPr>
            <w:tcW w:w="1338" w:type="dxa"/>
            <w:tcBorders>
              <w:top w:val="nil"/>
              <w:left w:val="nil"/>
              <w:bottom w:val="nil"/>
              <w:right w:val="nil"/>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747</w:t>
            </w:r>
          </w:p>
        </w:tc>
        <w:tc>
          <w:tcPr>
            <w:tcW w:w="1338" w:type="dxa"/>
            <w:tcBorders>
              <w:top w:val="nil"/>
              <w:left w:val="nil"/>
              <w:bottom w:val="nil"/>
              <w:right w:val="single" w:sz="8" w:space="0" w:color="auto"/>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967</w:t>
            </w:r>
          </w:p>
        </w:tc>
      </w:tr>
      <w:tr w:rsidR="006B6495" w:rsidRPr="002100CD" w:rsidTr="006B6495">
        <w:trPr>
          <w:trHeight w:val="294"/>
        </w:trPr>
        <w:tc>
          <w:tcPr>
            <w:tcW w:w="5414" w:type="dxa"/>
            <w:tcBorders>
              <w:top w:val="nil"/>
              <w:left w:val="single" w:sz="8" w:space="0" w:color="auto"/>
              <w:bottom w:val="nil"/>
              <w:right w:val="nil"/>
            </w:tcBorders>
            <w:shd w:val="clear" w:color="auto" w:fill="auto"/>
            <w:noWrap/>
            <w:vAlign w:val="bottom"/>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338" w:type="dxa"/>
            <w:tcBorders>
              <w:top w:val="nil"/>
              <w:left w:val="nil"/>
              <w:bottom w:val="nil"/>
              <w:right w:val="nil"/>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453</w:t>
            </w:r>
          </w:p>
        </w:tc>
        <w:tc>
          <w:tcPr>
            <w:tcW w:w="1338" w:type="dxa"/>
            <w:tcBorders>
              <w:top w:val="nil"/>
              <w:left w:val="nil"/>
              <w:bottom w:val="nil"/>
              <w:right w:val="nil"/>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397</w:t>
            </w:r>
          </w:p>
        </w:tc>
        <w:tc>
          <w:tcPr>
            <w:tcW w:w="1338" w:type="dxa"/>
            <w:tcBorders>
              <w:top w:val="nil"/>
              <w:left w:val="nil"/>
              <w:bottom w:val="nil"/>
              <w:right w:val="single" w:sz="8" w:space="0" w:color="auto"/>
            </w:tcBorders>
            <w:shd w:val="clear" w:color="auto" w:fill="auto"/>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503</w:t>
            </w:r>
          </w:p>
        </w:tc>
      </w:tr>
      <w:tr w:rsidR="006B6495" w:rsidRPr="002100CD" w:rsidTr="006B6495">
        <w:trPr>
          <w:trHeight w:val="310"/>
        </w:trPr>
        <w:tc>
          <w:tcPr>
            <w:tcW w:w="5414" w:type="dxa"/>
            <w:tcBorders>
              <w:top w:val="nil"/>
              <w:left w:val="single" w:sz="8" w:space="0" w:color="auto"/>
              <w:bottom w:val="single" w:sz="8" w:space="0" w:color="auto"/>
              <w:right w:val="nil"/>
            </w:tcBorders>
            <w:shd w:val="clear" w:color="000000" w:fill="DBE5F1"/>
            <w:noWrap/>
            <w:vAlign w:val="bottom"/>
            <w:hideMark/>
          </w:tcPr>
          <w:p w:rsidR="006B6495" w:rsidRPr="002100CD" w:rsidRDefault="006B6495" w:rsidP="006B6495">
            <w:pPr>
              <w:spacing w:after="0" w:line="240" w:lineRule="auto"/>
              <w:rPr>
                <w:rFonts w:ascii="Calibri" w:eastAsia="Times New Roman" w:hAnsi="Calibri" w:cs="Times New Roman"/>
                <w:color w:val="000000"/>
                <w:lang w:val="fr-CA"/>
              </w:rPr>
            </w:pPr>
            <w:r w:rsidRPr="002100CD">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338" w:type="dxa"/>
            <w:tcBorders>
              <w:top w:val="nil"/>
              <w:left w:val="nil"/>
              <w:bottom w:val="single" w:sz="8" w:space="0" w:color="auto"/>
              <w:right w:val="nil"/>
            </w:tcBorders>
            <w:shd w:val="clear" w:color="000000" w:fill="DBE5F1"/>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1,4</w:t>
            </w:r>
            <w:r>
              <w:rPr>
                <w:rFonts w:ascii="Calibri" w:eastAsia="Times New Roman" w:hAnsi="Calibri" w:cs="Times New Roman"/>
                <w:color w:val="000000"/>
                <w:lang w:val="fr-CA"/>
              </w:rPr>
              <w:t>2</w:t>
            </w:r>
          </w:p>
        </w:tc>
        <w:tc>
          <w:tcPr>
            <w:tcW w:w="1338" w:type="dxa"/>
            <w:tcBorders>
              <w:top w:val="nil"/>
              <w:left w:val="nil"/>
              <w:bottom w:val="single" w:sz="8" w:space="0" w:color="auto"/>
              <w:right w:val="nil"/>
            </w:tcBorders>
            <w:shd w:val="clear" w:color="000000" w:fill="DBE5F1"/>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1,</w:t>
            </w:r>
            <w:r>
              <w:rPr>
                <w:rFonts w:ascii="Calibri" w:eastAsia="Times New Roman" w:hAnsi="Calibri" w:cs="Times New Roman"/>
                <w:color w:val="000000"/>
                <w:lang w:val="fr-CA"/>
              </w:rPr>
              <w:t>88</w:t>
            </w:r>
          </w:p>
        </w:tc>
        <w:tc>
          <w:tcPr>
            <w:tcW w:w="1338" w:type="dxa"/>
            <w:tcBorders>
              <w:top w:val="nil"/>
              <w:left w:val="nil"/>
              <w:bottom w:val="single" w:sz="8" w:space="0" w:color="auto"/>
              <w:right w:val="single" w:sz="8" w:space="0" w:color="auto"/>
            </w:tcBorders>
            <w:shd w:val="clear" w:color="000000" w:fill="DBE5F1"/>
            <w:noWrap/>
            <w:vAlign w:val="bottom"/>
            <w:hideMark/>
          </w:tcPr>
          <w:p w:rsidR="006B6495" w:rsidRPr="002100CD" w:rsidRDefault="006B6495" w:rsidP="006B6495">
            <w:pPr>
              <w:spacing w:after="0" w:line="240" w:lineRule="auto"/>
              <w:jc w:val="center"/>
              <w:rPr>
                <w:rFonts w:ascii="Calibri" w:eastAsia="Times New Roman" w:hAnsi="Calibri" w:cs="Times New Roman"/>
                <w:color w:val="000000"/>
                <w:lang w:val="fr-CA"/>
              </w:rPr>
            </w:pPr>
            <w:r w:rsidRPr="002100CD">
              <w:rPr>
                <w:rFonts w:ascii="Calibri" w:eastAsia="Times New Roman" w:hAnsi="Calibri" w:cs="Times New Roman"/>
                <w:color w:val="000000"/>
                <w:lang w:val="fr-CA"/>
              </w:rPr>
              <w:t>1,9</w:t>
            </w:r>
            <w:r>
              <w:rPr>
                <w:rFonts w:ascii="Calibri" w:eastAsia="Times New Roman" w:hAnsi="Calibri" w:cs="Times New Roman"/>
                <w:color w:val="000000"/>
                <w:lang w:val="fr-CA"/>
              </w:rPr>
              <w:t>2</w:t>
            </w:r>
          </w:p>
        </w:tc>
      </w:tr>
    </w:tbl>
    <w:p w:rsidR="006B6495" w:rsidRPr="00680877" w:rsidRDefault="006B6495" w:rsidP="006B6495">
      <w:pPr>
        <w:pStyle w:val="Heading2"/>
        <w:spacing w:before="240"/>
      </w:pPr>
      <w:r w:rsidRPr="00680877">
        <w:t>Plaintes au Commissariat à l’information</w:t>
      </w:r>
    </w:p>
    <w:p w:rsidR="006B6495" w:rsidRDefault="006B6495" w:rsidP="006B6495">
      <w:pPr>
        <w:jc w:val="both"/>
        <w:rPr>
          <w:lang w:val="fr-CA"/>
        </w:rPr>
      </w:pPr>
      <w:r w:rsidRPr="002100CD">
        <w:rPr>
          <w:lang w:val="fr-CA"/>
        </w:rPr>
        <w:t>Le nomb</w:t>
      </w:r>
      <w:r>
        <w:rPr>
          <w:lang w:val="fr-CA"/>
        </w:rPr>
        <w:t>re de plaintes reçues par le Commissariat à l’information du Canada</w:t>
      </w:r>
      <w:r w:rsidRPr="002100CD">
        <w:rPr>
          <w:lang w:val="fr-CA"/>
        </w:rPr>
        <w:t xml:space="preserve"> concernant </w:t>
      </w:r>
      <w:r>
        <w:rPr>
          <w:lang w:val="fr-CA"/>
        </w:rPr>
        <w:t>POC est passé de 21 en 2013-</w:t>
      </w:r>
      <w:r w:rsidRPr="002100CD">
        <w:rPr>
          <w:lang w:val="fr-CA"/>
        </w:rPr>
        <w:t>2014 à 18 en 2014</w:t>
      </w:r>
      <w:r>
        <w:rPr>
          <w:lang w:val="fr-CA"/>
        </w:rPr>
        <w:t>-</w:t>
      </w:r>
      <w:r w:rsidRPr="002100CD">
        <w:rPr>
          <w:lang w:val="fr-CA"/>
        </w:rPr>
        <w:t>2015</w:t>
      </w:r>
      <w:r>
        <w:rPr>
          <w:rStyle w:val="FootnoteReference"/>
          <w:lang w:val="fr-CA"/>
        </w:rPr>
        <w:footnoteReference w:id="92"/>
      </w:r>
      <w:r w:rsidRPr="002100CD">
        <w:rPr>
          <w:lang w:val="fr-CA"/>
        </w:rPr>
        <w:t xml:space="preserve">. La proportion de plaintes de nature administrative a </w:t>
      </w:r>
      <w:r w:rsidRPr="002100CD">
        <w:rPr>
          <w:lang w:val="fr-CA"/>
        </w:rPr>
        <w:lastRenderedPageBreak/>
        <w:t>augmenté par r</w:t>
      </w:r>
      <w:r>
        <w:rPr>
          <w:lang w:val="fr-CA"/>
        </w:rPr>
        <w:t xml:space="preserve">apport à la période précédente passant de </w:t>
      </w:r>
      <w:r w:rsidRPr="002100CD">
        <w:rPr>
          <w:lang w:val="fr-CA"/>
        </w:rPr>
        <w:t xml:space="preserve">13 plaintes administratives et 8 plaintes pour refus en 2013-2014 à 17 plaintes administratives et 1 plainte pour refus </w:t>
      </w:r>
      <w:r>
        <w:rPr>
          <w:lang w:val="fr-CA"/>
        </w:rPr>
        <w:t>en 2014-2015.</w:t>
      </w:r>
    </w:p>
    <w:p w:rsidR="006B6495" w:rsidRPr="002100CD" w:rsidRDefault="006B6495" w:rsidP="006B6495">
      <w:pPr>
        <w:jc w:val="both"/>
        <w:rPr>
          <w:lang w:val="fr-CA"/>
        </w:rPr>
      </w:pPr>
      <w:r>
        <w:rPr>
          <w:lang w:val="fr-CA"/>
        </w:rPr>
        <w:t>La plupart d</w:t>
      </w:r>
      <w:r w:rsidRPr="002100CD">
        <w:rPr>
          <w:lang w:val="fr-CA"/>
        </w:rPr>
        <w:t>es plaintes</w:t>
      </w:r>
      <w:r>
        <w:rPr>
          <w:lang w:val="fr-CA"/>
        </w:rPr>
        <w:t xml:space="preserve"> reçues en 2014-2015</w:t>
      </w:r>
      <w:r w:rsidRPr="002100CD">
        <w:rPr>
          <w:lang w:val="fr-CA"/>
        </w:rPr>
        <w:t xml:space="preserve"> étaient fondées et ont été réglée</w:t>
      </w:r>
      <w:r>
        <w:rPr>
          <w:lang w:val="fr-CA"/>
        </w:rPr>
        <w:t>s</w:t>
      </w:r>
      <w:r w:rsidRPr="002100CD">
        <w:rPr>
          <w:lang w:val="fr-CA"/>
        </w:rPr>
        <w:t>(13)</w:t>
      </w:r>
      <w:r>
        <w:rPr>
          <w:lang w:val="fr-CA"/>
        </w:rPr>
        <w:t>. Trois autres plaintes ont été abandonné</w:t>
      </w:r>
      <w:r w:rsidRPr="002100CD">
        <w:rPr>
          <w:lang w:val="fr-CA"/>
        </w:rPr>
        <w:t xml:space="preserve">es et 2 </w:t>
      </w:r>
      <w:r>
        <w:rPr>
          <w:lang w:val="fr-CA"/>
        </w:rPr>
        <w:t xml:space="preserve">étaient encore </w:t>
      </w:r>
      <w:r w:rsidRPr="002100CD">
        <w:rPr>
          <w:lang w:val="fr-CA"/>
        </w:rPr>
        <w:t>en suspens.</w:t>
      </w:r>
    </w:p>
    <w:p w:rsidR="006B6495" w:rsidRDefault="006B6495">
      <w:pPr>
        <w:rPr>
          <w:lang w:val="fr-CA"/>
        </w:rPr>
      </w:pPr>
      <w:r>
        <w:rPr>
          <w:lang w:val="fr-CA"/>
        </w:rPr>
        <w:br w:type="page"/>
      </w:r>
    </w:p>
    <w:p w:rsidR="006B6495" w:rsidRPr="001907C0" w:rsidRDefault="006B6495" w:rsidP="006B6495">
      <w:pPr>
        <w:pStyle w:val="Heading1"/>
      </w:pPr>
      <w:r w:rsidRPr="001907C0">
        <w:lastRenderedPageBreak/>
        <w:t>Société Radio-Canada</w:t>
      </w:r>
    </w:p>
    <w:p w:rsidR="006B6495" w:rsidRPr="001907C0" w:rsidRDefault="006B6495" w:rsidP="006B6495">
      <w:pPr>
        <w:jc w:val="both"/>
        <w:rPr>
          <w:b/>
          <w:lang w:val="fr-CA"/>
        </w:rPr>
      </w:pPr>
      <w:r w:rsidRPr="001907C0">
        <w:rPr>
          <w:rStyle w:val="Heading2Char"/>
        </w:rPr>
        <w:t>Rendement global</w:t>
      </w:r>
      <w:r>
        <w:rPr>
          <w:rStyle w:val="FootnoteReference"/>
          <w:b/>
        </w:rPr>
        <w:footnoteReference w:id="93"/>
      </w:r>
    </w:p>
    <w:p w:rsidR="006B6495" w:rsidRPr="00AD6358" w:rsidRDefault="006B6495" w:rsidP="006B6495">
      <w:pPr>
        <w:jc w:val="both"/>
        <w:rPr>
          <w:lang w:val="fr-CA"/>
        </w:rPr>
      </w:pPr>
      <w:r w:rsidRPr="00DB579D">
        <w:rPr>
          <w:lang w:val="fr-CA"/>
        </w:rPr>
        <w:t>En 2014-2015, la Société Radio-Canada (SRC)</w:t>
      </w:r>
      <w:r>
        <w:rPr>
          <w:lang w:val="fr-CA"/>
        </w:rPr>
        <w:t xml:space="preserve"> a connu une diminution de 20,1</w:t>
      </w:r>
      <w:r w:rsidRPr="00DB579D">
        <w:rPr>
          <w:lang w:val="fr-CA"/>
        </w:rPr>
        <w:t xml:space="preserve"> % au niveau du nombre de demandes reçues et a amélioré son pourcentage de demandes complétées en 30 jours ou moins de 15,4 %. </w:t>
      </w:r>
      <w:r w:rsidRPr="00C21322">
        <w:rPr>
          <w:color w:val="000000" w:themeColor="text1"/>
          <w:lang w:val="fr-CA"/>
        </w:rPr>
        <w:t>Le présent rapport contient des statistiques comparatives pour les trois dernières périodes (2012 à 2015).</w:t>
      </w:r>
    </w:p>
    <w:p w:rsidR="006B6495" w:rsidRPr="001907C0" w:rsidRDefault="006B6495" w:rsidP="006B6495">
      <w:pPr>
        <w:pStyle w:val="Heading2"/>
      </w:pPr>
      <w:r w:rsidRPr="001907C0">
        <w:t>Charge de travail</w:t>
      </w:r>
    </w:p>
    <w:p w:rsidR="006B6495" w:rsidRPr="00AD6358" w:rsidRDefault="006B6495" w:rsidP="006B6495">
      <w:pPr>
        <w:jc w:val="both"/>
        <w:rPr>
          <w:lang w:val="fr-CA"/>
        </w:rPr>
      </w:pPr>
      <w:r w:rsidRPr="00A242C4">
        <w:rPr>
          <w:lang w:val="fr-CA"/>
        </w:rPr>
        <w:t>La SRC a reçu 127 demandes pour la période de référence</w:t>
      </w:r>
      <w:r>
        <w:rPr>
          <w:lang w:val="fr-CA"/>
        </w:rPr>
        <w:t xml:space="preserve">, représentant 0,2 % du nombre total de demandes reçues à l’échelle du gouvernement en vertu de la </w:t>
      </w:r>
      <w:r>
        <w:rPr>
          <w:i/>
          <w:iCs/>
          <w:lang w:val="fr-CA"/>
        </w:rPr>
        <w:t>Loi sur l’accès à l‘information</w:t>
      </w:r>
      <w:r>
        <w:rPr>
          <w:lang w:val="fr-CA"/>
        </w:rPr>
        <w:t xml:space="preserve"> (la </w:t>
      </w:r>
      <w:r>
        <w:rPr>
          <w:i/>
          <w:iCs/>
          <w:lang w:val="fr-CA"/>
        </w:rPr>
        <w:t>Loi</w:t>
      </w:r>
      <w:r>
        <w:rPr>
          <w:lang w:val="fr-CA"/>
        </w:rPr>
        <w:t>). Il s’agit d’une diminution de 20,1</w:t>
      </w:r>
      <w:r w:rsidRPr="00A242C4">
        <w:rPr>
          <w:lang w:val="fr-CA"/>
        </w:rPr>
        <w:t> % par rapport à 2013</w:t>
      </w:r>
      <w:r>
        <w:rPr>
          <w:lang w:val="fr-CA"/>
        </w:rPr>
        <w:t>-</w:t>
      </w:r>
      <w:r w:rsidRPr="00A242C4">
        <w:rPr>
          <w:lang w:val="fr-CA"/>
        </w:rPr>
        <w:t>2014. La majorité des demandes provenaient du public (59</w:t>
      </w:r>
      <w:r>
        <w:rPr>
          <w:lang w:val="fr-CA"/>
        </w:rPr>
        <w:t>,1</w:t>
      </w:r>
      <w:r w:rsidRPr="00A242C4">
        <w:rPr>
          <w:lang w:val="fr-CA"/>
        </w:rPr>
        <w:t> %), suivies de celles des médias (29,1 </w:t>
      </w:r>
      <w:r>
        <w:rPr>
          <w:lang w:val="fr-CA"/>
        </w:rPr>
        <w:t>%).</w:t>
      </w:r>
    </w:p>
    <w:p w:rsidR="006B6495" w:rsidRPr="008C225A" w:rsidRDefault="006B6495" w:rsidP="006B6495">
      <w:pPr>
        <w:jc w:val="both"/>
        <w:rPr>
          <w:lang w:val="fr-CA"/>
        </w:rPr>
      </w:pPr>
      <w:r w:rsidRPr="008C225A">
        <w:rPr>
          <w:lang w:val="fr-CA"/>
        </w:rPr>
        <w:t xml:space="preserve">La SRC a </w:t>
      </w:r>
      <w:r>
        <w:rPr>
          <w:lang w:val="fr-CA"/>
        </w:rPr>
        <w:t>complétées</w:t>
      </w:r>
      <w:r w:rsidRPr="008C225A">
        <w:rPr>
          <w:lang w:val="fr-CA"/>
        </w:rPr>
        <w:t xml:space="preserve"> 149 demandes en 2014</w:t>
      </w:r>
      <w:r w:rsidRPr="008C225A">
        <w:rPr>
          <w:lang w:val="fr-CA"/>
        </w:rPr>
        <w:noBreakHyphen/>
      </w:r>
      <w:r>
        <w:rPr>
          <w:lang w:val="fr-CA"/>
        </w:rPr>
        <w:t xml:space="preserve">2015. </w:t>
      </w:r>
      <w:r w:rsidRPr="008C225A">
        <w:rPr>
          <w:lang w:val="fr-CA"/>
        </w:rPr>
        <w:t>La SRC avait un taux d’achèvement</w:t>
      </w:r>
      <w:r>
        <w:rPr>
          <w:rStyle w:val="FootnoteReference"/>
          <w:lang w:val="fr-CA"/>
        </w:rPr>
        <w:footnoteReference w:id="94"/>
      </w:r>
      <w:r w:rsidRPr="008C225A">
        <w:rPr>
          <w:lang w:val="fr-CA"/>
        </w:rPr>
        <w:t xml:space="preserve"> </w:t>
      </w:r>
      <w:r>
        <w:rPr>
          <w:lang w:val="fr-CA"/>
        </w:rPr>
        <w:t>de 92,0 </w:t>
      </w:r>
      <w:r w:rsidRPr="008C225A">
        <w:rPr>
          <w:lang w:val="fr-CA"/>
        </w:rPr>
        <w:t>% en 2014</w:t>
      </w:r>
      <w:r>
        <w:rPr>
          <w:lang w:val="fr-CA"/>
        </w:rPr>
        <w:noBreakHyphen/>
      </w:r>
      <w:r w:rsidRPr="008C225A">
        <w:rPr>
          <w:lang w:val="fr-CA"/>
        </w:rPr>
        <w:t xml:space="preserve">2015, soit un taux </w:t>
      </w:r>
      <w:r>
        <w:rPr>
          <w:lang w:val="fr-CA"/>
        </w:rPr>
        <w:t xml:space="preserve">supérieur </w:t>
      </w:r>
      <w:r w:rsidRPr="008C225A">
        <w:rPr>
          <w:lang w:val="fr-CA"/>
        </w:rPr>
        <w:t>à celui établi pour l’ensemble du gouvernement</w:t>
      </w:r>
      <w:r>
        <w:rPr>
          <w:lang w:val="fr-CA"/>
        </w:rPr>
        <w:t xml:space="preserve"> qui lui, était de 85,1 %. Cela représente une amélioration de 10,5 %</w:t>
      </w:r>
      <w:r w:rsidRPr="008C225A">
        <w:rPr>
          <w:lang w:val="fr-CA"/>
        </w:rPr>
        <w:t xml:space="preserve"> </w:t>
      </w:r>
      <w:r>
        <w:rPr>
          <w:lang w:val="fr-CA"/>
        </w:rPr>
        <w:t>par rapport à la dernière période. La</w:t>
      </w:r>
      <w:r w:rsidRPr="008C225A">
        <w:rPr>
          <w:lang w:val="fr-CA"/>
        </w:rPr>
        <w:t xml:space="preserve"> SRC a</w:t>
      </w:r>
      <w:r>
        <w:rPr>
          <w:lang w:val="fr-CA"/>
        </w:rPr>
        <w:t xml:space="preserve"> aussi</w:t>
      </w:r>
      <w:r w:rsidRPr="008C225A">
        <w:rPr>
          <w:lang w:val="fr-CA"/>
        </w:rPr>
        <w:t xml:space="preserve"> re</w:t>
      </w:r>
      <w:r>
        <w:rPr>
          <w:lang w:val="fr-CA"/>
        </w:rPr>
        <w:t>çu 11 </w:t>
      </w:r>
      <w:r w:rsidRPr="008C225A">
        <w:rPr>
          <w:lang w:val="fr-CA"/>
        </w:rPr>
        <w:t>demandes informelles, qu</w:t>
      </w:r>
      <w:r>
        <w:rPr>
          <w:lang w:val="fr-CA"/>
        </w:rPr>
        <w:t>i ont toutes été complétées en 15 </w:t>
      </w:r>
      <w:r w:rsidRPr="008C225A">
        <w:rPr>
          <w:lang w:val="fr-CA"/>
        </w:rPr>
        <w:t xml:space="preserve">jours ou </w:t>
      </w:r>
      <w:r w:rsidRPr="00967319">
        <w:rPr>
          <w:lang w:val="fr-CA"/>
        </w:rPr>
        <w:t xml:space="preserve">moins. Le nombre de demandes de consultation reçues par SRC en provenance d’autres institutions fédérales a augmenté de 12 </w:t>
      </w:r>
      <w:r>
        <w:rPr>
          <w:lang w:val="fr-CA"/>
        </w:rPr>
        <w:t xml:space="preserve">en 2013-2014 </w:t>
      </w:r>
      <w:r w:rsidRPr="00967319">
        <w:rPr>
          <w:lang w:val="fr-CA"/>
        </w:rPr>
        <w:t>à 45.</w:t>
      </w:r>
    </w:p>
    <w:p w:rsidR="006B6495" w:rsidRDefault="006B6495" w:rsidP="006B6495">
      <w:pPr>
        <w:jc w:val="both"/>
        <w:rPr>
          <w:lang w:val="fr-CA"/>
        </w:rPr>
      </w:pPr>
      <w:r w:rsidRPr="00D43485">
        <w:rPr>
          <w:lang w:val="fr-CA"/>
        </w:rPr>
        <w:t xml:space="preserve">Le nombre moyen de pages traitées par demande </w:t>
      </w:r>
      <w:r>
        <w:rPr>
          <w:lang w:val="fr-CA"/>
        </w:rPr>
        <w:t xml:space="preserve">complétée était de 108 en 2014-2015, comparativement à 336 </w:t>
      </w:r>
      <w:r w:rsidRPr="00D43485">
        <w:rPr>
          <w:lang w:val="fr-CA"/>
        </w:rPr>
        <w:t>en 2013</w:t>
      </w:r>
      <w:r>
        <w:rPr>
          <w:lang w:val="fr-CA"/>
        </w:rPr>
        <w:t>-</w:t>
      </w:r>
      <w:r w:rsidRPr="00D43485">
        <w:rPr>
          <w:lang w:val="fr-CA"/>
        </w:rPr>
        <w:t>2014.</w:t>
      </w:r>
      <w:r>
        <w:rPr>
          <w:lang w:val="fr-CA"/>
        </w:rPr>
        <w:t xml:space="preserve"> La proportion de demandes requérant le traitement de plus de 1 000 pages a aussi diminué de 4,7 %.</w:t>
      </w:r>
    </w:p>
    <w:p w:rsidR="006B6495" w:rsidRDefault="006B6495" w:rsidP="006B6495">
      <w:pPr>
        <w:jc w:val="both"/>
        <w:rPr>
          <w:lang w:val="fr-CA"/>
        </w:rPr>
      </w:pPr>
      <w:r w:rsidRPr="00D43485">
        <w:rPr>
          <w:lang w:val="fr-CA"/>
        </w:rPr>
        <w:t>L’information diffusée par la SRC était</w:t>
      </w:r>
      <w:r w:rsidRPr="00DB579D">
        <w:rPr>
          <w:color w:val="000000" w:themeColor="text1"/>
          <w:lang w:val="fr-CA"/>
        </w:rPr>
        <w:t xml:space="preserve"> </w:t>
      </w:r>
      <w:r>
        <w:rPr>
          <w:color w:val="000000" w:themeColor="text1"/>
          <w:lang w:val="fr-CA"/>
        </w:rPr>
        <w:t>majoritairement</w:t>
      </w:r>
      <w:r w:rsidRPr="00D43485">
        <w:rPr>
          <w:lang w:val="fr-CA"/>
        </w:rPr>
        <w:t xml:space="preserve"> en format électronique</w:t>
      </w:r>
      <w:r>
        <w:rPr>
          <w:lang w:val="fr-CA"/>
        </w:rPr>
        <w:t xml:space="preserve">: 61 demandes en format électronique </w:t>
      </w:r>
      <w:r w:rsidRPr="00D43485">
        <w:rPr>
          <w:lang w:val="fr-CA"/>
        </w:rPr>
        <w:t xml:space="preserve">par rapport </w:t>
      </w:r>
      <w:r>
        <w:rPr>
          <w:lang w:val="fr-CA"/>
        </w:rPr>
        <w:t>à 35 demandes en format papier.</w:t>
      </w:r>
    </w:p>
    <w:p w:rsidR="006B6495" w:rsidRPr="001907C0" w:rsidRDefault="006B6495" w:rsidP="006B6495">
      <w:pPr>
        <w:pStyle w:val="Heading3"/>
      </w:pPr>
      <w:r w:rsidRPr="001907C0">
        <w:t xml:space="preserve">Tableau </w:t>
      </w:r>
      <w:proofErr w:type="gramStart"/>
      <w:r w:rsidRPr="001907C0">
        <w:t>1 :</w:t>
      </w:r>
      <w:proofErr w:type="gramEnd"/>
      <w:r w:rsidRPr="001907C0">
        <w:t xml:space="preserve"> Charge de travail</w:t>
      </w:r>
    </w:p>
    <w:tbl>
      <w:tblPr>
        <w:tblW w:w="9486" w:type="dxa"/>
        <w:tblInd w:w="98" w:type="dxa"/>
        <w:tblBorders>
          <w:top w:val="single" w:sz="4" w:space="0" w:color="auto"/>
          <w:left w:val="single" w:sz="4" w:space="0" w:color="auto"/>
          <w:bottom w:val="single" w:sz="4" w:space="0" w:color="auto"/>
          <w:right w:val="single" w:sz="4" w:space="0" w:color="auto"/>
        </w:tblBorders>
        <w:tblLook w:val="04A0"/>
      </w:tblPr>
      <w:tblGrid>
        <w:gridCol w:w="5123"/>
        <w:gridCol w:w="1398"/>
        <w:gridCol w:w="1665"/>
        <w:gridCol w:w="1300"/>
      </w:tblGrid>
      <w:tr w:rsidR="006B6495" w:rsidTr="006B6495">
        <w:trPr>
          <w:trHeight w:val="319"/>
        </w:trPr>
        <w:tc>
          <w:tcPr>
            <w:tcW w:w="5123" w:type="dxa"/>
            <w:shd w:val="clear" w:color="auto" w:fill="auto"/>
            <w:noWrap/>
            <w:vAlign w:val="bottom"/>
            <w:hideMark/>
          </w:tcPr>
          <w:p w:rsidR="006B6495" w:rsidRPr="00992C94" w:rsidRDefault="006B6495" w:rsidP="006B6495">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t xml:space="preserve">Mesures </w:t>
            </w:r>
          </w:p>
        </w:tc>
        <w:tc>
          <w:tcPr>
            <w:tcW w:w="1398" w:type="dxa"/>
            <w:shd w:val="clear" w:color="auto" w:fill="auto"/>
            <w:noWrap/>
            <w:vAlign w:val="bottom"/>
            <w:hideMark/>
          </w:tcPr>
          <w:p w:rsidR="006B6495" w:rsidRPr="00B6188F" w:rsidRDefault="006B6495" w:rsidP="006B6495">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2012-2013</w:t>
            </w:r>
          </w:p>
        </w:tc>
        <w:tc>
          <w:tcPr>
            <w:tcW w:w="1665" w:type="dxa"/>
            <w:shd w:val="clear" w:color="auto" w:fill="auto"/>
            <w:noWrap/>
            <w:vAlign w:val="bottom"/>
            <w:hideMark/>
          </w:tcPr>
          <w:p w:rsidR="006B6495" w:rsidRPr="00B6188F" w:rsidRDefault="006B6495" w:rsidP="006B6495">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2013-2014</w:t>
            </w:r>
          </w:p>
        </w:tc>
        <w:tc>
          <w:tcPr>
            <w:tcW w:w="1300" w:type="dxa"/>
            <w:shd w:val="clear" w:color="auto" w:fill="auto"/>
            <w:noWrap/>
            <w:vAlign w:val="bottom"/>
            <w:hideMark/>
          </w:tcPr>
          <w:p w:rsidR="006B6495" w:rsidRPr="00B6188F" w:rsidRDefault="006B6495" w:rsidP="006B6495">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2014-2015</w:t>
            </w:r>
          </w:p>
        </w:tc>
      </w:tr>
      <w:tr w:rsidR="006B6495" w:rsidTr="006B6495">
        <w:trPr>
          <w:trHeight w:val="304"/>
        </w:trPr>
        <w:tc>
          <w:tcPr>
            <w:tcW w:w="5123" w:type="dxa"/>
            <w:shd w:val="clear" w:color="000000" w:fill="DBE5F1"/>
            <w:noWrap/>
            <w:hideMark/>
          </w:tcPr>
          <w:p w:rsidR="006B6495" w:rsidRPr="00992C94" w:rsidRDefault="006B6495" w:rsidP="006B6495">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t xml:space="preserve">Nombre de demandes reçues </w:t>
            </w:r>
          </w:p>
        </w:tc>
        <w:tc>
          <w:tcPr>
            <w:tcW w:w="1398" w:type="dxa"/>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154</w:t>
            </w:r>
          </w:p>
        </w:tc>
        <w:tc>
          <w:tcPr>
            <w:tcW w:w="1665" w:type="dxa"/>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159</w:t>
            </w:r>
          </w:p>
        </w:tc>
        <w:tc>
          <w:tcPr>
            <w:tcW w:w="1300" w:type="dxa"/>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127</w:t>
            </w:r>
          </w:p>
        </w:tc>
      </w:tr>
      <w:tr w:rsidR="006B6495" w:rsidTr="006B6495">
        <w:trPr>
          <w:trHeight w:val="304"/>
        </w:trPr>
        <w:tc>
          <w:tcPr>
            <w:tcW w:w="5123" w:type="dxa"/>
            <w:shd w:val="clear" w:color="auto" w:fill="auto"/>
            <w:hideMark/>
          </w:tcPr>
          <w:p w:rsidR="006B6495" w:rsidRPr="00992C94" w:rsidRDefault="006B6495" w:rsidP="006B6495">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t>Variation annuelle en %</w:t>
            </w:r>
          </w:p>
        </w:tc>
        <w:tc>
          <w:tcPr>
            <w:tcW w:w="1398" w:type="dxa"/>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w:t>
            </w:r>
          </w:p>
        </w:tc>
        <w:tc>
          <w:tcPr>
            <w:tcW w:w="1665" w:type="dxa"/>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3,25 </w:t>
            </w:r>
            <w:r w:rsidRPr="00B6188F">
              <w:rPr>
                <w:rFonts w:ascii="Calibri" w:eastAsia="Times New Roman" w:hAnsi="Calibri" w:cs="Times New Roman"/>
                <w:color w:val="000000"/>
              </w:rPr>
              <w:t>%</w:t>
            </w:r>
          </w:p>
        </w:tc>
        <w:tc>
          <w:tcPr>
            <w:tcW w:w="1300" w:type="dxa"/>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-20,13 </w:t>
            </w:r>
            <w:r w:rsidRPr="00B6188F">
              <w:rPr>
                <w:rFonts w:ascii="Calibri" w:eastAsia="Times New Roman" w:hAnsi="Calibri" w:cs="Times New Roman"/>
                <w:color w:val="000000"/>
              </w:rPr>
              <w:t>%</w:t>
            </w:r>
          </w:p>
        </w:tc>
      </w:tr>
      <w:tr w:rsidR="006B6495" w:rsidTr="006B6495">
        <w:trPr>
          <w:trHeight w:val="304"/>
        </w:trPr>
        <w:tc>
          <w:tcPr>
            <w:tcW w:w="5123" w:type="dxa"/>
            <w:shd w:val="clear" w:color="000000" w:fill="DBE5F1"/>
            <w:hideMark/>
          </w:tcPr>
          <w:p w:rsidR="006B6495" w:rsidRPr="00992C94" w:rsidRDefault="006B6495" w:rsidP="006B6495">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398" w:type="dxa"/>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152</w:t>
            </w:r>
          </w:p>
        </w:tc>
        <w:tc>
          <w:tcPr>
            <w:tcW w:w="1665" w:type="dxa"/>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154</w:t>
            </w:r>
          </w:p>
        </w:tc>
        <w:tc>
          <w:tcPr>
            <w:tcW w:w="1300" w:type="dxa"/>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149</w:t>
            </w:r>
          </w:p>
        </w:tc>
      </w:tr>
      <w:tr w:rsidR="006B6495" w:rsidTr="006B6495">
        <w:trPr>
          <w:trHeight w:val="319"/>
        </w:trPr>
        <w:tc>
          <w:tcPr>
            <w:tcW w:w="5123" w:type="dxa"/>
            <w:shd w:val="clear" w:color="auto" w:fill="auto"/>
            <w:hideMark/>
          </w:tcPr>
          <w:p w:rsidR="006B6495" w:rsidRPr="00992C94" w:rsidRDefault="006B6495" w:rsidP="006B6495">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t>Variation annuelle en %</w:t>
            </w:r>
          </w:p>
        </w:tc>
        <w:tc>
          <w:tcPr>
            <w:tcW w:w="1398" w:type="dxa"/>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w:t>
            </w:r>
          </w:p>
        </w:tc>
        <w:tc>
          <w:tcPr>
            <w:tcW w:w="1665" w:type="dxa"/>
            <w:shd w:val="clear" w:color="auto" w:fill="auto"/>
            <w:noWrap/>
            <w:vAlign w:val="center"/>
            <w:hideMark/>
          </w:tcPr>
          <w:p w:rsidR="006B6495" w:rsidRDefault="006B6495" w:rsidP="006B6495">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1</w:t>
            </w:r>
          </w:p>
          <w:p w:rsidR="006B6495" w:rsidRPr="00B6188F" w:rsidRDefault="006B6495" w:rsidP="006B64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1,32 </w:t>
            </w:r>
            <w:r w:rsidRPr="00B6188F">
              <w:rPr>
                <w:rFonts w:ascii="Calibri" w:eastAsia="Times New Roman" w:hAnsi="Calibri" w:cs="Times New Roman"/>
                <w:color w:val="000000"/>
              </w:rPr>
              <w:t>%</w:t>
            </w:r>
          </w:p>
        </w:tc>
        <w:tc>
          <w:tcPr>
            <w:tcW w:w="1300" w:type="dxa"/>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-3,25 </w:t>
            </w:r>
            <w:r w:rsidRPr="00B6188F">
              <w:rPr>
                <w:rFonts w:ascii="Calibri" w:eastAsia="Times New Roman" w:hAnsi="Calibri" w:cs="Times New Roman"/>
                <w:color w:val="000000"/>
              </w:rPr>
              <w:t>%</w:t>
            </w:r>
          </w:p>
        </w:tc>
      </w:tr>
      <w:tr w:rsidR="006B6495" w:rsidTr="006B6495">
        <w:trPr>
          <w:trHeight w:val="623"/>
        </w:trPr>
        <w:tc>
          <w:tcPr>
            <w:tcW w:w="5123" w:type="dxa"/>
            <w:tcBorders>
              <w:bottom w:val="nil"/>
            </w:tcBorders>
            <w:shd w:val="clear" w:color="000000" w:fill="DBE5F1"/>
            <w:hideMark/>
          </w:tcPr>
          <w:p w:rsidR="006B6495" w:rsidRPr="00992C94" w:rsidRDefault="006B6495" w:rsidP="006B6495">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t>Nombre de demandes de consultations reçues (d’autres institutions fédérales)</w:t>
            </w:r>
          </w:p>
        </w:tc>
        <w:tc>
          <w:tcPr>
            <w:tcW w:w="1398" w:type="dxa"/>
            <w:tcBorders>
              <w:bottom w:val="nil"/>
            </w:tcBorders>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29</w:t>
            </w:r>
          </w:p>
        </w:tc>
        <w:tc>
          <w:tcPr>
            <w:tcW w:w="1665" w:type="dxa"/>
            <w:tcBorders>
              <w:bottom w:val="nil"/>
            </w:tcBorders>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12</w:t>
            </w:r>
          </w:p>
        </w:tc>
        <w:tc>
          <w:tcPr>
            <w:tcW w:w="1300" w:type="dxa"/>
            <w:tcBorders>
              <w:bottom w:val="nil"/>
            </w:tcBorders>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45</w:t>
            </w:r>
          </w:p>
        </w:tc>
      </w:tr>
      <w:tr w:rsidR="006B6495" w:rsidTr="006B6495">
        <w:trPr>
          <w:trHeight w:val="441"/>
        </w:trPr>
        <w:tc>
          <w:tcPr>
            <w:tcW w:w="5123" w:type="dxa"/>
            <w:tcBorders>
              <w:top w:val="nil"/>
              <w:bottom w:val="nil"/>
            </w:tcBorders>
            <w:shd w:val="clear" w:color="auto" w:fill="auto"/>
            <w:hideMark/>
          </w:tcPr>
          <w:p w:rsidR="006B6495" w:rsidRPr="00992C94" w:rsidRDefault="006B6495" w:rsidP="006B6495">
            <w:pPr>
              <w:spacing w:after="0" w:line="240" w:lineRule="auto"/>
              <w:rPr>
                <w:rFonts w:ascii="Calibri" w:eastAsia="Times New Roman" w:hAnsi="Calibri" w:cs="Times New Roman"/>
                <w:color w:val="000000"/>
                <w:lang w:val="fr-CA"/>
              </w:rPr>
            </w:pPr>
            <w:r w:rsidRPr="00992C94">
              <w:rPr>
                <w:rFonts w:ascii="Calibri" w:eastAsia="Times New Roman" w:hAnsi="Calibri" w:cs="Times New Roman"/>
                <w:color w:val="000000"/>
                <w:lang w:val="fr-CA"/>
              </w:rPr>
              <w:lastRenderedPageBreak/>
              <w:t>Variation annuelle en %</w:t>
            </w:r>
          </w:p>
        </w:tc>
        <w:tc>
          <w:tcPr>
            <w:tcW w:w="1398" w:type="dxa"/>
            <w:tcBorders>
              <w:top w:val="nil"/>
              <w:bottom w:val="nil"/>
            </w:tcBorders>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w:t>
            </w:r>
          </w:p>
        </w:tc>
        <w:tc>
          <w:tcPr>
            <w:tcW w:w="1665" w:type="dxa"/>
            <w:tcBorders>
              <w:top w:val="nil"/>
              <w:bottom w:val="nil"/>
            </w:tcBorders>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-58,62 </w:t>
            </w:r>
            <w:r w:rsidRPr="00B6188F">
              <w:rPr>
                <w:rFonts w:ascii="Calibri" w:eastAsia="Times New Roman" w:hAnsi="Calibri" w:cs="Times New Roman"/>
                <w:color w:val="000000"/>
              </w:rPr>
              <w:t>%</w:t>
            </w:r>
          </w:p>
        </w:tc>
        <w:tc>
          <w:tcPr>
            <w:tcW w:w="1300" w:type="dxa"/>
            <w:tcBorders>
              <w:top w:val="nil"/>
              <w:bottom w:val="nil"/>
            </w:tcBorders>
            <w:shd w:val="clear" w:color="auto" w:fill="auto"/>
            <w:noWrap/>
            <w:vAlign w:val="center"/>
            <w:hideMark/>
          </w:tcPr>
          <w:p w:rsidR="006B6495" w:rsidRPr="00B6188F" w:rsidRDefault="006B6495" w:rsidP="006B64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275,00 </w:t>
            </w:r>
            <w:r w:rsidRPr="00B6188F">
              <w:rPr>
                <w:rFonts w:ascii="Calibri" w:eastAsia="Times New Roman" w:hAnsi="Calibri" w:cs="Times New Roman"/>
                <w:color w:val="000000"/>
              </w:rPr>
              <w:t>%</w:t>
            </w:r>
          </w:p>
        </w:tc>
      </w:tr>
      <w:tr w:rsidR="006B6495" w:rsidTr="006B6495">
        <w:trPr>
          <w:trHeight w:val="501"/>
        </w:trPr>
        <w:tc>
          <w:tcPr>
            <w:tcW w:w="5123" w:type="dxa"/>
            <w:tcBorders>
              <w:top w:val="nil"/>
              <w:bottom w:val="nil"/>
            </w:tcBorders>
            <w:shd w:val="clear" w:color="000000" w:fill="DBE5F1"/>
            <w:hideMark/>
          </w:tcPr>
          <w:p w:rsidR="006B6495" w:rsidRPr="00AD6358" w:rsidRDefault="006B6495" w:rsidP="006B6495">
            <w:pPr>
              <w:spacing w:after="0" w:line="240" w:lineRule="auto"/>
              <w:rPr>
                <w:rFonts w:ascii="Calibri" w:eastAsia="Times New Roman" w:hAnsi="Calibri" w:cs="Times New Roman"/>
                <w:color w:val="000000"/>
                <w:lang w:val="fr-CA"/>
              </w:rPr>
            </w:pPr>
            <w:r w:rsidRPr="00A242C4">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398" w:type="dxa"/>
            <w:tcBorders>
              <w:top w:val="nil"/>
              <w:bottom w:val="nil"/>
            </w:tcBorders>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154</w:t>
            </w:r>
          </w:p>
        </w:tc>
        <w:tc>
          <w:tcPr>
            <w:tcW w:w="1665" w:type="dxa"/>
            <w:tcBorders>
              <w:top w:val="nil"/>
              <w:bottom w:val="nil"/>
            </w:tcBorders>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336</w:t>
            </w:r>
          </w:p>
        </w:tc>
        <w:tc>
          <w:tcPr>
            <w:tcW w:w="1300" w:type="dxa"/>
            <w:tcBorders>
              <w:top w:val="nil"/>
              <w:bottom w:val="nil"/>
            </w:tcBorders>
            <w:shd w:val="clear" w:color="000000" w:fill="DBE5F1"/>
            <w:noWrap/>
            <w:vAlign w:val="center"/>
            <w:hideMark/>
          </w:tcPr>
          <w:p w:rsidR="006B6495" w:rsidRPr="00B6188F" w:rsidRDefault="006B6495" w:rsidP="006B6495">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108</w:t>
            </w:r>
          </w:p>
        </w:tc>
      </w:tr>
      <w:tr w:rsidR="006B6495" w:rsidRPr="00D43485" w:rsidTr="006B6495">
        <w:trPr>
          <w:trHeight w:val="623"/>
        </w:trPr>
        <w:tc>
          <w:tcPr>
            <w:tcW w:w="5123" w:type="dxa"/>
            <w:tcBorders>
              <w:top w:val="nil"/>
            </w:tcBorders>
            <w:shd w:val="clear" w:color="auto" w:fill="auto"/>
            <w:hideMark/>
          </w:tcPr>
          <w:p w:rsidR="006B6495" w:rsidRPr="00D43485" w:rsidRDefault="006B6495" w:rsidP="006B6495">
            <w:pPr>
              <w:spacing w:after="0" w:line="240" w:lineRule="auto"/>
              <w:rPr>
                <w:rFonts w:ascii="Calibri" w:eastAsia="Times New Roman" w:hAnsi="Calibri" w:cs="Times New Roman"/>
                <w:color w:val="000000"/>
                <w:lang w:val="fr-CA"/>
              </w:rPr>
            </w:pPr>
            <w:r w:rsidRPr="00D43485">
              <w:rPr>
                <w:rFonts w:ascii="Calibri" w:eastAsia="Times New Roman" w:hAnsi="Calibri" w:cs="Times New Roman"/>
                <w:color w:val="000000"/>
                <w:lang w:val="fr-CA"/>
              </w:rPr>
              <w:t>% des demandes pour lesquelles plus de 1 000 pages ont été traitées</w:t>
            </w:r>
          </w:p>
        </w:tc>
        <w:tc>
          <w:tcPr>
            <w:tcW w:w="1398" w:type="dxa"/>
            <w:tcBorders>
              <w:top w:val="nil"/>
            </w:tcBorders>
            <w:shd w:val="clear" w:color="auto" w:fill="auto"/>
            <w:noWrap/>
            <w:vAlign w:val="center"/>
            <w:hideMark/>
          </w:tcPr>
          <w:p w:rsidR="006B6495" w:rsidRPr="00D43485" w:rsidRDefault="006B6495" w:rsidP="006B6495">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5,2 </w:t>
            </w:r>
            <w:r w:rsidRPr="00D43485">
              <w:rPr>
                <w:rFonts w:ascii="Calibri" w:eastAsia="Times New Roman" w:hAnsi="Calibri" w:cs="Times New Roman"/>
                <w:color w:val="000000"/>
                <w:lang w:val="fr-CA"/>
              </w:rPr>
              <w:t>%</w:t>
            </w:r>
          </w:p>
        </w:tc>
        <w:tc>
          <w:tcPr>
            <w:tcW w:w="1665" w:type="dxa"/>
            <w:tcBorders>
              <w:top w:val="nil"/>
            </w:tcBorders>
            <w:shd w:val="clear" w:color="auto" w:fill="auto"/>
            <w:noWrap/>
            <w:vAlign w:val="center"/>
            <w:hideMark/>
          </w:tcPr>
          <w:p w:rsidR="006B6495" w:rsidRPr="00D43485" w:rsidRDefault="006B6495" w:rsidP="006B6495">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6,4 </w:t>
            </w:r>
            <w:r w:rsidRPr="00D43485">
              <w:rPr>
                <w:rFonts w:ascii="Calibri" w:eastAsia="Times New Roman" w:hAnsi="Calibri" w:cs="Times New Roman"/>
                <w:color w:val="000000"/>
                <w:lang w:val="fr-CA"/>
              </w:rPr>
              <w:t>%</w:t>
            </w:r>
          </w:p>
        </w:tc>
        <w:tc>
          <w:tcPr>
            <w:tcW w:w="1300" w:type="dxa"/>
            <w:tcBorders>
              <w:top w:val="nil"/>
            </w:tcBorders>
            <w:shd w:val="clear" w:color="auto" w:fill="auto"/>
            <w:noWrap/>
            <w:vAlign w:val="center"/>
            <w:hideMark/>
          </w:tcPr>
          <w:p w:rsidR="006B6495" w:rsidRPr="00D43485" w:rsidRDefault="006B6495" w:rsidP="006B6495">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1,7 </w:t>
            </w:r>
            <w:r w:rsidRPr="00D43485">
              <w:rPr>
                <w:rFonts w:ascii="Calibri" w:eastAsia="Times New Roman" w:hAnsi="Calibri" w:cs="Times New Roman"/>
                <w:color w:val="000000"/>
                <w:lang w:val="fr-CA"/>
              </w:rPr>
              <w:t>%</w:t>
            </w:r>
          </w:p>
        </w:tc>
      </w:tr>
    </w:tbl>
    <w:p w:rsidR="006B6495" w:rsidRPr="001907C0" w:rsidRDefault="006B6495" w:rsidP="006B6495">
      <w:pPr>
        <w:pStyle w:val="Heading2"/>
        <w:spacing w:before="240"/>
      </w:pPr>
      <w:r w:rsidRPr="001907C0">
        <w:t>Délai de traitement</w:t>
      </w:r>
    </w:p>
    <w:p w:rsidR="006B6495" w:rsidRPr="001907C0" w:rsidRDefault="006B6495" w:rsidP="006B6495">
      <w:pPr>
        <w:pStyle w:val="Heading4"/>
      </w:pPr>
      <w:r w:rsidRPr="001907C0">
        <w:t>Rapidité</w:t>
      </w:r>
    </w:p>
    <w:p w:rsidR="006B6495" w:rsidRDefault="006B6495" w:rsidP="006B6495">
      <w:pPr>
        <w:jc w:val="both"/>
        <w:rPr>
          <w:lang w:val="fr-CA"/>
        </w:rPr>
      </w:pPr>
      <w:r w:rsidRPr="00D43485">
        <w:rPr>
          <w:lang w:val="fr-CA"/>
        </w:rPr>
        <w:t>La figure 1 révèle que 72,5</w:t>
      </w:r>
      <w:r>
        <w:rPr>
          <w:lang w:val="fr-CA"/>
        </w:rPr>
        <w:t> </w:t>
      </w:r>
      <w:r w:rsidRPr="00D43485">
        <w:rPr>
          <w:lang w:val="fr-CA"/>
        </w:rPr>
        <w:t xml:space="preserve">% des </w:t>
      </w:r>
      <w:r>
        <w:rPr>
          <w:lang w:val="fr-CA"/>
        </w:rPr>
        <w:t>demandes ont été complétées en 30 </w:t>
      </w:r>
      <w:r w:rsidRPr="00D43485">
        <w:rPr>
          <w:lang w:val="fr-CA"/>
        </w:rPr>
        <w:t xml:space="preserve">jours ou moins, </w:t>
      </w:r>
      <w:r>
        <w:rPr>
          <w:lang w:val="fr-CA"/>
        </w:rPr>
        <w:t xml:space="preserve">soit une augmentation de 15,4 % par rapport à </w:t>
      </w:r>
      <w:r w:rsidRPr="00D43485">
        <w:rPr>
          <w:lang w:val="fr-CA"/>
        </w:rPr>
        <w:t>2013</w:t>
      </w:r>
      <w:r>
        <w:rPr>
          <w:lang w:val="fr-CA"/>
        </w:rPr>
        <w:t>-</w:t>
      </w:r>
      <w:r w:rsidRPr="00D43485">
        <w:rPr>
          <w:lang w:val="fr-CA"/>
        </w:rPr>
        <w:t xml:space="preserve">2014. Le nombre de demandes </w:t>
      </w:r>
      <w:r>
        <w:rPr>
          <w:lang w:val="fr-CA"/>
        </w:rPr>
        <w:t xml:space="preserve">complétées </w:t>
      </w:r>
      <w:r w:rsidRPr="00D43485">
        <w:rPr>
          <w:lang w:val="fr-CA"/>
        </w:rPr>
        <w:t>dans un délai de 3</w:t>
      </w:r>
      <w:r>
        <w:rPr>
          <w:lang w:val="fr-CA"/>
        </w:rPr>
        <w:t>1</w:t>
      </w:r>
      <w:r w:rsidRPr="00D43485">
        <w:rPr>
          <w:lang w:val="fr-CA"/>
        </w:rPr>
        <w:t xml:space="preserve"> à 60 jours a </w:t>
      </w:r>
      <w:r>
        <w:rPr>
          <w:lang w:val="fr-CA"/>
        </w:rPr>
        <w:t>diminué de 5,32 </w:t>
      </w:r>
      <w:r w:rsidRPr="00D43485">
        <w:rPr>
          <w:lang w:val="fr-CA"/>
        </w:rPr>
        <w:t xml:space="preserve">%, par rapport </w:t>
      </w:r>
      <w:r>
        <w:rPr>
          <w:lang w:val="fr-CA"/>
        </w:rPr>
        <w:t>à la période précédente. On observe aussi une diminution de 6,8 % quant au traitement des demandes dans un délai de 61 à 120 jours par rapport à la période précédente.</w:t>
      </w:r>
    </w:p>
    <w:p w:rsidR="006B6495" w:rsidRPr="00D43485" w:rsidRDefault="006B6495" w:rsidP="006B6495">
      <w:pPr>
        <w:jc w:val="both"/>
        <w:rPr>
          <w:lang w:val="fr-CA"/>
        </w:rPr>
      </w:pPr>
      <w:r>
        <w:rPr>
          <w:lang w:val="fr-CA"/>
        </w:rPr>
        <w:t>Au cours des 2 dernières périodes de référence, aucune demande n’a nécessité plus de 365 jours pour être complétée.</w:t>
      </w:r>
    </w:p>
    <w:p w:rsidR="006B6495" w:rsidRPr="001907C0" w:rsidRDefault="006B6495" w:rsidP="006B6495">
      <w:pPr>
        <w:spacing w:line="360" w:lineRule="auto"/>
        <w:rPr>
          <w:lang w:val="fr-CA"/>
        </w:rPr>
      </w:pPr>
      <w:r w:rsidRPr="001907C0">
        <w:rPr>
          <w:rStyle w:val="Heading3Char"/>
          <w:lang w:val="fr-FR"/>
        </w:rPr>
        <w:t>Figure 1 : D</w:t>
      </w:r>
      <w:r>
        <w:rPr>
          <w:rStyle w:val="Heading3Char"/>
          <w:lang w:val="fr-FR"/>
        </w:rPr>
        <w:t>élai de traitement des demandes</w:t>
      </w:r>
      <w:r w:rsidRPr="00EC2CC5">
        <w:rPr>
          <w:noProof/>
          <w:color w:val="FF0000"/>
          <w:sz w:val="24"/>
          <w:szCs w:val="24"/>
        </w:rPr>
        <w:drawing>
          <wp:inline distT="0" distB="0" distL="0" distR="0">
            <wp:extent cx="5939942" cy="3767328"/>
            <wp:effectExtent l="0" t="0" r="22860" b="24130"/>
            <wp:docPr id="8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6B6495" w:rsidRDefault="006B6495">
      <w:pPr>
        <w:rPr>
          <w:lang w:val="fr-CA"/>
        </w:rPr>
      </w:pPr>
      <w:r w:rsidRPr="00957E09">
        <w:rPr>
          <w:lang w:val="fr-FR"/>
        </w:rPr>
        <w:br w:type="page"/>
      </w:r>
    </w:p>
    <w:p w:rsidR="006B6495" w:rsidRPr="00D2368F" w:rsidRDefault="006B6495" w:rsidP="006B6495">
      <w:pPr>
        <w:pStyle w:val="Heading4"/>
      </w:pPr>
      <w:r w:rsidRPr="00A242C4">
        <w:lastRenderedPageBreak/>
        <w:t>Prorogations</w:t>
      </w:r>
    </w:p>
    <w:p w:rsidR="006B6495" w:rsidRDefault="006B6495" w:rsidP="006B6495">
      <w:pPr>
        <w:jc w:val="both"/>
        <w:rPr>
          <w:lang w:val="fr-CA"/>
        </w:rPr>
      </w:pPr>
      <w:r w:rsidRPr="006E14F7">
        <w:rPr>
          <w:lang w:val="fr-CA"/>
        </w:rPr>
        <w:t>La SRC a eu recours à 52 prorogations en 2014-2015 par rapport à 55 en 2013-2014. La figure 2 montre que 40,4 % des prorogations étaient de 30 jours ou moins. La part des prorogations de 31 à 60 jours a chuté de 60,0 % en 2013-2014 à 36,5 % en 2014-2015. Une diminution a également été observée quant au nombre de prorogations de 61 à 120 jours : 2 prorogations en 2013-2014, et aucune en 2014-2015. Cependant, on a constaté une augmentation de 23,1 % des prorogations de 365 jours ou plus.</w:t>
      </w:r>
    </w:p>
    <w:p w:rsidR="006B6495" w:rsidRPr="006E14F7" w:rsidRDefault="006B6495" w:rsidP="006B6495">
      <w:pPr>
        <w:jc w:val="both"/>
        <w:rPr>
          <w:lang w:val="fr-CA"/>
        </w:rPr>
      </w:pPr>
      <w:r w:rsidRPr="006E14F7">
        <w:rPr>
          <w:lang w:val="fr-CA"/>
        </w:rPr>
        <w:t>La raison la plus fréquemment invoquée pour demander une prorogation était l’entrave au fonctionnement de l’institution, représentant 50,0 % des prorogations en 2014-2015. Près de 19,2 % des demandes de prorogations étaient justifiées par des consultations et 30,8 %, par un avis à des tiers.</w:t>
      </w:r>
    </w:p>
    <w:p w:rsidR="006B6495" w:rsidRPr="001907C0" w:rsidRDefault="006B6495" w:rsidP="006B6495">
      <w:pPr>
        <w:rPr>
          <w:b/>
          <w:noProof/>
          <w:lang w:val="fr-CA"/>
        </w:rPr>
      </w:pPr>
      <w:r w:rsidRPr="005A700D">
        <w:rPr>
          <w:rStyle w:val="Heading3Char"/>
          <w:lang w:val="fr-FR"/>
        </w:rPr>
        <w:t>Figure 2 : Durée des prorogations</w:t>
      </w:r>
      <w:r w:rsidRPr="00EC2CC5">
        <w:rPr>
          <w:noProof/>
        </w:rPr>
        <w:drawing>
          <wp:inline distT="0" distB="0" distL="0" distR="0">
            <wp:extent cx="5939624" cy="4245997"/>
            <wp:effectExtent l="0" t="0" r="23495" b="21590"/>
            <wp:docPr id="8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6B6495" w:rsidRPr="001907C0" w:rsidRDefault="006B6495" w:rsidP="006B6495">
      <w:pPr>
        <w:pStyle w:val="Heading4"/>
      </w:pPr>
      <w:r w:rsidRPr="001907C0">
        <w:t>Présomptions de refus</w:t>
      </w:r>
    </w:p>
    <w:p w:rsidR="006B6495" w:rsidRPr="001907C0" w:rsidRDefault="006B6495" w:rsidP="006B6495">
      <w:pPr>
        <w:rPr>
          <w:lang w:val="fr-CA"/>
        </w:rPr>
      </w:pPr>
      <w:r w:rsidRPr="00992C94">
        <w:rPr>
          <w:lang w:val="fr-CA"/>
        </w:rPr>
        <w:t>En 2014</w:t>
      </w:r>
      <w:r w:rsidRPr="00992C94">
        <w:rPr>
          <w:lang w:val="fr-CA"/>
        </w:rPr>
        <w:noBreakHyphen/>
        <w:t>2015, la SRC n’a rapporté aucune demande fermée après le délai réglementaire</w:t>
      </w:r>
      <w:r>
        <w:rPr>
          <w:rStyle w:val="FootnoteReference"/>
          <w:lang w:val="fr-CA"/>
        </w:rPr>
        <w:footnoteReference w:id="95"/>
      </w:r>
      <w:r w:rsidRPr="00992C94">
        <w:rPr>
          <w:lang w:val="fr-CA"/>
        </w:rPr>
        <w:t>. Ce ré</w:t>
      </w:r>
      <w:r>
        <w:rPr>
          <w:lang w:val="fr-CA"/>
        </w:rPr>
        <w:t>sultat procure à la SRC une note de « A </w:t>
      </w:r>
      <w:r w:rsidRPr="00992C94">
        <w:rPr>
          <w:lang w:val="fr-CA"/>
        </w:rPr>
        <w:t>»</w:t>
      </w:r>
      <w:r w:rsidRPr="00992C94">
        <w:rPr>
          <w:rStyle w:val="FootnoteReference"/>
          <w:lang w:val="fr-CA"/>
        </w:rPr>
        <w:footnoteReference w:id="96"/>
      </w:r>
      <w:r>
        <w:rPr>
          <w:lang w:val="fr-CA"/>
        </w:rPr>
        <w:t>.</w:t>
      </w:r>
    </w:p>
    <w:p w:rsidR="006B6495" w:rsidRPr="001907C0" w:rsidRDefault="006B6495" w:rsidP="006B6495">
      <w:pPr>
        <w:pStyle w:val="Heading2"/>
      </w:pPr>
      <w:r w:rsidRPr="001907C0">
        <w:lastRenderedPageBreak/>
        <w:t>Divulgation</w:t>
      </w:r>
    </w:p>
    <w:p w:rsidR="006B6495" w:rsidRPr="001907C0" w:rsidRDefault="006B6495" w:rsidP="006B6495">
      <w:pPr>
        <w:pStyle w:val="Heading4"/>
      </w:pPr>
      <w:r w:rsidRPr="001907C0">
        <w:t>Pourcentage de demandes pour lesquelles l’information a été divulguée</w:t>
      </w:r>
    </w:p>
    <w:p w:rsidR="006B6495" w:rsidRPr="0028746A" w:rsidRDefault="006B6495" w:rsidP="006B6495">
      <w:pPr>
        <w:jc w:val="both"/>
        <w:rPr>
          <w:lang w:val="fr-CA"/>
        </w:rPr>
      </w:pPr>
      <w:r w:rsidRPr="00D3622B">
        <w:rPr>
          <w:lang w:val="fr-CA"/>
        </w:rPr>
        <w:t>En 2014</w:t>
      </w:r>
      <w:r>
        <w:rPr>
          <w:lang w:val="fr-CA"/>
        </w:rPr>
        <w:t>-</w:t>
      </w:r>
      <w:r w:rsidRPr="00D3622B">
        <w:rPr>
          <w:lang w:val="fr-CA"/>
        </w:rPr>
        <w:t xml:space="preserve">2015, </w:t>
      </w:r>
      <w:r>
        <w:rPr>
          <w:lang w:val="fr-CA"/>
        </w:rPr>
        <w:t>12,8 </w:t>
      </w:r>
      <w:r w:rsidRPr="00D3622B">
        <w:rPr>
          <w:lang w:val="fr-CA"/>
        </w:rPr>
        <w:t xml:space="preserve">% des demandes </w:t>
      </w:r>
      <w:r>
        <w:rPr>
          <w:lang w:val="fr-CA"/>
        </w:rPr>
        <w:t>ont fait l’objet d’une divulgation complète</w:t>
      </w:r>
      <w:r w:rsidRPr="00D3622B">
        <w:rPr>
          <w:lang w:val="fr-CA"/>
        </w:rPr>
        <w:t xml:space="preserve">, ce qui représente le taux de divulgation le plus élevé depuis 2012 (voir figure </w:t>
      </w:r>
      <w:r>
        <w:rPr>
          <w:lang w:val="fr-CA"/>
        </w:rPr>
        <w:t>3</w:t>
      </w:r>
      <w:r w:rsidRPr="00D3622B">
        <w:rPr>
          <w:lang w:val="fr-CA"/>
        </w:rPr>
        <w:t xml:space="preserve">). </w:t>
      </w:r>
      <w:r>
        <w:rPr>
          <w:lang w:val="fr-CA"/>
        </w:rPr>
        <w:t xml:space="preserve">La figure 4 montre également que le taux des demandes ayant fait l’objet d’une divulgation partielle était de 51,7 % en </w:t>
      </w:r>
      <w:r w:rsidRPr="0028746A">
        <w:rPr>
          <w:lang w:val="fr-CA"/>
        </w:rPr>
        <w:t>2014</w:t>
      </w:r>
      <w:r>
        <w:rPr>
          <w:lang w:val="fr-CA"/>
        </w:rPr>
        <w:t>-</w:t>
      </w:r>
      <w:r w:rsidRPr="0028746A">
        <w:rPr>
          <w:lang w:val="fr-CA"/>
        </w:rPr>
        <w:t xml:space="preserve">2015, </w:t>
      </w:r>
      <w:r>
        <w:rPr>
          <w:lang w:val="fr-CA"/>
        </w:rPr>
        <w:t>ce qui représente une diminution de 14,6 % par rapport à la période précédente.</w:t>
      </w:r>
    </w:p>
    <w:p w:rsidR="006B6495" w:rsidRPr="0028746A" w:rsidRDefault="006B6495" w:rsidP="006B6495">
      <w:pPr>
        <w:spacing w:line="240" w:lineRule="auto"/>
        <w:rPr>
          <w:lang w:val="fr-CA"/>
        </w:rPr>
      </w:pPr>
      <w:r w:rsidRPr="005A700D">
        <w:rPr>
          <w:rStyle w:val="Heading3Char"/>
          <w:lang w:val="fr-FR"/>
        </w:rPr>
        <w:t>Figure 3 : Niveau de divulgation</w:t>
      </w:r>
      <w:r w:rsidRPr="00EC2CC5">
        <w:rPr>
          <w:noProof/>
        </w:rPr>
        <w:drawing>
          <wp:inline distT="0" distB="0" distL="0" distR="0">
            <wp:extent cx="5939624" cy="3856383"/>
            <wp:effectExtent l="0" t="0" r="23495" b="10795"/>
            <wp:docPr id="8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6B6495" w:rsidRPr="00D2368F" w:rsidRDefault="006B6495" w:rsidP="006B6495">
      <w:pPr>
        <w:pStyle w:val="Heading4"/>
      </w:pPr>
      <w:r w:rsidRPr="00A242C4">
        <w:t>Exceptions</w:t>
      </w:r>
    </w:p>
    <w:p w:rsidR="006B6495" w:rsidRPr="00215439" w:rsidRDefault="006B6495" w:rsidP="006B6495">
      <w:pPr>
        <w:jc w:val="both"/>
        <w:rPr>
          <w:lang w:val="fr-CA"/>
        </w:rPr>
      </w:pPr>
      <w:r w:rsidRPr="0028746A">
        <w:rPr>
          <w:lang w:val="fr-CA"/>
        </w:rPr>
        <w:t xml:space="preserve">Le nombre </w:t>
      </w:r>
      <w:r>
        <w:rPr>
          <w:lang w:val="fr-CA"/>
        </w:rPr>
        <w:t xml:space="preserve">moyen d’exceptions par </w:t>
      </w:r>
      <w:r w:rsidRPr="00215439">
        <w:rPr>
          <w:lang w:val="fr-CA"/>
        </w:rPr>
        <w:t>demande complétée a diminué de 1,97 en 2013</w:t>
      </w:r>
      <w:r>
        <w:rPr>
          <w:lang w:val="fr-CA"/>
        </w:rPr>
        <w:t>-</w:t>
      </w:r>
      <w:r w:rsidRPr="00215439">
        <w:rPr>
          <w:lang w:val="fr-CA"/>
        </w:rPr>
        <w:t>2014 à 1,46 en 2014</w:t>
      </w:r>
      <w:r>
        <w:rPr>
          <w:lang w:val="fr-CA"/>
        </w:rPr>
        <w:t>-</w:t>
      </w:r>
      <w:r w:rsidRPr="00215439">
        <w:rPr>
          <w:lang w:val="fr-CA"/>
        </w:rPr>
        <w:t>2015 (voir tableau 2)</w:t>
      </w:r>
      <w:r>
        <w:rPr>
          <w:lang w:val="fr-CA"/>
        </w:rPr>
        <w:t>.</w:t>
      </w:r>
    </w:p>
    <w:p w:rsidR="006B6495" w:rsidRPr="006E14F7" w:rsidRDefault="006B6495" w:rsidP="006B6495">
      <w:pPr>
        <w:jc w:val="both"/>
        <w:rPr>
          <w:lang w:val="fr-CA"/>
        </w:rPr>
      </w:pPr>
      <w:r w:rsidRPr="006E14F7">
        <w:rPr>
          <w:lang w:val="fr-CA"/>
        </w:rPr>
        <w:t>Les exceptions les plus fréquemment invoquées en 2014-2015 étaient l’article 18 (les intérêts économiques du Canada) (28,9 %), l’article 19 (les renseignements personnels) (27,5 %), suivies de l’article 20 (les renseignements de tiers) (16,5 %) et l’article 21 (les activités du gouvernement) (16,1 %).</w:t>
      </w:r>
    </w:p>
    <w:p w:rsidR="006B6495" w:rsidRDefault="006B6495">
      <w:pPr>
        <w:rPr>
          <w:b/>
          <w:lang w:val="fr-CA"/>
        </w:rPr>
      </w:pPr>
      <w:r>
        <w:rPr>
          <w:lang w:val="fr-CA"/>
        </w:rPr>
        <w:br w:type="page"/>
      </w:r>
    </w:p>
    <w:p w:rsidR="006B6495" w:rsidRPr="00AD6358" w:rsidRDefault="006B6495" w:rsidP="006B6495">
      <w:pPr>
        <w:pStyle w:val="Heading3"/>
        <w:rPr>
          <w:lang w:val="fr-CA"/>
        </w:rPr>
      </w:pPr>
      <w:r w:rsidRPr="00A242C4">
        <w:rPr>
          <w:lang w:val="fr-CA"/>
        </w:rPr>
        <w:lastRenderedPageBreak/>
        <w:t>Tableau 2</w:t>
      </w:r>
      <w:r>
        <w:rPr>
          <w:lang w:val="fr-CA"/>
        </w:rPr>
        <w:t> : Exceptions</w:t>
      </w:r>
    </w:p>
    <w:tbl>
      <w:tblPr>
        <w:tblW w:w="9584" w:type="dxa"/>
        <w:tblInd w:w="98" w:type="dxa"/>
        <w:tblLook w:val="04A0"/>
      </w:tblPr>
      <w:tblGrid>
        <w:gridCol w:w="5074"/>
        <w:gridCol w:w="1486"/>
        <w:gridCol w:w="1771"/>
        <w:gridCol w:w="1253"/>
      </w:tblGrid>
      <w:tr w:rsidR="006B6495" w:rsidTr="006B6495">
        <w:trPr>
          <w:trHeight w:val="262"/>
        </w:trPr>
        <w:tc>
          <w:tcPr>
            <w:tcW w:w="5074" w:type="dxa"/>
            <w:tcBorders>
              <w:top w:val="single" w:sz="8" w:space="0" w:color="auto"/>
              <w:left w:val="single" w:sz="8" w:space="0" w:color="auto"/>
              <w:bottom w:val="single" w:sz="8" w:space="0" w:color="auto"/>
              <w:right w:val="nil"/>
            </w:tcBorders>
            <w:shd w:val="clear" w:color="000000" w:fill="DBE5F1"/>
            <w:noWrap/>
            <w:vAlign w:val="bottom"/>
            <w:hideMark/>
          </w:tcPr>
          <w:p w:rsidR="006B6495" w:rsidRPr="00612781" w:rsidRDefault="006B6495" w:rsidP="006B6495">
            <w:pPr>
              <w:spacing w:after="0" w:line="240" w:lineRule="auto"/>
              <w:rPr>
                <w:rFonts w:ascii="Calibri" w:eastAsia="Times New Roman" w:hAnsi="Calibri" w:cs="Times New Roman"/>
                <w:color w:val="000000"/>
              </w:rPr>
            </w:pPr>
            <w:r w:rsidRPr="00A242C4">
              <w:rPr>
                <w:rFonts w:ascii="Calibri" w:eastAsia="Times New Roman" w:hAnsi="Calibri" w:cs="Times New Roman"/>
                <w:color w:val="000000"/>
              </w:rPr>
              <w:t>Exceptions</w:t>
            </w:r>
            <w:r w:rsidRPr="00612781">
              <w:rPr>
                <w:rFonts w:ascii="Calibri" w:eastAsia="Times New Roman" w:hAnsi="Calibri" w:cs="Times New Roman"/>
                <w:color w:val="000000"/>
              </w:rPr>
              <w:t xml:space="preserve"> </w:t>
            </w:r>
          </w:p>
        </w:tc>
        <w:tc>
          <w:tcPr>
            <w:tcW w:w="1486" w:type="dxa"/>
            <w:tcBorders>
              <w:top w:val="single" w:sz="8" w:space="0" w:color="auto"/>
              <w:left w:val="nil"/>
              <w:bottom w:val="single" w:sz="8" w:space="0" w:color="auto"/>
              <w:right w:val="nil"/>
            </w:tcBorders>
            <w:shd w:val="clear" w:color="000000" w:fill="DBE5F1"/>
            <w:noWrap/>
            <w:vAlign w:val="bottom"/>
            <w:hideMark/>
          </w:tcPr>
          <w:p w:rsidR="006B6495" w:rsidRPr="00612781" w:rsidRDefault="006B6495" w:rsidP="006B6495">
            <w:pPr>
              <w:spacing w:after="0" w:line="240" w:lineRule="auto"/>
              <w:jc w:val="center"/>
              <w:rPr>
                <w:rFonts w:ascii="Calibri" w:eastAsia="Times New Roman" w:hAnsi="Calibri" w:cs="Times New Roman"/>
                <w:b/>
                <w:bCs/>
                <w:color w:val="000000"/>
              </w:rPr>
            </w:pPr>
            <w:r w:rsidRPr="00612781">
              <w:rPr>
                <w:rFonts w:ascii="Calibri" w:eastAsia="Times New Roman" w:hAnsi="Calibri" w:cs="Times New Roman"/>
                <w:b/>
                <w:bCs/>
                <w:color w:val="000000"/>
              </w:rPr>
              <w:t>2012-2013</w:t>
            </w:r>
          </w:p>
        </w:tc>
        <w:tc>
          <w:tcPr>
            <w:tcW w:w="1771" w:type="dxa"/>
            <w:tcBorders>
              <w:top w:val="single" w:sz="8" w:space="0" w:color="auto"/>
              <w:left w:val="nil"/>
              <w:bottom w:val="single" w:sz="8" w:space="0" w:color="auto"/>
              <w:right w:val="nil"/>
            </w:tcBorders>
            <w:shd w:val="clear" w:color="000000" w:fill="DBE5F1"/>
            <w:noWrap/>
            <w:vAlign w:val="bottom"/>
            <w:hideMark/>
          </w:tcPr>
          <w:p w:rsidR="006B6495" w:rsidRPr="00612781" w:rsidRDefault="006B6495" w:rsidP="006B6495">
            <w:pPr>
              <w:spacing w:after="0" w:line="240" w:lineRule="auto"/>
              <w:jc w:val="center"/>
              <w:rPr>
                <w:rFonts w:ascii="Calibri" w:eastAsia="Times New Roman" w:hAnsi="Calibri" w:cs="Times New Roman"/>
                <w:b/>
                <w:bCs/>
                <w:color w:val="000000"/>
              </w:rPr>
            </w:pPr>
            <w:r w:rsidRPr="00612781">
              <w:rPr>
                <w:rFonts w:ascii="Calibri" w:eastAsia="Times New Roman" w:hAnsi="Calibri" w:cs="Times New Roman"/>
                <w:b/>
                <w:bCs/>
                <w:color w:val="000000"/>
              </w:rPr>
              <w:t>2013-2014</w:t>
            </w:r>
          </w:p>
        </w:tc>
        <w:tc>
          <w:tcPr>
            <w:tcW w:w="1253" w:type="dxa"/>
            <w:tcBorders>
              <w:top w:val="single" w:sz="8" w:space="0" w:color="auto"/>
              <w:left w:val="nil"/>
              <w:bottom w:val="single" w:sz="8" w:space="0" w:color="auto"/>
              <w:right w:val="single" w:sz="8" w:space="0" w:color="auto"/>
            </w:tcBorders>
            <w:shd w:val="clear" w:color="000000" w:fill="DBE5F1"/>
            <w:noWrap/>
            <w:vAlign w:val="bottom"/>
            <w:hideMark/>
          </w:tcPr>
          <w:p w:rsidR="006B6495" w:rsidRPr="00612781" w:rsidRDefault="006B6495" w:rsidP="006B6495">
            <w:pPr>
              <w:spacing w:after="0" w:line="240" w:lineRule="auto"/>
              <w:jc w:val="center"/>
              <w:rPr>
                <w:rFonts w:ascii="Calibri" w:eastAsia="Times New Roman" w:hAnsi="Calibri" w:cs="Times New Roman"/>
                <w:b/>
                <w:bCs/>
                <w:color w:val="000000"/>
              </w:rPr>
            </w:pPr>
            <w:r w:rsidRPr="00612781">
              <w:rPr>
                <w:rFonts w:ascii="Calibri" w:eastAsia="Times New Roman" w:hAnsi="Calibri" w:cs="Times New Roman"/>
                <w:b/>
                <w:bCs/>
                <w:color w:val="000000"/>
              </w:rPr>
              <w:t>2014-2015</w:t>
            </w:r>
          </w:p>
        </w:tc>
      </w:tr>
      <w:tr w:rsidR="006B6495" w:rsidTr="006B6495">
        <w:trPr>
          <w:trHeight w:val="249"/>
        </w:trPr>
        <w:tc>
          <w:tcPr>
            <w:tcW w:w="5074" w:type="dxa"/>
            <w:tcBorders>
              <w:top w:val="nil"/>
              <w:left w:val="single" w:sz="8" w:space="0" w:color="auto"/>
              <w:bottom w:val="nil"/>
              <w:right w:val="nil"/>
            </w:tcBorders>
            <w:shd w:val="clear" w:color="auto" w:fill="auto"/>
            <w:noWrap/>
            <w:vAlign w:val="bottom"/>
            <w:hideMark/>
          </w:tcPr>
          <w:p w:rsidR="006B6495" w:rsidRPr="00612781" w:rsidRDefault="006B6495" w:rsidP="006B6495">
            <w:pPr>
              <w:spacing w:after="0" w:line="240" w:lineRule="auto"/>
              <w:rPr>
                <w:rFonts w:ascii="Calibri" w:eastAsia="Times New Roman" w:hAnsi="Calibri" w:cs="Times New Roman"/>
                <w:color w:val="000000"/>
              </w:rPr>
            </w:pPr>
            <w:proofErr w:type="spellStart"/>
            <w:r w:rsidRPr="00A242C4">
              <w:rPr>
                <w:rFonts w:ascii="Calibri" w:eastAsia="Times New Roman" w:hAnsi="Calibri" w:cs="Times New Roman"/>
                <w:color w:val="000000"/>
              </w:rPr>
              <w:t>Nombre</w:t>
            </w:r>
            <w:proofErr w:type="spellEnd"/>
            <w:r w:rsidRPr="00A242C4">
              <w:rPr>
                <w:rFonts w:ascii="Calibri" w:eastAsia="Times New Roman" w:hAnsi="Calibri" w:cs="Times New Roman"/>
                <w:color w:val="000000"/>
              </w:rPr>
              <w:t xml:space="preserve"> total</w:t>
            </w:r>
            <w:r w:rsidRPr="00612781">
              <w:rPr>
                <w:rFonts w:ascii="Calibri" w:eastAsia="Times New Roman" w:hAnsi="Calibri" w:cs="Times New Roman"/>
                <w:color w:val="000000"/>
              </w:rPr>
              <w:t xml:space="preserve"> </w:t>
            </w:r>
            <w:proofErr w:type="spellStart"/>
            <w:r>
              <w:rPr>
                <w:rFonts w:ascii="Calibri" w:eastAsia="Times New Roman" w:hAnsi="Calibri" w:cs="Times New Roman"/>
                <w:color w:val="000000"/>
              </w:rPr>
              <w:t>d’exceptions</w:t>
            </w:r>
            <w:proofErr w:type="spellEnd"/>
          </w:p>
        </w:tc>
        <w:tc>
          <w:tcPr>
            <w:tcW w:w="1486" w:type="dxa"/>
            <w:tcBorders>
              <w:top w:val="nil"/>
              <w:left w:val="nil"/>
              <w:bottom w:val="nil"/>
              <w:right w:val="nil"/>
            </w:tcBorders>
            <w:shd w:val="clear" w:color="auto" w:fill="auto"/>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246</w:t>
            </w:r>
          </w:p>
        </w:tc>
        <w:tc>
          <w:tcPr>
            <w:tcW w:w="1771" w:type="dxa"/>
            <w:tcBorders>
              <w:top w:val="nil"/>
              <w:left w:val="nil"/>
              <w:bottom w:val="nil"/>
              <w:right w:val="nil"/>
            </w:tcBorders>
            <w:shd w:val="clear" w:color="auto" w:fill="auto"/>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304</w:t>
            </w:r>
          </w:p>
        </w:tc>
        <w:tc>
          <w:tcPr>
            <w:tcW w:w="1253" w:type="dxa"/>
            <w:tcBorders>
              <w:top w:val="nil"/>
              <w:left w:val="nil"/>
              <w:bottom w:val="nil"/>
              <w:right w:val="single" w:sz="8" w:space="0" w:color="auto"/>
            </w:tcBorders>
            <w:shd w:val="clear" w:color="auto" w:fill="auto"/>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218</w:t>
            </w:r>
          </w:p>
        </w:tc>
      </w:tr>
      <w:tr w:rsidR="006B6495" w:rsidTr="006B6495">
        <w:trPr>
          <w:trHeight w:val="249"/>
        </w:trPr>
        <w:tc>
          <w:tcPr>
            <w:tcW w:w="5074" w:type="dxa"/>
            <w:tcBorders>
              <w:top w:val="nil"/>
              <w:left w:val="single" w:sz="8" w:space="0" w:color="auto"/>
              <w:bottom w:val="nil"/>
              <w:right w:val="nil"/>
            </w:tcBorders>
            <w:shd w:val="clear" w:color="auto" w:fill="auto"/>
            <w:noWrap/>
            <w:vAlign w:val="bottom"/>
            <w:hideMark/>
          </w:tcPr>
          <w:p w:rsidR="006B6495" w:rsidRPr="00AD6358" w:rsidRDefault="006B6495" w:rsidP="006B6495">
            <w:pPr>
              <w:spacing w:after="0" w:line="240" w:lineRule="auto"/>
              <w:rPr>
                <w:rFonts w:ascii="Calibri" w:eastAsia="Times New Roman" w:hAnsi="Calibri" w:cs="Times New Roman"/>
                <w:color w:val="000000"/>
                <w:lang w:val="fr-CA"/>
              </w:rPr>
            </w:pPr>
            <w:r w:rsidRPr="00A242C4">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486" w:type="dxa"/>
            <w:tcBorders>
              <w:top w:val="nil"/>
              <w:left w:val="nil"/>
              <w:bottom w:val="nil"/>
              <w:right w:val="nil"/>
            </w:tcBorders>
            <w:shd w:val="clear" w:color="auto" w:fill="auto"/>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152</w:t>
            </w:r>
          </w:p>
        </w:tc>
        <w:tc>
          <w:tcPr>
            <w:tcW w:w="1771" w:type="dxa"/>
            <w:tcBorders>
              <w:top w:val="nil"/>
              <w:left w:val="nil"/>
              <w:bottom w:val="nil"/>
              <w:right w:val="nil"/>
            </w:tcBorders>
            <w:shd w:val="clear" w:color="auto" w:fill="auto"/>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154</w:t>
            </w:r>
          </w:p>
        </w:tc>
        <w:tc>
          <w:tcPr>
            <w:tcW w:w="1253" w:type="dxa"/>
            <w:tcBorders>
              <w:top w:val="nil"/>
              <w:left w:val="nil"/>
              <w:bottom w:val="nil"/>
              <w:right w:val="single" w:sz="8" w:space="0" w:color="auto"/>
            </w:tcBorders>
            <w:shd w:val="clear" w:color="auto" w:fill="auto"/>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149</w:t>
            </w:r>
          </w:p>
        </w:tc>
      </w:tr>
      <w:tr w:rsidR="006B6495" w:rsidTr="006B6495">
        <w:trPr>
          <w:trHeight w:val="262"/>
        </w:trPr>
        <w:tc>
          <w:tcPr>
            <w:tcW w:w="5074" w:type="dxa"/>
            <w:tcBorders>
              <w:top w:val="nil"/>
              <w:left w:val="single" w:sz="8" w:space="0" w:color="auto"/>
              <w:bottom w:val="single" w:sz="8" w:space="0" w:color="auto"/>
              <w:right w:val="nil"/>
            </w:tcBorders>
            <w:shd w:val="clear" w:color="000000" w:fill="DBE5F1"/>
            <w:noWrap/>
            <w:vAlign w:val="bottom"/>
            <w:hideMark/>
          </w:tcPr>
          <w:p w:rsidR="006B6495" w:rsidRPr="00AD6358" w:rsidRDefault="006B6495" w:rsidP="006B6495">
            <w:pPr>
              <w:spacing w:after="0" w:line="240" w:lineRule="auto"/>
              <w:rPr>
                <w:rFonts w:ascii="Calibri" w:eastAsia="Times New Roman" w:hAnsi="Calibri" w:cs="Times New Roman"/>
                <w:color w:val="000000"/>
                <w:lang w:val="fr-CA"/>
              </w:rPr>
            </w:pPr>
            <w:r w:rsidRPr="00A242C4">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486" w:type="dxa"/>
            <w:tcBorders>
              <w:top w:val="nil"/>
              <w:left w:val="nil"/>
              <w:bottom w:val="single" w:sz="8" w:space="0" w:color="auto"/>
              <w:right w:val="nil"/>
            </w:tcBorders>
            <w:shd w:val="clear" w:color="000000" w:fill="DBE5F1"/>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w:t>
            </w:r>
            <w:r>
              <w:rPr>
                <w:rFonts w:ascii="Calibri" w:eastAsia="Times New Roman" w:hAnsi="Calibri" w:cs="Times New Roman"/>
                <w:color w:val="000000"/>
              </w:rPr>
              <w:t>,</w:t>
            </w:r>
            <w:r w:rsidRPr="00612781">
              <w:rPr>
                <w:rFonts w:ascii="Calibri" w:eastAsia="Times New Roman" w:hAnsi="Calibri" w:cs="Times New Roman"/>
                <w:color w:val="000000"/>
              </w:rPr>
              <w:t>6</w:t>
            </w:r>
            <w:r>
              <w:rPr>
                <w:rFonts w:ascii="Calibri" w:eastAsia="Times New Roman" w:hAnsi="Calibri" w:cs="Times New Roman"/>
                <w:color w:val="000000"/>
              </w:rPr>
              <w:t>2</w:t>
            </w:r>
          </w:p>
        </w:tc>
        <w:tc>
          <w:tcPr>
            <w:tcW w:w="1771" w:type="dxa"/>
            <w:tcBorders>
              <w:top w:val="nil"/>
              <w:left w:val="nil"/>
              <w:bottom w:val="single" w:sz="8" w:space="0" w:color="auto"/>
              <w:right w:val="nil"/>
            </w:tcBorders>
            <w:shd w:val="clear" w:color="000000" w:fill="DBE5F1"/>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1,97</w:t>
            </w:r>
          </w:p>
        </w:tc>
        <w:tc>
          <w:tcPr>
            <w:tcW w:w="1253" w:type="dxa"/>
            <w:tcBorders>
              <w:top w:val="nil"/>
              <w:left w:val="nil"/>
              <w:bottom w:val="single" w:sz="8" w:space="0" w:color="auto"/>
              <w:right w:val="single" w:sz="8" w:space="0" w:color="auto"/>
            </w:tcBorders>
            <w:shd w:val="clear" w:color="000000" w:fill="DBE5F1"/>
            <w:noWrap/>
            <w:vAlign w:val="bottom"/>
            <w:hideMark/>
          </w:tcPr>
          <w:p w:rsidR="006B6495" w:rsidRPr="00612781" w:rsidRDefault="006B6495" w:rsidP="006B6495">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w:t>
            </w:r>
            <w:r>
              <w:rPr>
                <w:rFonts w:ascii="Calibri" w:eastAsia="Times New Roman" w:hAnsi="Calibri" w:cs="Times New Roman"/>
                <w:color w:val="000000"/>
              </w:rPr>
              <w:t>,46</w:t>
            </w:r>
          </w:p>
        </w:tc>
      </w:tr>
    </w:tbl>
    <w:p w:rsidR="006B6495" w:rsidRPr="001907C0" w:rsidRDefault="006B6495" w:rsidP="006B6495">
      <w:pPr>
        <w:pStyle w:val="Heading2"/>
        <w:spacing w:before="240"/>
      </w:pPr>
      <w:r w:rsidRPr="001907C0">
        <w:t>Plaintes au Commissariat à l’information</w:t>
      </w:r>
    </w:p>
    <w:p w:rsidR="006B6495" w:rsidRDefault="006B6495" w:rsidP="006B6495">
      <w:pPr>
        <w:jc w:val="both"/>
        <w:rPr>
          <w:lang w:val="fr-CA"/>
        </w:rPr>
      </w:pPr>
      <w:r w:rsidRPr="0028746A">
        <w:rPr>
          <w:lang w:val="fr-CA"/>
        </w:rPr>
        <w:t>En 2014</w:t>
      </w:r>
      <w:r>
        <w:rPr>
          <w:lang w:val="fr-CA"/>
        </w:rPr>
        <w:t>-2015, le Commissariat à l’information</w:t>
      </w:r>
      <w:r w:rsidRPr="0028746A">
        <w:rPr>
          <w:lang w:val="fr-CA"/>
        </w:rPr>
        <w:t xml:space="preserve"> a </w:t>
      </w:r>
      <w:r>
        <w:rPr>
          <w:lang w:val="fr-CA"/>
        </w:rPr>
        <w:t>reçu 37 plaintes</w:t>
      </w:r>
      <w:r>
        <w:rPr>
          <w:rStyle w:val="FootnoteReference"/>
          <w:lang w:val="fr-CA"/>
        </w:rPr>
        <w:footnoteReference w:id="97"/>
      </w:r>
      <w:r>
        <w:rPr>
          <w:lang w:val="fr-CA"/>
        </w:rPr>
        <w:t xml:space="preserve"> concernant la SRC contre </w:t>
      </w:r>
      <w:r w:rsidRPr="0028746A">
        <w:rPr>
          <w:lang w:val="fr-CA"/>
        </w:rPr>
        <w:t>61 en 2013</w:t>
      </w:r>
      <w:r>
        <w:rPr>
          <w:lang w:val="fr-CA"/>
        </w:rPr>
        <w:t>-2014. L</w:t>
      </w:r>
      <w:r w:rsidRPr="005A28E6">
        <w:rPr>
          <w:lang w:val="fr-CA"/>
        </w:rPr>
        <w:t xml:space="preserve">a majeure partie des plaintes reçues </w:t>
      </w:r>
      <w:r>
        <w:rPr>
          <w:lang w:val="fr-CA"/>
        </w:rPr>
        <w:t>étaient de nature administrative (26 plaintes administratives et 11 </w:t>
      </w:r>
      <w:r w:rsidRPr="005A28E6">
        <w:rPr>
          <w:lang w:val="fr-CA"/>
        </w:rPr>
        <w:t>plaintes pour refus en 2014</w:t>
      </w:r>
      <w:r>
        <w:rPr>
          <w:lang w:val="fr-CA"/>
        </w:rPr>
        <w:t>-2015 par rapport</w:t>
      </w:r>
      <w:r w:rsidRPr="005A28E6">
        <w:rPr>
          <w:lang w:val="fr-CA"/>
        </w:rPr>
        <w:t xml:space="preserve"> à</w:t>
      </w:r>
      <w:r>
        <w:rPr>
          <w:lang w:val="fr-CA"/>
        </w:rPr>
        <w:t xml:space="preserve"> 6 plaintes administratives et 55 </w:t>
      </w:r>
      <w:r w:rsidRPr="005A28E6">
        <w:rPr>
          <w:lang w:val="fr-CA"/>
        </w:rPr>
        <w:t xml:space="preserve">plaintes pour refus </w:t>
      </w:r>
      <w:r>
        <w:rPr>
          <w:lang w:val="fr-CA"/>
        </w:rPr>
        <w:t xml:space="preserve">en </w:t>
      </w:r>
      <w:r w:rsidRPr="005A28E6">
        <w:rPr>
          <w:lang w:val="fr-CA"/>
        </w:rPr>
        <w:t>2013</w:t>
      </w:r>
      <w:r>
        <w:rPr>
          <w:lang w:val="fr-CA"/>
        </w:rPr>
        <w:t>-2014).</w:t>
      </w:r>
    </w:p>
    <w:p w:rsidR="006B6495" w:rsidRPr="005A28E6" w:rsidRDefault="006B6495" w:rsidP="006B6495">
      <w:pPr>
        <w:jc w:val="both"/>
        <w:rPr>
          <w:lang w:val="fr-CA"/>
        </w:rPr>
      </w:pPr>
      <w:r>
        <w:rPr>
          <w:lang w:val="fr-CA"/>
        </w:rPr>
        <w:t>Des plaintes reçues en 2014-2015, 14 des plaintes étaient fondées et ont été réglées, 13 étaient non fondées, 3 plaintes ont été abandonnées, une a été réglée avec le consentement des parties et 6 étaient encore en suspens.</w:t>
      </w:r>
    </w:p>
    <w:p w:rsidR="006B6495" w:rsidRDefault="006B6495">
      <w:pPr>
        <w:rPr>
          <w:lang w:val="fr-CA"/>
        </w:rPr>
      </w:pPr>
      <w:r>
        <w:rPr>
          <w:lang w:val="fr-CA"/>
        </w:rPr>
        <w:br w:type="page"/>
      </w:r>
    </w:p>
    <w:p w:rsidR="006B6495" w:rsidRPr="00B54022" w:rsidRDefault="006B6495" w:rsidP="006B6495">
      <w:pPr>
        <w:pStyle w:val="Heading1"/>
      </w:pPr>
      <w:r w:rsidRPr="00B54022">
        <w:lastRenderedPageBreak/>
        <w:t>Société canadienne des postes</w:t>
      </w:r>
    </w:p>
    <w:p w:rsidR="006B6495" w:rsidRPr="00B54022" w:rsidRDefault="006B6495" w:rsidP="006B6495">
      <w:pPr>
        <w:jc w:val="both"/>
        <w:rPr>
          <w:lang w:val="fr-CA"/>
        </w:rPr>
      </w:pPr>
      <w:r w:rsidRPr="00B54022">
        <w:rPr>
          <w:rStyle w:val="Heading2Char"/>
        </w:rPr>
        <w:t>Rendement global</w:t>
      </w:r>
      <w:r w:rsidRPr="00A0570C">
        <w:rPr>
          <w:rStyle w:val="FootnoteReference"/>
          <w:b/>
          <w:lang w:val="fr-CA"/>
        </w:rPr>
        <w:footnoteReference w:id="98"/>
      </w:r>
    </w:p>
    <w:p w:rsidR="006B6495" w:rsidRDefault="006B6495" w:rsidP="006B6495">
      <w:pPr>
        <w:jc w:val="both"/>
        <w:rPr>
          <w:lang w:val="fr-FR"/>
        </w:rPr>
      </w:pPr>
      <w:r>
        <w:rPr>
          <w:lang w:val="fr-CA"/>
        </w:rPr>
        <w:t>Bien que la</w:t>
      </w:r>
      <w:r w:rsidRPr="00A0570C">
        <w:rPr>
          <w:lang w:val="fr-CA"/>
        </w:rPr>
        <w:t xml:space="preserve"> Société canadi</w:t>
      </w:r>
      <w:r>
        <w:rPr>
          <w:lang w:val="fr-CA"/>
        </w:rPr>
        <w:t xml:space="preserve">enne des postes (SCP) </w:t>
      </w:r>
      <w:proofErr w:type="gramStart"/>
      <w:r>
        <w:rPr>
          <w:lang w:val="fr-CA"/>
        </w:rPr>
        <w:t>a</w:t>
      </w:r>
      <w:proofErr w:type="gramEnd"/>
      <w:r>
        <w:rPr>
          <w:lang w:val="fr-CA"/>
        </w:rPr>
        <w:t xml:space="preserve"> reçu un nombre similaire de demandes en 2014-2015, son rendement global a légèrement diminué comparativement à la période de référence précédente</w:t>
      </w:r>
      <w:r>
        <w:rPr>
          <w:lang w:val="fr-FR"/>
        </w:rPr>
        <w:t>.</w:t>
      </w:r>
    </w:p>
    <w:p w:rsidR="006B6495" w:rsidRPr="0084528F" w:rsidRDefault="006B6495" w:rsidP="006B6495">
      <w:pPr>
        <w:jc w:val="both"/>
        <w:rPr>
          <w:lang w:val="fr-FR"/>
        </w:rPr>
      </w:pPr>
      <w:r>
        <w:rPr>
          <w:lang w:val="fr-CA"/>
        </w:rPr>
        <w:t xml:space="preserve">En 2014-2015, le nombre total de demandes reçues par la SCP représente 0,2 % du nombre total de demandes reçues à l’échelle du gouvernement en vertu de la </w:t>
      </w:r>
      <w:r>
        <w:rPr>
          <w:i/>
          <w:iCs/>
          <w:lang w:val="fr-CA"/>
        </w:rPr>
        <w:t>Loi sur l’accès à l‘information</w:t>
      </w:r>
      <w:r>
        <w:rPr>
          <w:lang w:val="fr-CA"/>
        </w:rPr>
        <w:t xml:space="preserve"> (la </w:t>
      </w:r>
      <w:r>
        <w:rPr>
          <w:i/>
          <w:iCs/>
          <w:lang w:val="fr-CA"/>
        </w:rPr>
        <w:t>Loi</w:t>
      </w:r>
      <w:r>
        <w:rPr>
          <w:lang w:val="fr-CA"/>
        </w:rPr>
        <w:t>). 27,8 % de ces demandes reçues ont donné lieu à une plainte au Commissariat à l’information. Cela positionne l’institution au deuxième rang au niveau du nombre de plaintes par demande reçue.</w:t>
      </w:r>
    </w:p>
    <w:p w:rsidR="006B6495" w:rsidRPr="00B54022" w:rsidRDefault="006B6495" w:rsidP="006B6495">
      <w:pPr>
        <w:pStyle w:val="Heading2"/>
      </w:pPr>
      <w:r w:rsidRPr="00B54022">
        <w:t>Charge de travail</w:t>
      </w:r>
    </w:p>
    <w:p w:rsidR="006B6495" w:rsidRPr="00A0570C" w:rsidRDefault="006B6495" w:rsidP="006B6495">
      <w:pPr>
        <w:jc w:val="both"/>
        <w:rPr>
          <w:lang w:val="fr-CA"/>
        </w:rPr>
      </w:pPr>
      <w:r w:rsidRPr="00A0570C">
        <w:rPr>
          <w:lang w:val="fr-CA"/>
        </w:rPr>
        <w:t xml:space="preserve">La SCP a reçu 108 demandes en vertu de la </w:t>
      </w:r>
      <w:r w:rsidRPr="00A0570C">
        <w:rPr>
          <w:i/>
          <w:lang w:val="fr-CA"/>
        </w:rPr>
        <w:t>Loi</w:t>
      </w:r>
      <w:r w:rsidRPr="00A0570C">
        <w:rPr>
          <w:lang w:val="fr-CA"/>
        </w:rPr>
        <w:t xml:space="preserve">, </w:t>
      </w:r>
      <w:r>
        <w:rPr>
          <w:lang w:val="fr-CA"/>
        </w:rPr>
        <w:t>par rapport à 109 en 2013-2014</w:t>
      </w:r>
      <w:r w:rsidRPr="00A0570C">
        <w:rPr>
          <w:lang w:val="fr-CA"/>
        </w:rPr>
        <w:t xml:space="preserve">. </w:t>
      </w:r>
      <w:r>
        <w:rPr>
          <w:lang w:val="fr-CA"/>
        </w:rPr>
        <w:t>L</w:t>
      </w:r>
      <w:r w:rsidRPr="00A0570C">
        <w:rPr>
          <w:lang w:val="fr-CA"/>
        </w:rPr>
        <w:t>es demandes reçues par la SCP provenaient du public</w:t>
      </w:r>
      <w:r>
        <w:rPr>
          <w:lang w:val="fr-CA"/>
        </w:rPr>
        <w:t xml:space="preserve"> </w:t>
      </w:r>
      <w:r w:rsidRPr="00A0570C">
        <w:rPr>
          <w:lang w:val="fr-CA"/>
        </w:rPr>
        <w:t>(37</w:t>
      </w:r>
      <w:r>
        <w:rPr>
          <w:lang w:val="fr-CA"/>
        </w:rPr>
        <w:t>,0</w:t>
      </w:r>
      <w:r w:rsidRPr="00A0570C">
        <w:rPr>
          <w:lang w:val="fr-CA"/>
        </w:rPr>
        <w:t xml:space="preserve"> %), </w:t>
      </w:r>
      <w:r>
        <w:rPr>
          <w:lang w:val="fr-CA"/>
        </w:rPr>
        <w:t>suivies</w:t>
      </w:r>
      <w:r w:rsidRPr="00A0570C">
        <w:rPr>
          <w:lang w:val="fr-CA"/>
        </w:rPr>
        <w:t xml:space="preserve"> des médias</w:t>
      </w:r>
      <w:r>
        <w:rPr>
          <w:lang w:val="fr-CA"/>
        </w:rPr>
        <w:t xml:space="preserve"> (</w:t>
      </w:r>
      <w:r w:rsidRPr="00A0570C">
        <w:rPr>
          <w:lang w:val="fr-CA"/>
        </w:rPr>
        <w:t>26,9 %</w:t>
      </w:r>
      <w:r>
        <w:rPr>
          <w:lang w:val="fr-CA"/>
        </w:rPr>
        <w:t>)</w:t>
      </w:r>
      <w:r w:rsidRPr="00A0570C">
        <w:rPr>
          <w:lang w:val="fr-CA"/>
        </w:rPr>
        <w:t>,</w:t>
      </w:r>
      <w:r>
        <w:rPr>
          <w:lang w:val="fr-CA"/>
        </w:rPr>
        <w:t xml:space="preserve"> </w:t>
      </w:r>
      <w:r w:rsidRPr="00A0570C">
        <w:rPr>
          <w:lang w:val="fr-CA"/>
        </w:rPr>
        <w:t>d</w:t>
      </w:r>
      <w:r>
        <w:rPr>
          <w:lang w:val="fr-CA"/>
        </w:rPr>
        <w:t xml:space="preserve">es </w:t>
      </w:r>
      <w:r w:rsidRPr="00A0570C">
        <w:rPr>
          <w:lang w:val="fr-CA"/>
        </w:rPr>
        <w:t>diverses organisations</w:t>
      </w:r>
      <w:r>
        <w:rPr>
          <w:lang w:val="fr-CA"/>
        </w:rPr>
        <w:t xml:space="preserve"> (18,5 %) et</w:t>
      </w:r>
      <w:r w:rsidRPr="00A0570C">
        <w:rPr>
          <w:lang w:val="fr-CA"/>
        </w:rPr>
        <w:t xml:space="preserve"> du secteur privé</w:t>
      </w:r>
      <w:r>
        <w:rPr>
          <w:lang w:val="fr-CA"/>
        </w:rPr>
        <w:t xml:space="preserve"> (</w:t>
      </w:r>
      <w:r w:rsidRPr="00A0570C">
        <w:rPr>
          <w:lang w:val="fr-CA"/>
        </w:rPr>
        <w:t>17,6</w:t>
      </w:r>
      <w:r>
        <w:rPr>
          <w:lang w:val="fr-CA"/>
        </w:rPr>
        <w:t xml:space="preserve"> %)</w:t>
      </w:r>
      <w:r w:rsidRPr="00A0570C">
        <w:rPr>
          <w:lang w:val="fr-CA"/>
        </w:rPr>
        <w:t>.</w:t>
      </w:r>
    </w:p>
    <w:p w:rsidR="006B6495" w:rsidRPr="00A0570C" w:rsidRDefault="006B6495" w:rsidP="006B6495">
      <w:pPr>
        <w:jc w:val="both"/>
        <w:rPr>
          <w:lang w:val="fr-CA"/>
        </w:rPr>
      </w:pPr>
      <w:r w:rsidRPr="00A0570C">
        <w:rPr>
          <w:lang w:val="fr-CA"/>
        </w:rPr>
        <w:t>La SCP a traité 95 demandes en 2014</w:t>
      </w:r>
      <w:r>
        <w:rPr>
          <w:lang w:val="fr-CA"/>
        </w:rPr>
        <w:t>-</w:t>
      </w:r>
      <w:r w:rsidRPr="00A0570C">
        <w:rPr>
          <w:lang w:val="fr-CA"/>
        </w:rPr>
        <w:t>2015. Le taux d’achèvement</w:t>
      </w:r>
      <w:r>
        <w:rPr>
          <w:rStyle w:val="FootnoteReference"/>
          <w:lang w:val="fr-CA"/>
        </w:rPr>
        <w:footnoteReference w:id="99"/>
      </w:r>
      <w:r w:rsidRPr="00A0570C">
        <w:rPr>
          <w:lang w:val="fr-CA"/>
        </w:rPr>
        <w:t xml:space="preserve"> était de 76,6 %, soit inférieur à celui rapporté pour l’ensemble du gouvernement en 2014</w:t>
      </w:r>
      <w:r>
        <w:rPr>
          <w:lang w:val="fr-CA"/>
        </w:rPr>
        <w:t>-</w:t>
      </w:r>
      <w:r w:rsidRPr="00A0570C">
        <w:rPr>
          <w:lang w:val="fr-CA"/>
        </w:rPr>
        <w:t>2015</w:t>
      </w:r>
      <w:r>
        <w:rPr>
          <w:lang w:val="fr-CA"/>
        </w:rPr>
        <w:t xml:space="preserve"> qui lui, était de 85,1 %</w:t>
      </w:r>
      <w:r w:rsidRPr="00A0570C">
        <w:rPr>
          <w:lang w:val="fr-CA"/>
        </w:rPr>
        <w:t>. En 2013</w:t>
      </w:r>
      <w:r>
        <w:rPr>
          <w:lang w:val="fr-CA"/>
        </w:rPr>
        <w:t>-</w:t>
      </w:r>
      <w:r w:rsidRPr="00A0570C">
        <w:rPr>
          <w:lang w:val="fr-CA"/>
        </w:rPr>
        <w:t xml:space="preserve">2014, le taux d’achèvement pour la SCP était de 87,3 %. </w:t>
      </w:r>
      <w:r>
        <w:rPr>
          <w:lang w:val="fr-CA"/>
        </w:rPr>
        <w:t>L</w:t>
      </w:r>
      <w:r w:rsidRPr="00A0570C">
        <w:rPr>
          <w:lang w:val="fr-CA"/>
        </w:rPr>
        <w:t>a SCP a</w:t>
      </w:r>
      <w:r>
        <w:rPr>
          <w:lang w:val="fr-CA"/>
        </w:rPr>
        <w:t xml:space="preserve"> aussi</w:t>
      </w:r>
      <w:r w:rsidRPr="00A0570C">
        <w:rPr>
          <w:lang w:val="fr-CA"/>
        </w:rPr>
        <w:t xml:space="preserve"> reçu 14 demandes informelles</w:t>
      </w:r>
      <w:r w:rsidRPr="00A0570C">
        <w:rPr>
          <w:rStyle w:val="FootnoteReference"/>
          <w:lang w:val="fr-CA"/>
        </w:rPr>
        <w:footnoteReference w:id="100"/>
      </w:r>
      <w:r w:rsidRPr="00A0570C">
        <w:rPr>
          <w:lang w:val="fr-CA"/>
        </w:rPr>
        <w:t xml:space="preserve"> et </w:t>
      </w:r>
      <w:r>
        <w:rPr>
          <w:lang w:val="fr-CA"/>
        </w:rPr>
        <w:t xml:space="preserve">8 d’entre elles </w:t>
      </w:r>
      <w:r w:rsidRPr="00A0570C">
        <w:rPr>
          <w:lang w:val="fr-CA"/>
        </w:rPr>
        <w:t xml:space="preserve">ont été </w:t>
      </w:r>
      <w:r>
        <w:rPr>
          <w:lang w:val="fr-CA"/>
        </w:rPr>
        <w:t>complétées</w:t>
      </w:r>
      <w:r w:rsidRPr="00A0570C">
        <w:rPr>
          <w:lang w:val="fr-CA"/>
        </w:rPr>
        <w:t xml:space="preserve"> en 30 jours ou moins</w:t>
      </w:r>
      <w:r w:rsidRPr="0003153D">
        <w:rPr>
          <w:lang w:val="fr-CA"/>
        </w:rPr>
        <w:t xml:space="preserve">. Le nombre de demandes de consultation reçues par SPC en provenance d’autres institutions fédérales a diminué de 24 </w:t>
      </w:r>
      <w:r w:rsidRPr="0003153D">
        <w:rPr>
          <w:lang w:val="fr-FR"/>
        </w:rPr>
        <w:t>à</w:t>
      </w:r>
      <w:r w:rsidRPr="0003153D">
        <w:rPr>
          <w:lang w:val="fr-CA"/>
        </w:rPr>
        <w:t xml:space="preserve"> 16, ce qui représente une baisse de 33,3 %.</w:t>
      </w:r>
    </w:p>
    <w:p w:rsidR="006B6495" w:rsidRDefault="006B6495" w:rsidP="006B6495">
      <w:pPr>
        <w:jc w:val="both"/>
        <w:rPr>
          <w:lang w:val="fr-CA"/>
        </w:rPr>
      </w:pPr>
      <w:r w:rsidRPr="00A0570C">
        <w:rPr>
          <w:lang w:val="fr-CA"/>
        </w:rPr>
        <w:t xml:space="preserve">La SCP a </w:t>
      </w:r>
      <w:r>
        <w:rPr>
          <w:lang w:val="fr-CA"/>
        </w:rPr>
        <w:t>traité 7 813 </w:t>
      </w:r>
      <w:r w:rsidRPr="00A0570C">
        <w:rPr>
          <w:lang w:val="fr-CA"/>
        </w:rPr>
        <w:t xml:space="preserve">pages pour la période de référence </w:t>
      </w:r>
      <w:r>
        <w:rPr>
          <w:lang w:val="fr-CA"/>
        </w:rPr>
        <w:t>actuelle</w:t>
      </w:r>
      <w:r w:rsidRPr="00A0570C">
        <w:rPr>
          <w:lang w:val="fr-CA"/>
        </w:rPr>
        <w:t>. Le tableau 1 montre que le nombre moyen de pages traitées par demande</w:t>
      </w:r>
      <w:r>
        <w:rPr>
          <w:lang w:val="fr-CA"/>
        </w:rPr>
        <w:t xml:space="preserve"> complétée</w:t>
      </w:r>
      <w:r w:rsidRPr="00A0570C">
        <w:rPr>
          <w:lang w:val="fr-CA"/>
        </w:rPr>
        <w:t xml:space="preserve"> a diminué de façon considérable</w:t>
      </w:r>
      <w:r>
        <w:rPr>
          <w:lang w:val="fr-CA"/>
        </w:rPr>
        <w:t xml:space="preserve"> passant de</w:t>
      </w:r>
      <w:r w:rsidRPr="00A0570C">
        <w:rPr>
          <w:lang w:val="fr-CA"/>
        </w:rPr>
        <w:t xml:space="preserve"> </w:t>
      </w:r>
      <w:r>
        <w:rPr>
          <w:lang w:val="fr-CA"/>
        </w:rPr>
        <w:t>217 en 2013-</w:t>
      </w:r>
      <w:r w:rsidRPr="00A0570C">
        <w:rPr>
          <w:lang w:val="fr-CA"/>
        </w:rPr>
        <w:t>2014 à 96 en 2014</w:t>
      </w:r>
      <w:r>
        <w:rPr>
          <w:lang w:val="fr-CA"/>
        </w:rPr>
        <w:t>-</w:t>
      </w:r>
      <w:r w:rsidRPr="00A0570C">
        <w:rPr>
          <w:lang w:val="fr-CA"/>
        </w:rPr>
        <w:t>2015. Comme pour la période précédente, toute l’information communiquée par la SCP était en format papier.</w:t>
      </w:r>
    </w:p>
    <w:p w:rsidR="006B6495" w:rsidRPr="00B54022" w:rsidRDefault="006B6495" w:rsidP="006B6495">
      <w:pPr>
        <w:pStyle w:val="Heading3"/>
      </w:pPr>
      <w:r w:rsidRPr="00B54022">
        <w:t xml:space="preserve">Tableau </w:t>
      </w:r>
      <w:proofErr w:type="gramStart"/>
      <w:r w:rsidRPr="00B54022">
        <w:t>1 :</w:t>
      </w:r>
      <w:proofErr w:type="gramEnd"/>
      <w:r w:rsidRPr="00B54022">
        <w:t xml:space="preserve"> Charge de travail</w:t>
      </w:r>
    </w:p>
    <w:tbl>
      <w:tblPr>
        <w:tblW w:w="9436" w:type="dxa"/>
        <w:tblInd w:w="103" w:type="dxa"/>
        <w:tblLook w:val="04A0"/>
      </w:tblPr>
      <w:tblGrid>
        <w:gridCol w:w="5096"/>
        <w:gridCol w:w="205"/>
        <w:gridCol w:w="1151"/>
        <w:gridCol w:w="1598"/>
        <w:gridCol w:w="1386"/>
      </w:tblGrid>
      <w:tr w:rsidR="006B6495" w:rsidRPr="00A0570C" w:rsidTr="006B6495">
        <w:trPr>
          <w:trHeight w:val="22"/>
        </w:trPr>
        <w:tc>
          <w:tcPr>
            <w:tcW w:w="5096" w:type="dxa"/>
            <w:tcBorders>
              <w:top w:val="single" w:sz="4" w:space="0" w:color="auto"/>
              <w:left w:val="single" w:sz="4" w:space="0" w:color="auto"/>
              <w:bottom w:val="single" w:sz="4" w:space="0" w:color="auto"/>
              <w:right w:val="nil"/>
            </w:tcBorders>
            <w:shd w:val="clear" w:color="auto" w:fill="auto"/>
            <w:noWrap/>
            <w:vAlign w:val="bottom"/>
            <w:hideMark/>
          </w:tcPr>
          <w:p w:rsidR="006B6495" w:rsidRPr="00A0570C" w:rsidRDefault="006B6495" w:rsidP="006B6495">
            <w:pPr>
              <w:spacing w:after="0" w:line="240" w:lineRule="auto"/>
              <w:rPr>
                <w:rFonts w:ascii="Calibri" w:eastAsia="Times New Roman" w:hAnsi="Calibri" w:cs="Times New Roman"/>
                <w:color w:val="000000"/>
                <w:lang w:val="fr-CA"/>
              </w:rPr>
            </w:pPr>
            <w:r w:rsidRPr="00A0570C">
              <w:rPr>
                <w:rFonts w:ascii="Calibri" w:eastAsia="Times New Roman" w:hAnsi="Calibri" w:cs="Times New Roman"/>
                <w:color w:val="000000"/>
                <w:lang w:val="fr-CA"/>
              </w:rPr>
              <w:t xml:space="preserve">Mesures </w:t>
            </w:r>
          </w:p>
        </w:tc>
        <w:tc>
          <w:tcPr>
            <w:tcW w:w="1356" w:type="dxa"/>
            <w:gridSpan w:val="2"/>
            <w:tcBorders>
              <w:top w:val="single" w:sz="4" w:space="0" w:color="auto"/>
              <w:left w:val="nil"/>
              <w:bottom w:val="single" w:sz="4" w:space="0" w:color="auto"/>
              <w:right w:val="nil"/>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2012-2013</w:t>
            </w:r>
          </w:p>
        </w:tc>
        <w:tc>
          <w:tcPr>
            <w:tcW w:w="1598" w:type="dxa"/>
            <w:tcBorders>
              <w:top w:val="single" w:sz="4" w:space="0" w:color="auto"/>
              <w:left w:val="nil"/>
              <w:bottom w:val="single" w:sz="4" w:space="0" w:color="auto"/>
              <w:right w:val="nil"/>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2013-2014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2014-2015</w:t>
            </w:r>
          </w:p>
        </w:tc>
      </w:tr>
      <w:tr w:rsidR="006B6495" w:rsidRPr="00A0570C" w:rsidTr="006B6495">
        <w:trPr>
          <w:trHeight w:val="461"/>
        </w:trPr>
        <w:tc>
          <w:tcPr>
            <w:tcW w:w="5301" w:type="dxa"/>
            <w:gridSpan w:val="2"/>
            <w:tcBorders>
              <w:top w:val="nil"/>
              <w:left w:val="single" w:sz="4" w:space="0" w:color="auto"/>
              <w:bottom w:val="nil"/>
              <w:right w:val="nil"/>
            </w:tcBorders>
            <w:shd w:val="clear" w:color="000000" w:fill="DBE5F1"/>
            <w:noWrap/>
            <w:hideMark/>
          </w:tcPr>
          <w:p w:rsidR="006B6495" w:rsidRPr="00A0570C" w:rsidRDefault="006B6495" w:rsidP="006B6495">
            <w:pPr>
              <w:spacing w:after="0" w:line="240" w:lineRule="auto"/>
              <w:rPr>
                <w:rFonts w:ascii="Calibri" w:eastAsia="Times New Roman" w:hAnsi="Calibri" w:cs="Times New Roman"/>
                <w:color w:val="000000"/>
                <w:lang w:val="fr-CA"/>
              </w:rPr>
            </w:pPr>
            <w:r w:rsidRPr="00A0570C">
              <w:rPr>
                <w:rFonts w:ascii="Calibri" w:eastAsia="Times New Roman" w:hAnsi="Calibri" w:cs="Times New Roman"/>
                <w:color w:val="000000"/>
                <w:lang w:val="fr-CA"/>
              </w:rPr>
              <w:t xml:space="preserve">Nombre de demandes reçues </w:t>
            </w:r>
          </w:p>
        </w:tc>
        <w:tc>
          <w:tcPr>
            <w:tcW w:w="1151" w:type="dxa"/>
            <w:tcBorders>
              <w:top w:val="nil"/>
              <w:left w:val="nil"/>
              <w:bottom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105</w:t>
            </w:r>
          </w:p>
        </w:tc>
        <w:tc>
          <w:tcPr>
            <w:tcW w:w="1598" w:type="dxa"/>
            <w:tcBorders>
              <w:top w:val="nil"/>
              <w:left w:val="nil"/>
              <w:bottom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109</w:t>
            </w:r>
          </w:p>
        </w:tc>
        <w:tc>
          <w:tcPr>
            <w:tcW w:w="1386" w:type="dxa"/>
            <w:tcBorders>
              <w:top w:val="nil"/>
              <w:left w:val="nil"/>
              <w:bottom w:val="nil"/>
              <w:right w:val="single" w:sz="4" w:space="0" w:color="auto"/>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108</w:t>
            </w:r>
          </w:p>
        </w:tc>
      </w:tr>
      <w:tr w:rsidR="006B6495" w:rsidRPr="00A0570C" w:rsidTr="006B6495">
        <w:trPr>
          <w:trHeight w:val="419"/>
        </w:trPr>
        <w:tc>
          <w:tcPr>
            <w:tcW w:w="5301" w:type="dxa"/>
            <w:gridSpan w:val="2"/>
            <w:tcBorders>
              <w:top w:val="nil"/>
              <w:left w:val="single" w:sz="4" w:space="0" w:color="auto"/>
              <w:right w:val="nil"/>
            </w:tcBorders>
            <w:shd w:val="clear" w:color="auto" w:fill="auto"/>
            <w:hideMark/>
          </w:tcPr>
          <w:p w:rsidR="006B6495" w:rsidRPr="00A0570C" w:rsidRDefault="006B6495" w:rsidP="006B6495">
            <w:pPr>
              <w:spacing w:after="0" w:line="240" w:lineRule="auto"/>
              <w:rPr>
                <w:rFonts w:ascii="Calibri" w:eastAsia="Times New Roman" w:hAnsi="Calibri" w:cs="Times New Roman"/>
                <w:lang w:val="fr-CA"/>
              </w:rPr>
            </w:pPr>
            <w:r w:rsidRPr="00A0570C">
              <w:rPr>
                <w:rFonts w:ascii="Calibri" w:eastAsia="Times New Roman" w:hAnsi="Calibri" w:cs="Times New Roman"/>
                <w:lang w:val="fr-CA"/>
              </w:rPr>
              <w:t>Variation annuelle en %</w:t>
            </w:r>
          </w:p>
        </w:tc>
        <w:tc>
          <w:tcPr>
            <w:tcW w:w="1151" w:type="dxa"/>
            <w:tcBorders>
              <w:top w:val="nil"/>
              <w:left w:val="nil"/>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w:t>
            </w:r>
          </w:p>
        </w:tc>
        <w:tc>
          <w:tcPr>
            <w:tcW w:w="1598" w:type="dxa"/>
            <w:tcBorders>
              <w:top w:val="nil"/>
              <w:left w:val="nil"/>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Pr>
                <w:rFonts w:ascii="Calibri" w:eastAsia="Times New Roman" w:hAnsi="Calibri" w:cs="Times New Roman"/>
                <w:lang w:val="fr-CA"/>
              </w:rPr>
              <w:t>3,</w:t>
            </w:r>
            <w:r w:rsidRPr="00A0570C">
              <w:rPr>
                <w:rFonts w:ascii="Calibri" w:eastAsia="Times New Roman" w:hAnsi="Calibri" w:cs="Times New Roman"/>
                <w:lang w:val="fr-CA"/>
              </w:rPr>
              <w:t>8 %</w:t>
            </w:r>
          </w:p>
        </w:tc>
        <w:tc>
          <w:tcPr>
            <w:tcW w:w="1386" w:type="dxa"/>
            <w:tcBorders>
              <w:top w:val="nil"/>
              <w:left w:val="nil"/>
              <w:right w:val="single" w:sz="4" w:space="0" w:color="auto"/>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-0,9 %</w:t>
            </w:r>
          </w:p>
        </w:tc>
      </w:tr>
      <w:tr w:rsidR="006B6495" w:rsidRPr="00A0570C" w:rsidTr="006B6495">
        <w:trPr>
          <w:trHeight w:val="424"/>
        </w:trPr>
        <w:tc>
          <w:tcPr>
            <w:tcW w:w="5301" w:type="dxa"/>
            <w:gridSpan w:val="2"/>
            <w:tcBorders>
              <w:top w:val="nil"/>
              <w:left w:val="single" w:sz="4" w:space="0" w:color="auto"/>
              <w:right w:val="nil"/>
            </w:tcBorders>
            <w:shd w:val="clear" w:color="000000" w:fill="DBE5F1"/>
            <w:hideMark/>
          </w:tcPr>
          <w:p w:rsidR="006B6495" w:rsidRPr="00A0570C" w:rsidRDefault="006B6495" w:rsidP="006B6495">
            <w:pPr>
              <w:spacing w:after="0" w:line="240" w:lineRule="auto"/>
              <w:rPr>
                <w:rFonts w:ascii="Calibri" w:eastAsia="Times New Roman" w:hAnsi="Calibri" w:cs="Times New Roman"/>
                <w:lang w:val="fr-CA"/>
              </w:rPr>
            </w:pPr>
            <w:r w:rsidRPr="00A0570C">
              <w:rPr>
                <w:rFonts w:ascii="Calibri" w:eastAsia="Times New Roman" w:hAnsi="Calibri" w:cs="Times New Roman"/>
                <w:lang w:val="fr-CA"/>
              </w:rPr>
              <w:t xml:space="preserve">Demandes </w:t>
            </w:r>
            <w:r>
              <w:rPr>
                <w:rFonts w:ascii="Calibri" w:eastAsia="Times New Roman" w:hAnsi="Calibri" w:cs="Times New Roman"/>
                <w:lang w:val="fr-CA"/>
              </w:rPr>
              <w:t>complétées</w:t>
            </w:r>
          </w:p>
        </w:tc>
        <w:tc>
          <w:tcPr>
            <w:tcW w:w="1151" w:type="dxa"/>
            <w:tcBorders>
              <w:top w:val="nil"/>
              <w:left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135</w:t>
            </w:r>
          </w:p>
        </w:tc>
        <w:tc>
          <w:tcPr>
            <w:tcW w:w="1598" w:type="dxa"/>
            <w:tcBorders>
              <w:top w:val="nil"/>
              <w:left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110</w:t>
            </w:r>
          </w:p>
        </w:tc>
        <w:tc>
          <w:tcPr>
            <w:tcW w:w="1386" w:type="dxa"/>
            <w:tcBorders>
              <w:top w:val="nil"/>
              <w:left w:val="nil"/>
              <w:bottom w:val="nil"/>
              <w:right w:val="single" w:sz="4" w:space="0" w:color="auto"/>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95</w:t>
            </w:r>
          </w:p>
        </w:tc>
      </w:tr>
      <w:tr w:rsidR="006B6495" w:rsidRPr="00A0570C" w:rsidTr="006B6495">
        <w:trPr>
          <w:trHeight w:val="431"/>
        </w:trPr>
        <w:tc>
          <w:tcPr>
            <w:tcW w:w="5301" w:type="dxa"/>
            <w:gridSpan w:val="2"/>
            <w:tcBorders>
              <w:top w:val="nil"/>
              <w:left w:val="single" w:sz="4" w:space="0" w:color="auto"/>
              <w:right w:val="nil"/>
            </w:tcBorders>
            <w:shd w:val="clear" w:color="auto" w:fill="auto"/>
            <w:hideMark/>
          </w:tcPr>
          <w:p w:rsidR="006B6495" w:rsidRPr="00A0570C" w:rsidRDefault="006B6495" w:rsidP="006B6495">
            <w:pPr>
              <w:spacing w:after="0" w:line="240" w:lineRule="auto"/>
              <w:rPr>
                <w:rFonts w:ascii="Calibri" w:eastAsia="Times New Roman" w:hAnsi="Calibri" w:cs="Times New Roman"/>
                <w:lang w:val="fr-CA"/>
              </w:rPr>
            </w:pPr>
            <w:r w:rsidRPr="00A0570C">
              <w:rPr>
                <w:rFonts w:ascii="Calibri" w:eastAsia="Times New Roman" w:hAnsi="Calibri" w:cs="Times New Roman"/>
                <w:lang w:val="fr-CA"/>
              </w:rPr>
              <w:t>Variation annuelle en %</w:t>
            </w:r>
          </w:p>
        </w:tc>
        <w:tc>
          <w:tcPr>
            <w:tcW w:w="1151" w:type="dxa"/>
            <w:tcBorders>
              <w:top w:val="nil"/>
              <w:left w:val="nil"/>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w:t>
            </w:r>
          </w:p>
        </w:tc>
        <w:tc>
          <w:tcPr>
            <w:tcW w:w="1598" w:type="dxa"/>
            <w:tcBorders>
              <w:top w:val="nil"/>
              <w:left w:val="nil"/>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-18,5 %</w:t>
            </w:r>
          </w:p>
        </w:tc>
        <w:tc>
          <w:tcPr>
            <w:tcW w:w="1386" w:type="dxa"/>
            <w:tcBorders>
              <w:top w:val="nil"/>
              <w:left w:val="nil"/>
              <w:right w:val="single" w:sz="4" w:space="0" w:color="auto"/>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-13,6 %</w:t>
            </w:r>
          </w:p>
        </w:tc>
      </w:tr>
      <w:tr w:rsidR="006B6495" w:rsidRPr="00A0570C" w:rsidTr="006B6495">
        <w:trPr>
          <w:trHeight w:val="196"/>
        </w:trPr>
        <w:tc>
          <w:tcPr>
            <w:tcW w:w="5301" w:type="dxa"/>
            <w:gridSpan w:val="2"/>
            <w:tcBorders>
              <w:top w:val="nil"/>
              <w:left w:val="single" w:sz="4" w:space="0" w:color="auto"/>
              <w:right w:val="nil"/>
            </w:tcBorders>
            <w:shd w:val="clear" w:color="000000" w:fill="DBE5F1"/>
            <w:hideMark/>
          </w:tcPr>
          <w:p w:rsidR="006B6495" w:rsidRPr="00A0570C" w:rsidRDefault="006B6495" w:rsidP="006B6495">
            <w:pPr>
              <w:spacing w:after="0" w:line="240" w:lineRule="auto"/>
              <w:rPr>
                <w:rFonts w:ascii="Calibri" w:eastAsia="Times New Roman" w:hAnsi="Calibri" w:cs="Times New Roman"/>
                <w:color w:val="000000"/>
                <w:lang w:val="fr-CA"/>
              </w:rPr>
            </w:pPr>
            <w:r w:rsidRPr="00A0570C">
              <w:rPr>
                <w:rFonts w:ascii="Calibri" w:eastAsia="Times New Roman" w:hAnsi="Calibri" w:cs="Times New Roman"/>
                <w:color w:val="000000"/>
                <w:lang w:val="fr-CA"/>
              </w:rPr>
              <w:t>Nom</w:t>
            </w:r>
            <w:r>
              <w:rPr>
                <w:rFonts w:ascii="Calibri" w:eastAsia="Times New Roman" w:hAnsi="Calibri" w:cs="Times New Roman"/>
                <w:color w:val="000000"/>
                <w:lang w:val="fr-CA"/>
              </w:rPr>
              <w:t>bre de demandes de consultation</w:t>
            </w:r>
            <w:r w:rsidRPr="00A0570C">
              <w:rPr>
                <w:rFonts w:ascii="Calibri" w:eastAsia="Times New Roman" w:hAnsi="Calibri" w:cs="Times New Roman"/>
                <w:color w:val="000000"/>
                <w:lang w:val="fr-CA"/>
              </w:rPr>
              <w:t xml:space="preserve"> reçues (d’autres </w:t>
            </w:r>
            <w:r w:rsidRPr="00A0570C">
              <w:rPr>
                <w:rFonts w:ascii="Calibri" w:eastAsia="Times New Roman" w:hAnsi="Calibri" w:cs="Times New Roman"/>
                <w:color w:val="000000"/>
                <w:lang w:val="fr-CA"/>
              </w:rPr>
              <w:lastRenderedPageBreak/>
              <w:t>institutions fédérales)</w:t>
            </w:r>
          </w:p>
        </w:tc>
        <w:tc>
          <w:tcPr>
            <w:tcW w:w="1151" w:type="dxa"/>
            <w:tcBorders>
              <w:top w:val="nil"/>
              <w:left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lastRenderedPageBreak/>
              <w:t>44</w:t>
            </w:r>
          </w:p>
        </w:tc>
        <w:tc>
          <w:tcPr>
            <w:tcW w:w="1598" w:type="dxa"/>
            <w:tcBorders>
              <w:top w:val="nil"/>
              <w:left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24</w:t>
            </w:r>
          </w:p>
        </w:tc>
        <w:tc>
          <w:tcPr>
            <w:tcW w:w="1386" w:type="dxa"/>
            <w:tcBorders>
              <w:top w:val="nil"/>
              <w:left w:val="nil"/>
              <w:right w:val="single" w:sz="4" w:space="0" w:color="auto"/>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16</w:t>
            </w:r>
          </w:p>
        </w:tc>
      </w:tr>
      <w:tr w:rsidR="006B6495" w:rsidRPr="00A0570C" w:rsidTr="006B6495">
        <w:trPr>
          <w:trHeight w:val="443"/>
        </w:trPr>
        <w:tc>
          <w:tcPr>
            <w:tcW w:w="5301" w:type="dxa"/>
            <w:gridSpan w:val="2"/>
            <w:tcBorders>
              <w:top w:val="nil"/>
              <w:left w:val="single" w:sz="4" w:space="0" w:color="auto"/>
              <w:right w:val="nil"/>
            </w:tcBorders>
            <w:shd w:val="clear" w:color="auto" w:fill="auto"/>
            <w:hideMark/>
          </w:tcPr>
          <w:p w:rsidR="006B6495" w:rsidRPr="00A0570C" w:rsidRDefault="006B6495" w:rsidP="006B6495">
            <w:pPr>
              <w:spacing w:after="0" w:line="240" w:lineRule="auto"/>
              <w:rPr>
                <w:rFonts w:ascii="Calibri" w:eastAsia="Times New Roman" w:hAnsi="Calibri" w:cs="Times New Roman"/>
                <w:lang w:val="fr-CA"/>
              </w:rPr>
            </w:pPr>
            <w:r w:rsidRPr="00A0570C">
              <w:rPr>
                <w:rFonts w:ascii="Calibri" w:eastAsia="Times New Roman" w:hAnsi="Calibri" w:cs="Times New Roman"/>
                <w:lang w:val="fr-CA"/>
              </w:rPr>
              <w:lastRenderedPageBreak/>
              <w:t>Variation annuelle en %</w:t>
            </w:r>
          </w:p>
        </w:tc>
        <w:tc>
          <w:tcPr>
            <w:tcW w:w="1151" w:type="dxa"/>
            <w:tcBorders>
              <w:top w:val="nil"/>
              <w:left w:val="nil"/>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w:t>
            </w:r>
          </w:p>
        </w:tc>
        <w:tc>
          <w:tcPr>
            <w:tcW w:w="1598" w:type="dxa"/>
            <w:tcBorders>
              <w:top w:val="nil"/>
              <w:left w:val="nil"/>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-45,5 %</w:t>
            </w:r>
          </w:p>
        </w:tc>
        <w:tc>
          <w:tcPr>
            <w:tcW w:w="1386" w:type="dxa"/>
            <w:tcBorders>
              <w:top w:val="nil"/>
              <w:left w:val="nil"/>
              <w:right w:val="single" w:sz="4" w:space="0" w:color="auto"/>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-33,3 %</w:t>
            </w:r>
          </w:p>
        </w:tc>
      </w:tr>
      <w:tr w:rsidR="006B6495" w:rsidRPr="00A0570C" w:rsidTr="006B6495">
        <w:trPr>
          <w:trHeight w:val="45"/>
        </w:trPr>
        <w:tc>
          <w:tcPr>
            <w:tcW w:w="5301" w:type="dxa"/>
            <w:gridSpan w:val="2"/>
            <w:tcBorders>
              <w:left w:val="single" w:sz="4" w:space="0" w:color="auto"/>
              <w:bottom w:val="nil"/>
              <w:right w:val="nil"/>
            </w:tcBorders>
            <w:shd w:val="clear" w:color="000000" w:fill="DBE5F1"/>
            <w:hideMark/>
          </w:tcPr>
          <w:p w:rsidR="006B6495" w:rsidRPr="00A0570C" w:rsidRDefault="006B6495" w:rsidP="006B6495">
            <w:pPr>
              <w:spacing w:after="0" w:line="240" w:lineRule="auto"/>
              <w:rPr>
                <w:rFonts w:ascii="Calibri" w:eastAsia="Times New Roman" w:hAnsi="Calibri" w:cs="Times New Roman"/>
                <w:lang w:val="fr-CA"/>
              </w:rPr>
            </w:pPr>
            <w:r w:rsidRPr="00A0570C">
              <w:rPr>
                <w:rFonts w:ascii="Calibri" w:eastAsia="Times New Roman" w:hAnsi="Calibri" w:cs="Times New Roman"/>
                <w:lang w:val="fr-CA"/>
              </w:rPr>
              <w:t xml:space="preserve">Nombre moyen de pages traitées par demande </w:t>
            </w:r>
            <w:r>
              <w:rPr>
                <w:rFonts w:ascii="Calibri" w:eastAsia="Times New Roman" w:hAnsi="Calibri" w:cs="Times New Roman"/>
                <w:lang w:val="fr-CA"/>
              </w:rPr>
              <w:t>complétée</w:t>
            </w:r>
          </w:p>
        </w:tc>
        <w:tc>
          <w:tcPr>
            <w:tcW w:w="1151" w:type="dxa"/>
            <w:tcBorders>
              <w:left w:val="nil"/>
              <w:bottom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161</w:t>
            </w:r>
          </w:p>
        </w:tc>
        <w:tc>
          <w:tcPr>
            <w:tcW w:w="1598" w:type="dxa"/>
            <w:tcBorders>
              <w:left w:val="nil"/>
              <w:bottom w:val="nil"/>
              <w:right w:val="nil"/>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217</w:t>
            </w:r>
          </w:p>
        </w:tc>
        <w:tc>
          <w:tcPr>
            <w:tcW w:w="1386" w:type="dxa"/>
            <w:tcBorders>
              <w:left w:val="nil"/>
              <w:bottom w:val="nil"/>
              <w:right w:val="single" w:sz="4" w:space="0" w:color="auto"/>
            </w:tcBorders>
            <w:shd w:val="clear" w:color="000000" w:fill="DBE5F1"/>
            <w:noWrap/>
            <w:vAlign w:val="center"/>
            <w:hideMark/>
          </w:tcPr>
          <w:p w:rsidR="006B6495" w:rsidRPr="00A0570C" w:rsidRDefault="006B6495" w:rsidP="006B6495">
            <w:pPr>
              <w:spacing w:after="0" w:line="240" w:lineRule="auto"/>
              <w:jc w:val="center"/>
              <w:rPr>
                <w:rFonts w:ascii="Calibri" w:eastAsia="Times New Roman" w:hAnsi="Calibri" w:cs="Times New Roman"/>
                <w:b/>
                <w:bCs/>
                <w:lang w:val="fr-CA"/>
              </w:rPr>
            </w:pPr>
            <w:r w:rsidRPr="00A0570C">
              <w:rPr>
                <w:rFonts w:ascii="Calibri" w:eastAsia="Times New Roman" w:hAnsi="Calibri" w:cs="Times New Roman"/>
                <w:b/>
                <w:bCs/>
                <w:lang w:val="fr-CA"/>
              </w:rPr>
              <w:t>96</w:t>
            </w:r>
          </w:p>
        </w:tc>
      </w:tr>
      <w:tr w:rsidR="006B6495" w:rsidRPr="00A0570C" w:rsidTr="006B6495">
        <w:trPr>
          <w:trHeight w:val="75"/>
        </w:trPr>
        <w:tc>
          <w:tcPr>
            <w:tcW w:w="5301" w:type="dxa"/>
            <w:gridSpan w:val="2"/>
            <w:tcBorders>
              <w:top w:val="nil"/>
              <w:left w:val="single" w:sz="4" w:space="0" w:color="auto"/>
              <w:bottom w:val="single" w:sz="4" w:space="0" w:color="auto"/>
              <w:right w:val="nil"/>
            </w:tcBorders>
            <w:shd w:val="clear" w:color="auto" w:fill="auto"/>
            <w:hideMark/>
          </w:tcPr>
          <w:p w:rsidR="006B6495" w:rsidRPr="00A0570C" w:rsidRDefault="006B6495" w:rsidP="006B6495">
            <w:pPr>
              <w:spacing w:after="0" w:line="240" w:lineRule="auto"/>
              <w:rPr>
                <w:rFonts w:ascii="Calibri" w:eastAsia="Times New Roman" w:hAnsi="Calibri" w:cs="Times New Roman"/>
                <w:lang w:val="fr-CA"/>
              </w:rPr>
            </w:pPr>
            <w:r w:rsidRPr="00A0570C">
              <w:rPr>
                <w:rFonts w:ascii="Calibri" w:eastAsia="Times New Roman" w:hAnsi="Calibri" w:cs="Times New Roman"/>
                <w:lang w:val="fr-CA"/>
              </w:rPr>
              <w:t>% des demandes pour lesquelles plus de 1 000 pages ont été traitées</w:t>
            </w:r>
          </w:p>
        </w:tc>
        <w:tc>
          <w:tcPr>
            <w:tcW w:w="1151" w:type="dxa"/>
            <w:tcBorders>
              <w:top w:val="nil"/>
              <w:left w:val="nil"/>
              <w:bottom w:val="single" w:sz="4" w:space="0" w:color="auto"/>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5,6 %</w:t>
            </w:r>
          </w:p>
        </w:tc>
        <w:tc>
          <w:tcPr>
            <w:tcW w:w="1598" w:type="dxa"/>
            <w:tcBorders>
              <w:top w:val="nil"/>
              <w:left w:val="nil"/>
              <w:bottom w:val="single" w:sz="4" w:space="0" w:color="auto"/>
              <w:right w:val="nil"/>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7,3 %</w:t>
            </w:r>
          </w:p>
        </w:tc>
        <w:tc>
          <w:tcPr>
            <w:tcW w:w="1386" w:type="dxa"/>
            <w:tcBorders>
              <w:top w:val="nil"/>
              <w:left w:val="nil"/>
              <w:bottom w:val="single" w:sz="4" w:space="0" w:color="auto"/>
              <w:right w:val="single" w:sz="4" w:space="0" w:color="auto"/>
            </w:tcBorders>
            <w:shd w:val="clear" w:color="auto" w:fill="auto"/>
            <w:noWrap/>
            <w:vAlign w:val="center"/>
            <w:hideMark/>
          </w:tcPr>
          <w:p w:rsidR="006B6495" w:rsidRPr="00A0570C" w:rsidRDefault="006B6495" w:rsidP="006B6495">
            <w:pPr>
              <w:spacing w:after="0" w:line="240" w:lineRule="auto"/>
              <w:jc w:val="center"/>
              <w:rPr>
                <w:rFonts w:ascii="Calibri" w:eastAsia="Times New Roman" w:hAnsi="Calibri" w:cs="Times New Roman"/>
                <w:lang w:val="fr-CA"/>
              </w:rPr>
            </w:pPr>
            <w:r w:rsidRPr="00A0570C">
              <w:rPr>
                <w:rFonts w:ascii="Calibri" w:eastAsia="Times New Roman" w:hAnsi="Calibri" w:cs="Times New Roman"/>
                <w:lang w:val="fr-CA"/>
              </w:rPr>
              <w:t>1,2 %</w:t>
            </w:r>
          </w:p>
        </w:tc>
      </w:tr>
    </w:tbl>
    <w:p w:rsidR="006B6495" w:rsidRPr="00B54022" w:rsidRDefault="006B6495" w:rsidP="006B6495">
      <w:pPr>
        <w:pStyle w:val="Heading2"/>
        <w:spacing w:before="240"/>
      </w:pPr>
      <w:r w:rsidRPr="00B54022">
        <w:t>Délai de traitement</w:t>
      </w:r>
    </w:p>
    <w:p w:rsidR="006B6495" w:rsidRPr="00B54022" w:rsidRDefault="006B6495" w:rsidP="006B6495">
      <w:pPr>
        <w:pStyle w:val="Heading4"/>
      </w:pPr>
      <w:r w:rsidRPr="00B54022">
        <w:t>Rapidité</w:t>
      </w:r>
    </w:p>
    <w:p w:rsidR="006B6495" w:rsidRPr="00A0570C" w:rsidRDefault="006B6495" w:rsidP="006B6495">
      <w:pPr>
        <w:jc w:val="both"/>
        <w:rPr>
          <w:lang w:val="fr-CA"/>
        </w:rPr>
      </w:pPr>
      <w:r w:rsidRPr="00A0570C">
        <w:rPr>
          <w:lang w:val="fr-CA"/>
        </w:rPr>
        <w:t xml:space="preserve">La figure 1 révèle que 53,7 % des demandes ont été </w:t>
      </w:r>
      <w:r>
        <w:rPr>
          <w:lang w:val="fr-CA"/>
        </w:rPr>
        <w:t>complétées</w:t>
      </w:r>
      <w:r w:rsidRPr="00A0570C">
        <w:rPr>
          <w:lang w:val="fr-CA"/>
        </w:rPr>
        <w:t xml:space="preserve"> en 30 jours ou moins, soit un résultat inférieur </w:t>
      </w:r>
      <w:r>
        <w:rPr>
          <w:lang w:val="fr-CA"/>
        </w:rPr>
        <w:t>de 13,6 % par rapport à 2013-2014</w:t>
      </w:r>
      <w:r w:rsidRPr="00A0570C">
        <w:rPr>
          <w:lang w:val="fr-CA"/>
        </w:rPr>
        <w:t xml:space="preserve">. La proportion de demandes </w:t>
      </w:r>
      <w:r>
        <w:rPr>
          <w:lang w:val="fr-CA"/>
        </w:rPr>
        <w:t>complétées</w:t>
      </w:r>
      <w:r w:rsidRPr="00A0570C">
        <w:rPr>
          <w:lang w:val="fr-CA"/>
        </w:rPr>
        <w:t xml:space="preserve"> dans un délai de 61 à 120 jours a augmenté</w:t>
      </w:r>
      <w:r>
        <w:rPr>
          <w:lang w:val="fr-CA"/>
        </w:rPr>
        <w:t>,</w:t>
      </w:r>
      <w:r w:rsidRPr="00A0570C">
        <w:rPr>
          <w:lang w:val="fr-CA"/>
        </w:rPr>
        <w:t xml:space="preserve"> </w:t>
      </w:r>
      <w:r>
        <w:rPr>
          <w:lang w:val="fr-CA"/>
        </w:rPr>
        <w:t xml:space="preserve">passant </w:t>
      </w:r>
      <w:r w:rsidRPr="00A0570C">
        <w:rPr>
          <w:lang w:val="fr-CA"/>
        </w:rPr>
        <w:t xml:space="preserve">de </w:t>
      </w:r>
      <w:r>
        <w:rPr>
          <w:lang w:val="fr-CA"/>
        </w:rPr>
        <w:t>11,8 % en 2013-2014 à 16,8 % en 2014-</w:t>
      </w:r>
      <w:r w:rsidRPr="00A0570C">
        <w:rPr>
          <w:lang w:val="fr-CA"/>
        </w:rPr>
        <w:t xml:space="preserve">2015. Également, le nombre de demandes dont le traitement a nécessité entre 121 et 180 jours a augmenté </w:t>
      </w:r>
      <w:r>
        <w:rPr>
          <w:lang w:val="fr-CA"/>
        </w:rPr>
        <w:t xml:space="preserve">pour passer </w:t>
      </w:r>
      <w:r w:rsidRPr="00A0570C">
        <w:rPr>
          <w:lang w:val="fr-CA"/>
        </w:rPr>
        <w:t>de 2,7 % en 2013</w:t>
      </w:r>
      <w:r>
        <w:rPr>
          <w:lang w:val="fr-CA"/>
        </w:rPr>
        <w:t>-</w:t>
      </w:r>
      <w:r w:rsidRPr="00A0570C">
        <w:rPr>
          <w:lang w:val="fr-CA"/>
        </w:rPr>
        <w:t xml:space="preserve">2014 à 5,3 % </w:t>
      </w:r>
      <w:r>
        <w:rPr>
          <w:lang w:val="fr-CA"/>
        </w:rPr>
        <w:t>en 2014-2015</w:t>
      </w:r>
      <w:r w:rsidRPr="00A0570C">
        <w:rPr>
          <w:lang w:val="fr-CA"/>
        </w:rPr>
        <w:t xml:space="preserve">. Aucune demande n’a été </w:t>
      </w:r>
      <w:r>
        <w:rPr>
          <w:lang w:val="fr-CA"/>
        </w:rPr>
        <w:t>complétée</w:t>
      </w:r>
      <w:r w:rsidRPr="00A0570C">
        <w:rPr>
          <w:lang w:val="fr-CA"/>
        </w:rPr>
        <w:t xml:space="preserve"> en plus de 365 jours.</w:t>
      </w:r>
    </w:p>
    <w:p w:rsidR="006B6495" w:rsidRPr="006B6495" w:rsidRDefault="006B6495" w:rsidP="006B6495">
      <w:pPr>
        <w:pStyle w:val="Heading3"/>
        <w:rPr>
          <w:lang w:val="fr-FR"/>
        </w:rPr>
      </w:pPr>
      <w:r w:rsidRPr="006B6495">
        <w:rPr>
          <w:lang w:val="fr-FR"/>
        </w:rPr>
        <w:t>Figure 1 : Délai de traitement des demandes</w:t>
      </w:r>
    </w:p>
    <w:p w:rsidR="006B6495" w:rsidRPr="00FE738F" w:rsidRDefault="006B6495" w:rsidP="006B6495">
      <w:pPr>
        <w:jc w:val="both"/>
        <w:rPr>
          <w:lang w:val="fr-CA"/>
        </w:rPr>
      </w:pPr>
      <w:r w:rsidRPr="0001770A">
        <w:rPr>
          <w:noProof/>
          <w:color w:val="FF0000"/>
        </w:rPr>
        <w:drawing>
          <wp:inline distT="0" distB="0" distL="0" distR="0">
            <wp:extent cx="5917997" cy="3884371"/>
            <wp:effectExtent l="0" t="0" r="26035" b="20955"/>
            <wp:docPr id="8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6B6495" w:rsidRDefault="006B6495">
      <w:pPr>
        <w:rPr>
          <w:lang w:val="fr-CA"/>
        </w:rPr>
      </w:pPr>
      <w:r>
        <w:br w:type="page"/>
      </w:r>
    </w:p>
    <w:p w:rsidR="006B6495" w:rsidRPr="00B54022" w:rsidRDefault="006B6495" w:rsidP="006B6495">
      <w:pPr>
        <w:pStyle w:val="Heading4"/>
      </w:pPr>
      <w:r>
        <w:lastRenderedPageBreak/>
        <w:t>Prorogations</w:t>
      </w:r>
    </w:p>
    <w:p w:rsidR="006B6495" w:rsidRPr="000673A6" w:rsidRDefault="006B6495" w:rsidP="006B6495">
      <w:pPr>
        <w:jc w:val="both"/>
        <w:rPr>
          <w:lang w:val="fr-CA"/>
        </w:rPr>
      </w:pPr>
      <w:r w:rsidRPr="000673A6">
        <w:rPr>
          <w:lang w:val="fr-CA"/>
        </w:rPr>
        <w:t>La SCP a eu recours à 30 prorogations en 2014-2015 par rapport à 18 en 2013-2014. L’entrave au fonctionnement de l’institution (46,6 %) était la raison la plus fréquemment invoquée pour demander une prorogation, suivie des demandes de consultation (30,0 %) et des avis à des tiers (23,3 %).</w:t>
      </w:r>
    </w:p>
    <w:p w:rsidR="006B6495" w:rsidRPr="000673A6" w:rsidRDefault="006B6495" w:rsidP="006B6495">
      <w:pPr>
        <w:jc w:val="both"/>
        <w:rPr>
          <w:lang w:val="fr-CA"/>
        </w:rPr>
      </w:pPr>
      <w:r w:rsidRPr="000673A6">
        <w:rPr>
          <w:lang w:val="fr-CA"/>
        </w:rPr>
        <w:t>La figure 2 montre que 30,0 % des prorogations en 2014-2015 étaient de 30 jours ou moins. La part des prorogations de 31 à 60 jours était de 40,0 % en 2014-2015, une diminution de 15,6 % par rapport à 2013-2014. On a observé une augmentation de 6,6 % du nombre de prorogations entre 61 et 120 jours par rapport à la période précédente, et aucune prorogation de plus de 181 jours n’a été demandée.</w:t>
      </w:r>
    </w:p>
    <w:p w:rsidR="006B6495" w:rsidRDefault="006B6495" w:rsidP="006B6495">
      <w:pPr>
        <w:rPr>
          <w:b/>
          <w:noProof/>
          <w:color w:val="FF0000"/>
          <w:lang w:val="fr-CA"/>
        </w:rPr>
      </w:pPr>
      <w:r w:rsidRPr="006B6495">
        <w:rPr>
          <w:rStyle w:val="Heading3Char"/>
          <w:lang w:val="fr-FR"/>
        </w:rPr>
        <w:t>Figure 2 : Durée des prorogations</w:t>
      </w:r>
      <w:r w:rsidRPr="0001770A">
        <w:rPr>
          <w:noProof/>
        </w:rPr>
        <w:drawing>
          <wp:inline distT="0" distB="0" distL="0" distR="0">
            <wp:extent cx="5939942" cy="4433011"/>
            <wp:effectExtent l="0" t="0" r="22860" b="24765"/>
            <wp:docPr id="8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6B6495" w:rsidRPr="00B54022" w:rsidRDefault="006B6495" w:rsidP="006B6495">
      <w:pPr>
        <w:pStyle w:val="Heading4"/>
      </w:pPr>
      <w:r>
        <w:t>Présomptions de refus</w:t>
      </w:r>
    </w:p>
    <w:p w:rsidR="006B6495" w:rsidRPr="000673A6" w:rsidRDefault="006B6495" w:rsidP="006B6495">
      <w:pPr>
        <w:jc w:val="both"/>
        <w:rPr>
          <w:lang w:val="fr-CA"/>
        </w:rPr>
      </w:pPr>
      <w:r w:rsidRPr="000673A6">
        <w:rPr>
          <w:lang w:val="fr-CA"/>
        </w:rPr>
        <w:t>En 2014-2015, trois demandes ont été fermées après l’échéancier réglementaire</w:t>
      </w:r>
      <w:r w:rsidRPr="000673A6">
        <w:rPr>
          <w:rStyle w:val="FootnoteReference"/>
          <w:lang w:val="fr-CA"/>
        </w:rPr>
        <w:footnoteReference w:id="101"/>
      </w:r>
      <w:r w:rsidRPr="000673A6">
        <w:rPr>
          <w:lang w:val="fr-CA"/>
        </w:rPr>
        <w:t>, ce qui représente 3,2 % des demandes complétées. Ce résultat procure à la SCP la note de « A »</w:t>
      </w:r>
      <w:r w:rsidRPr="000673A6">
        <w:rPr>
          <w:rStyle w:val="FootnoteReference"/>
          <w:lang w:val="fr-CA"/>
        </w:rPr>
        <w:footnoteReference w:id="102"/>
      </w:r>
      <w:r w:rsidRPr="000673A6">
        <w:rPr>
          <w:lang w:val="fr-CA"/>
        </w:rPr>
        <w:t xml:space="preserve">. La charge de travail </w:t>
      </w:r>
      <w:r w:rsidRPr="000673A6">
        <w:rPr>
          <w:lang w:val="fr-CA"/>
        </w:rPr>
        <w:lastRenderedPageBreak/>
        <w:t>(100 %) était la seule raison invoquée par la SCP pour ne pas respecter l’échéancier réglementaire. Deux demandes étaient en retard de 15 jours ou moins, et une demande était en retard de 181 à 365 jours.</w:t>
      </w:r>
    </w:p>
    <w:p w:rsidR="006B6495" w:rsidRPr="00B54022" w:rsidRDefault="006B6495" w:rsidP="006B6495">
      <w:pPr>
        <w:jc w:val="both"/>
        <w:rPr>
          <w:b/>
          <w:lang w:val="fr-CA"/>
        </w:rPr>
      </w:pPr>
      <w:r>
        <w:rPr>
          <w:b/>
          <w:lang w:val="fr-CA"/>
        </w:rPr>
        <w:t>Divulgation</w:t>
      </w:r>
    </w:p>
    <w:p w:rsidR="006B6495" w:rsidRPr="00B54022" w:rsidRDefault="006B6495" w:rsidP="006B6495">
      <w:pPr>
        <w:pStyle w:val="Heading4"/>
      </w:pPr>
      <w:r w:rsidRPr="00B54022">
        <w:t>Pourcentage de demandes pour lesquelle</w:t>
      </w:r>
      <w:r>
        <w:t>s l’information a été divulguée</w:t>
      </w:r>
    </w:p>
    <w:p w:rsidR="006B6495" w:rsidRPr="00A0570C" w:rsidRDefault="006B6495" w:rsidP="006B6495">
      <w:pPr>
        <w:rPr>
          <w:lang w:val="fr-CA"/>
        </w:rPr>
      </w:pPr>
      <w:r>
        <w:rPr>
          <w:lang w:val="fr-CA"/>
        </w:rPr>
        <w:t>En 2014-</w:t>
      </w:r>
      <w:r w:rsidRPr="00A0570C">
        <w:rPr>
          <w:lang w:val="fr-CA"/>
        </w:rPr>
        <w:t xml:space="preserve">2015, 11,6 % de toutes les demandes </w:t>
      </w:r>
      <w:r>
        <w:rPr>
          <w:lang w:val="fr-CA"/>
        </w:rPr>
        <w:t>complétées</w:t>
      </w:r>
      <w:r w:rsidRPr="00A0570C">
        <w:rPr>
          <w:lang w:val="fr-CA"/>
        </w:rPr>
        <w:t xml:space="preserve"> ont fait l’objet d’une divulgation complète, ce qui représente</w:t>
      </w:r>
      <w:r>
        <w:rPr>
          <w:lang w:val="fr-CA"/>
        </w:rPr>
        <w:t xml:space="preserve"> une diminution de 9,3 % par rapport à l</w:t>
      </w:r>
      <w:r w:rsidRPr="00A0570C">
        <w:rPr>
          <w:lang w:val="fr-CA"/>
        </w:rPr>
        <w:t>a période précédente</w:t>
      </w:r>
      <w:r>
        <w:rPr>
          <w:lang w:val="fr-CA"/>
        </w:rPr>
        <w:t xml:space="preserve"> </w:t>
      </w:r>
      <w:r w:rsidRPr="00A0570C">
        <w:rPr>
          <w:lang w:val="fr-CA"/>
        </w:rPr>
        <w:t>(voir figure 3). Les demandes qui ont fait l’objet d’une divulgation partielle correspondent à 41</w:t>
      </w:r>
      <w:r>
        <w:rPr>
          <w:lang w:val="fr-CA"/>
        </w:rPr>
        <w:t>,1</w:t>
      </w:r>
      <w:r w:rsidRPr="00A0570C">
        <w:rPr>
          <w:lang w:val="fr-CA"/>
        </w:rPr>
        <w:t xml:space="preserve"> % de toutes les demandes </w:t>
      </w:r>
      <w:r>
        <w:rPr>
          <w:lang w:val="fr-CA"/>
        </w:rPr>
        <w:t>complétées</w:t>
      </w:r>
      <w:r w:rsidRPr="00A0570C">
        <w:rPr>
          <w:lang w:val="fr-CA"/>
        </w:rPr>
        <w:t>, ce qui représente une</w:t>
      </w:r>
      <w:r>
        <w:rPr>
          <w:lang w:val="fr-CA"/>
        </w:rPr>
        <w:t xml:space="preserve"> légère diminution par rapport à 2013-2014.</w:t>
      </w:r>
    </w:p>
    <w:p w:rsidR="006B6495" w:rsidRPr="002D0E3E" w:rsidRDefault="006B6495" w:rsidP="006B6495">
      <w:pPr>
        <w:spacing w:line="240" w:lineRule="auto"/>
        <w:contextualSpacing/>
        <w:jc w:val="both"/>
        <w:rPr>
          <w:b/>
          <w:lang w:val="fr-CA"/>
        </w:rPr>
      </w:pPr>
      <w:r>
        <w:rPr>
          <w:b/>
          <w:lang w:val="fr-CA"/>
        </w:rPr>
        <w:t>Figure 3</w:t>
      </w:r>
      <w:r w:rsidRPr="002D0E3E">
        <w:rPr>
          <w:b/>
          <w:lang w:val="fr-CA"/>
        </w:rPr>
        <w:t> : Niveau de divulgation</w:t>
      </w:r>
    </w:p>
    <w:p w:rsidR="006B6495" w:rsidRPr="00AB64F7" w:rsidRDefault="006B6495" w:rsidP="006B6495">
      <w:pPr>
        <w:spacing w:line="240" w:lineRule="auto"/>
        <w:contextualSpacing/>
        <w:jc w:val="both"/>
        <w:rPr>
          <w:lang w:val="fr-CA"/>
        </w:rPr>
      </w:pPr>
      <w:r w:rsidRPr="0001770A">
        <w:rPr>
          <w:noProof/>
          <w:color w:val="FF0000"/>
        </w:rPr>
        <w:drawing>
          <wp:inline distT="0" distB="0" distL="0" distR="0">
            <wp:extent cx="5998464" cy="3862425"/>
            <wp:effectExtent l="0" t="0" r="21590" b="24130"/>
            <wp:docPr id="8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6B6495" w:rsidRPr="00C161AA" w:rsidRDefault="006B6495" w:rsidP="006B6495">
      <w:pPr>
        <w:pStyle w:val="Heading4"/>
      </w:pPr>
      <w:r>
        <w:t>Exceptions</w:t>
      </w:r>
    </w:p>
    <w:p w:rsidR="006B6495" w:rsidRPr="000673A6" w:rsidRDefault="006B6495" w:rsidP="006B6495">
      <w:pPr>
        <w:jc w:val="both"/>
        <w:rPr>
          <w:lang w:val="fr-CA"/>
        </w:rPr>
      </w:pPr>
      <w:r w:rsidRPr="000673A6">
        <w:rPr>
          <w:lang w:val="fr-CA"/>
        </w:rPr>
        <w:t>Le nombre moyen d’exceptions par demande complétée a diminué de 1,49 en 2013-2014 à 1,42 en 2014-2015 (voir tableau 2). Les exceptions les plus fréquemment invoquées pour cette période étaient l’article 18 (les intérêts économiques du Canada) (37,0 %), l’article 19 (les renseignements personnels) (21,5 %), suivies de l’article 21 (les activités du gouvernement) (17,8 %).</w:t>
      </w:r>
    </w:p>
    <w:p w:rsidR="006B6495" w:rsidRPr="00957E09" w:rsidRDefault="006B6495">
      <w:pPr>
        <w:rPr>
          <w:b/>
          <w:lang w:val="fr-FR"/>
        </w:rPr>
      </w:pPr>
      <w:r w:rsidRPr="00957E09">
        <w:rPr>
          <w:lang w:val="fr-FR"/>
        </w:rPr>
        <w:br w:type="page"/>
      </w:r>
    </w:p>
    <w:p w:rsidR="006B6495" w:rsidRPr="00A0570C" w:rsidRDefault="006B6495" w:rsidP="006B6495">
      <w:pPr>
        <w:pStyle w:val="Heading3"/>
      </w:pPr>
      <w:r w:rsidRPr="00A0570C">
        <w:lastRenderedPageBreak/>
        <w:t xml:space="preserve">Tableau </w:t>
      </w:r>
      <w:proofErr w:type="gramStart"/>
      <w:r w:rsidRPr="00A0570C">
        <w:t>2 :</w:t>
      </w:r>
      <w:proofErr w:type="gramEnd"/>
      <w:r w:rsidRPr="00A0570C">
        <w:t xml:space="preserve"> Exceptions</w:t>
      </w:r>
    </w:p>
    <w:tbl>
      <w:tblPr>
        <w:tblW w:w="9367" w:type="dxa"/>
        <w:tblInd w:w="103" w:type="dxa"/>
        <w:tblLook w:val="04A0"/>
      </w:tblPr>
      <w:tblGrid>
        <w:gridCol w:w="5113"/>
        <w:gridCol w:w="1290"/>
        <w:gridCol w:w="1588"/>
        <w:gridCol w:w="1376"/>
      </w:tblGrid>
      <w:tr w:rsidR="006B6495" w:rsidRPr="00A0570C" w:rsidTr="006B6495">
        <w:trPr>
          <w:trHeight w:val="264"/>
        </w:trPr>
        <w:tc>
          <w:tcPr>
            <w:tcW w:w="5113" w:type="dxa"/>
            <w:tcBorders>
              <w:top w:val="single" w:sz="4" w:space="0" w:color="auto"/>
              <w:left w:val="single" w:sz="4" w:space="0" w:color="auto"/>
              <w:bottom w:val="single" w:sz="4" w:space="0" w:color="auto"/>
              <w:right w:val="nil"/>
            </w:tcBorders>
            <w:shd w:val="clear" w:color="000000" w:fill="DBE5F1"/>
            <w:noWrap/>
            <w:vAlign w:val="bottom"/>
            <w:hideMark/>
          </w:tcPr>
          <w:p w:rsidR="006B6495" w:rsidRPr="00A0570C" w:rsidRDefault="006B6495" w:rsidP="006B6495">
            <w:pPr>
              <w:spacing w:after="0" w:line="240" w:lineRule="auto"/>
              <w:rPr>
                <w:rFonts w:ascii="Calibri" w:eastAsia="Times New Roman" w:hAnsi="Calibri" w:cs="Times New Roman"/>
                <w:color w:val="000000"/>
                <w:lang w:val="fr-CA"/>
              </w:rPr>
            </w:pPr>
            <w:r w:rsidRPr="00A0570C">
              <w:rPr>
                <w:rFonts w:ascii="Calibri" w:eastAsia="Times New Roman" w:hAnsi="Calibri" w:cs="Times New Roman"/>
                <w:color w:val="000000"/>
                <w:lang w:val="fr-CA"/>
              </w:rPr>
              <w:t xml:space="preserve">Exceptions </w:t>
            </w:r>
          </w:p>
        </w:tc>
        <w:tc>
          <w:tcPr>
            <w:tcW w:w="1290" w:type="dxa"/>
            <w:tcBorders>
              <w:top w:val="single" w:sz="4" w:space="0" w:color="auto"/>
              <w:left w:val="nil"/>
              <w:bottom w:val="single" w:sz="4" w:space="0" w:color="auto"/>
              <w:right w:val="nil"/>
            </w:tcBorders>
            <w:shd w:val="clear" w:color="000000" w:fill="DBE5F1"/>
            <w:noWrap/>
            <w:vAlign w:val="bottom"/>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2012-2013</w:t>
            </w:r>
          </w:p>
        </w:tc>
        <w:tc>
          <w:tcPr>
            <w:tcW w:w="1588" w:type="dxa"/>
            <w:tcBorders>
              <w:top w:val="single" w:sz="4" w:space="0" w:color="auto"/>
              <w:left w:val="nil"/>
              <w:bottom w:val="single" w:sz="4" w:space="0" w:color="auto"/>
              <w:right w:val="nil"/>
            </w:tcBorders>
            <w:shd w:val="clear" w:color="000000" w:fill="DBE5F1"/>
            <w:noWrap/>
            <w:vAlign w:val="bottom"/>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2013-2014</w:t>
            </w:r>
          </w:p>
        </w:tc>
        <w:tc>
          <w:tcPr>
            <w:tcW w:w="1376" w:type="dxa"/>
            <w:tcBorders>
              <w:top w:val="single" w:sz="4" w:space="0" w:color="auto"/>
              <w:left w:val="nil"/>
              <w:bottom w:val="single" w:sz="4" w:space="0" w:color="auto"/>
              <w:right w:val="single" w:sz="4" w:space="0" w:color="auto"/>
            </w:tcBorders>
            <w:shd w:val="clear" w:color="000000" w:fill="DBE5F1"/>
            <w:noWrap/>
            <w:vAlign w:val="bottom"/>
            <w:hideMark/>
          </w:tcPr>
          <w:p w:rsidR="006B6495" w:rsidRPr="00A0570C" w:rsidRDefault="006B6495" w:rsidP="006B6495">
            <w:pPr>
              <w:spacing w:after="0" w:line="240" w:lineRule="auto"/>
              <w:jc w:val="center"/>
              <w:rPr>
                <w:rFonts w:ascii="Calibri" w:eastAsia="Times New Roman" w:hAnsi="Calibri" w:cs="Times New Roman"/>
                <w:b/>
                <w:bCs/>
                <w:color w:val="000000"/>
                <w:lang w:val="fr-CA"/>
              </w:rPr>
            </w:pPr>
            <w:r w:rsidRPr="00A0570C">
              <w:rPr>
                <w:rFonts w:ascii="Calibri" w:eastAsia="Times New Roman" w:hAnsi="Calibri" w:cs="Times New Roman"/>
                <w:b/>
                <w:bCs/>
                <w:color w:val="000000"/>
                <w:lang w:val="fr-CA"/>
              </w:rPr>
              <w:t>2014-2015</w:t>
            </w:r>
          </w:p>
        </w:tc>
      </w:tr>
      <w:tr w:rsidR="006B6495" w:rsidRPr="00A0570C" w:rsidTr="006B6495">
        <w:trPr>
          <w:trHeight w:val="264"/>
        </w:trPr>
        <w:tc>
          <w:tcPr>
            <w:tcW w:w="5113" w:type="dxa"/>
            <w:tcBorders>
              <w:top w:val="nil"/>
              <w:left w:val="single" w:sz="4" w:space="0" w:color="auto"/>
              <w:bottom w:val="nil"/>
              <w:right w:val="nil"/>
            </w:tcBorders>
            <w:shd w:val="clear" w:color="auto" w:fill="auto"/>
            <w:noWrap/>
            <w:vAlign w:val="bottom"/>
            <w:hideMark/>
          </w:tcPr>
          <w:p w:rsidR="006B6495" w:rsidRPr="00A0570C" w:rsidRDefault="006B6495" w:rsidP="006B6495">
            <w:pPr>
              <w:spacing w:after="0" w:line="240" w:lineRule="auto"/>
              <w:rPr>
                <w:rFonts w:ascii="Calibri" w:eastAsia="Times New Roman" w:hAnsi="Calibri" w:cs="Times New Roman"/>
                <w:color w:val="000000"/>
                <w:lang w:val="fr-CA"/>
              </w:rPr>
            </w:pPr>
            <w:r w:rsidRPr="00A0570C">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290" w:type="dxa"/>
            <w:tcBorders>
              <w:top w:val="nil"/>
              <w:left w:val="nil"/>
              <w:bottom w:val="nil"/>
              <w:right w:val="nil"/>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273</w:t>
            </w:r>
          </w:p>
        </w:tc>
        <w:tc>
          <w:tcPr>
            <w:tcW w:w="1588" w:type="dxa"/>
            <w:tcBorders>
              <w:top w:val="nil"/>
              <w:left w:val="nil"/>
              <w:bottom w:val="nil"/>
              <w:right w:val="nil"/>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164</w:t>
            </w:r>
          </w:p>
        </w:tc>
        <w:tc>
          <w:tcPr>
            <w:tcW w:w="1376" w:type="dxa"/>
            <w:tcBorders>
              <w:top w:val="nil"/>
              <w:left w:val="nil"/>
              <w:bottom w:val="nil"/>
              <w:right w:val="single" w:sz="4" w:space="0" w:color="auto"/>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135</w:t>
            </w:r>
          </w:p>
        </w:tc>
      </w:tr>
      <w:tr w:rsidR="006B6495" w:rsidRPr="00A0570C" w:rsidTr="006B6495">
        <w:trPr>
          <w:trHeight w:val="264"/>
        </w:trPr>
        <w:tc>
          <w:tcPr>
            <w:tcW w:w="5113" w:type="dxa"/>
            <w:tcBorders>
              <w:top w:val="nil"/>
              <w:left w:val="single" w:sz="4" w:space="0" w:color="auto"/>
              <w:bottom w:val="single" w:sz="4" w:space="0" w:color="auto"/>
              <w:right w:val="nil"/>
            </w:tcBorders>
            <w:shd w:val="clear" w:color="auto" w:fill="auto"/>
            <w:noWrap/>
            <w:vAlign w:val="bottom"/>
            <w:hideMark/>
          </w:tcPr>
          <w:p w:rsidR="006B6495" w:rsidRPr="00A0570C" w:rsidRDefault="006B6495" w:rsidP="006B6495">
            <w:pPr>
              <w:spacing w:after="0" w:line="240" w:lineRule="auto"/>
              <w:rPr>
                <w:rFonts w:ascii="Calibri" w:eastAsia="Times New Roman" w:hAnsi="Calibri" w:cs="Times New Roman"/>
                <w:color w:val="000000"/>
                <w:lang w:val="fr-CA"/>
              </w:rPr>
            </w:pPr>
            <w:r w:rsidRPr="00A0570C">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290" w:type="dxa"/>
            <w:tcBorders>
              <w:top w:val="nil"/>
              <w:left w:val="nil"/>
              <w:bottom w:val="single" w:sz="4" w:space="0" w:color="auto"/>
              <w:right w:val="nil"/>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135</w:t>
            </w:r>
          </w:p>
        </w:tc>
        <w:tc>
          <w:tcPr>
            <w:tcW w:w="1588" w:type="dxa"/>
            <w:tcBorders>
              <w:top w:val="nil"/>
              <w:left w:val="nil"/>
              <w:bottom w:val="single" w:sz="4" w:space="0" w:color="auto"/>
              <w:right w:val="nil"/>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110</w:t>
            </w:r>
          </w:p>
        </w:tc>
        <w:tc>
          <w:tcPr>
            <w:tcW w:w="1376" w:type="dxa"/>
            <w:tcBorders>
              <w:top w:val="nil"/>
              <w:left w:val="nil"/>
              <w:bottom w:val="single" w:sz="4" w:space="0" w:color="auto"/>
              <w:right w:val="single" w:sz="4" w:space="0" w:color="auto"/>
            </w:tcBorders>
            <w:shd w:val="clear" w:color="auto" w:fill="auto"/>
            <w:noWrap/>
            <w:vAlign w:val="bottom"/>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95</w:t>
            </w:r>
          </w:p>
        </w:tc>
      </w:tr>
      <w:tr w:rsidR="006B6495" w:rsidRPr="00A0570C" w:rsidTr="006B6495">
        <w:trPr>
          <w:trHeight w:val="264"/>
        </w:trPr>
        <w:tc>
          <w:tcPr>
            <w:tcW w:w="5113" w:type="dxa"/>
            <w:tcBorders>
              <w:top w:val="nil"/>
              <w:left w:val="single" w:sz="4" w:space="0" w:color="auto"/>
              <w:bottom w:val="single" w:sz="4" w:space="0" w:color="auto"/>
              <w:right w:val="nil"/>
            </w:tcBorders>
            <w:shd w:val="clear" w:color="000000" w:fill="B8CCE4"/>
            <w:vAlign w:val="bottom"/>
            <w:hideMark/>
          </w:tcPr>
          <w:p w:rsidR="006B6495" w:rsidRPr="00A0570C" w:rsidRDefault="006B6495" w:rsidP="006B6495">
            <w:pPr>
              <w:spacing w:after="0" w:line="240" w:lineRule="auto"/>
              <w:rPr>
                <w:rFonts w:ascii="Calibri" w:eastAsia="Times New Roman" w:hAnsi="Calibri" w:cs="Times New Roman"/>
                <w:color w:val="000000"/>
                <w:lang w:val="fr-CA"/>
              </w:rPr>
            </w:pPr>
            <w:r w:rsidRPr="00A0570C">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290" w:type="dxa"/>
            <w:tcBorders>
              <w:top w:val="nil"/>
              <w:left w:val="nil"/>
              <w:bottom w:val="single" w:sz="4" w:space="0" w:color="auto"/>
              <w:right w:val="nil"/>
            </w:tcBorders>
            <w:shd w:val="clear" w:color="000000" w:fill="B8CCE4"/>
            <w:noWrap/>
            <w:vAlign w:val="center"/>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2,02</w:t>
            </w:r>
          </w:p>
        </w:tc>
        <w:tc>
          <w:tcPr>
            <w:tcW w:w="1588" w:type="dxa"/>
            <w:tcBorders>
              <w:top w:val="nil"/>
              <w:left w:val="nil"/>
              <w:bottom w:val="single" w:sz="4" w:space="0" w:color="auto"/>
              <w:right w:val="nil"/>
            </w:tcBorders>
            <w:shd w:val="clear" w:color="000000" w:fill="B8CCE4"/>
            <w:noWrap/>
            <w:vAlign w:val="center"/>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1,49</w:t>
            </w:r>
          </w:p>
        </w:tc>
        <w:tc>
          <w:tcPr>
            <w:tcW w:w="1376" w:type="dxa"/>
            <w:tcBorders>
              <w:top w:val="nil"/>
              <w:left w:val="nil"/>
              <w:bottom w:val="single" w:sz="4" w:space="0" w:color="auto"/>
              <w:right w:val="nil"/>
            </w:tcBorders>
            <w:shd w:val="clear" w:color="000000" w:fill="B8CCE4"/>
            <w:noWrap/>
            <w:vAlign w:val="center"/>
            <w:hideMark/>
          </w:tcPr>
          <w:p w:rsidR="006B6495" w:rsidRPr="00A0570C" w:rsidRDefault="006B6495" w:rsidP="006B6495">
            <w:pPr>
              <w:spacing w:after="0" w:line="240" w:lineRule="auto"/>
              <w:jc w:val="center"/>
              <w:rPr>
                <w:rFonts w:ascii="Calibri" w:eastAsia="Times New Roman" w:hAnsi="Calibri" w:cs="Times New Roman"/>
                <w:color w:val="000000"/>
                <w:lang w:val="fr-CA"/>
              </w:rPr>
            </w:pPr>
            <w:r w:rsidRPr="00A0570C">
              <w:rPr>
                <w:rFonts w:ascii="Calibri" w:eastAsia="Times New Roman" w:hAnsi="Calibri" w:cs="Times New Roman"/>
                <w:color w:val="000000"/>
                <w:lang w:val="fr-CA"/>
              </w:rPr>
              <w:t>1,42</w:t>
            </w:r>
          </w:p>
        </w:tc>
      </w:tr>
    </w:tbl>
    <w:p w:rsidR="006B6495" w:rsidRPr="00C161AA" w:rsidRDefault="006B6495" w:rsidP="006B6495">
      <w:pPr>
        <w:pStyle w:val="Heading2"/>
        <w:spacing w:before="240"/>
      </w:pPr>
      <w:r w:rsidRPr="00C161AA">
        <w:t>Plaintes au Commissariat à l’information</w:t>
      </w:r>
    </w:p>
    <w:p w:rsidR="006B6495" w:rsidRPr="00C161AA" w:rsidRDefault="006B6495" w:rsidP="006B6495">
      <w:pPr>
        <w:jc w:val="both"/>
        <w:rPr>
          <w:lang w:val="fr-CA"/>
        </w:rPr>
      </w:pPr>
      <w:r>
        <w:rPr>
          <w:lang w:val="fr-CA"/>
        </w:rPr>
        <w:t>En 2014-</w:t>
      </w:r>
      <w:r w:rsidRPr="00153D33">
        <w:rPr>
          <w:lang w:val="fr-CA"/>
        </w:rPr>
        <w:t>2015, le Commissariat à l’information du Canada a reçu 30 plaintes</w:t>
      </w:r>
      <w:r>
        <w:rPr>
          <w:rStyle w:val="FootnoteReference"/>
          <w:lang w:val="fr-CA"/>
        </w:rPr>
        <w:footnoteReference w:id="103"/>
      </w:r>
      <w:r w:rsidRPr="00153D33">
        <w:rPr>
          <w:lang w:val="fr-CA"/>
        </w:rPr>
        <w:t xml:space="preserve"> concernant la SPC dont 24 qui étaient attribuables à des refus et 6 qui étaient de nature administrative. 6 plaintes</w:t>
      </w:r>
      <w:r w:rsidRPr="00A0570C">
        <w:rPr>
          <w:lang w:val="fr-CA"/>
        </w:rPr>
        <w:t xml:space="preserve"> étaient fondées et ont été réglées,</w:t>
      </w:r>
      <w:r>
        <w:rPr>
          <w:lang w:val="fr-CA"/>
        </w:rPr>
        <w:t xml:space="preserve"> 1 plainte n’était pas fondée, 5</w:t>
      </w:r>
      <w:r w:rsidRPr="00A0570C">
        <w:rPr>
          <w:lang w:val="fr-CA"/>
        </w:rPr>
        <w:t> </w:t>
      </w:r>
      <w:r>
        <w:rPr>
          <w:lang w:val="fr-CA"/>
        </w:rPr>
        <w:t>plaintes ont été abandonn</w:t>
      </w:r>
      <w:r w:rsidR="008303C9">
        <w:rPr>
          <w:lang w:val="fr-CA"/>
        </w:rPr>
        <w:t>ées et 18 étaient encore</w:t>
      </w:r>
      <w:r>
        <w:rPr>
          <w:lang w:val="fr-CA"/>
        </w:rPr>
        <w:t xml:space="preserve"> en suspens. </w:t>
      </w:r>
      <w:r w:rsidRPr="009D0231">
        <w:rPr>
          <w:lang w:val="fr-CA"/>
        </w:rPr>
        <w:t>En 2013-2014, SPC avait reçues 10 plaintes qui étaient tou</w:t>
      </w:r>
      <w:r w:rsidR="00B25C51">
        <w:rPr>
          <w:lang w:val="fr-CA"/>
        </w:rPr>
        <w:t>te</w:t>
      </w:r>
      <w:r w:rsidRPr="009D0231">
        <w:rPr>
          <w:lang w:val="fr-CA"/>
        </w:rPr>
        <w:t>s attribuables à des refus.</w:t>
      </w:r>
    </w:p>
    <w:p w:rsidR="006B6495" w:rsidRDefault="006B6495">
      <w:pPr>
        <w:rPr>
          <w:lang w:val="fr-CA"/>
        </w:rPr>
      </w:pPr>
      <w:r>
        <w:rPr>
          <w:lang w:val="fr-CA"/>
        </w:rPr>
        <w:br w:type="page"/>
      </w:r>
    </w:p>
    <w:p w:rsidR="006B6495" w:rsidRPr="00880404" w:rsidRDefault="006B6495" w:rsidP="006B6495">
      <w:pPr>
        <w:pStyle w:val="Heading1"/>
      </w:pPr>
      <w:r w:rsidRPr="00880404">
        <w:lastRenderedPageBreak/>
        <w:t>Service canadien du renseignement de sécurité</w:t>
      </w:r>
    </w:p>
    <w:p w:rsidR="006B6495" w:rsidRPr="00880404" w:rsidRDefault="006B6495" w:rsidP="006B6495">
      <w:pPr>
        <w:jc w:val="both"/>
        <w:rPr>
          <w:lang w:val="fr-CA"/>
        </w:rPr>
      </w:pPr>
      <w:r w:rsidRPr="00880404">
        <w:rPr>
          <w:rStyle w:val="Heading2Char"/>
        </w:rPr>
        <w:t>Rendement global</w:t>
      </w:r>
      <w:r w:rsidRPr="00AC446C">
        <w:rPr>
          <w:rStyle w:val="FootnoteReference"/>
          <w:b/>
          <w:lang w:val="fr-CA"/>
        </w:rPr>
        <w:footnoteReference w:id="104"/>
      </w:r>
    </w:p>
    <w:p w:rsidR="006B6495" w:rsidRPr="00AC446C" w:rsidRDefault="006B6495" w:rsidP="006B6495">
      <w:pPr>
        <w:jc w:val="both"/>
        <w:rPr>
          <w:lang w:val="fr-CA"/>
        </w:rPr>
      </w:pPr>
      <w:r w:rsidRPr="00AC446C">
        <w:rPr>
          <w:lang w:val="fr-CA"/>
        </w:rPr>
        <w:t xml:space="preserve">Le Service canadien du renseignement de sécurité (SCRS) </w:t>
      </w:r>
      <w:r>
        <w:rPr>
          <w:lang w:val="fr-CA"/>
        </w:rPr>
        <w:t>a complété</w:t>
      </w:r>
      <w:r w:rsidRPr="00AC446C">
        <w:rPr>
          <w:lang w:val="fr-CA"/>
        </w:rPr>
        <w:t xml:space="preserve"> </w:t>
      </w:r>
      <w:r>
        <w:rPr>
          <w:lang w:val="fr-CA"/>
        </w:rPr>
        <w:t>75,8 % de leurs demandes en 2014-2015. Bien que la performance du SCRS semble avoir diminué, cela pourrait être en partie dû aux changements effectués par le SCT au rapport statistique</w:t>
      </w:r>
      <w:r>
        <w:rPr>
          <w:rStyle w:val="FootnoteReference"/>
          <w:lang w:val="fr-CA"/>
        </w:rPr>
        <w:footnoteReference w:id="105"/>
      </w:r>
      <w:r>
        <w:rPr>
          <w:lang w:val="fr-CA"/>
        </w:rPr>
        <w:t>.</w:t>
      </w:r>
    </w:p>
    <w:p w:rsidR="006B6495" w:rsidRPr="00880404" w:rsidRDefault="006B6495" w:rsidP="006B6495">
      <w:pPr>
        <w:pStyle w:val="Heading2"/>
      </w:pPr>
      <w:r w:rsidRPr="00880404">
        <w:t>Charge de travail</w:t>
      </w:r>
    </w:p>
    <w:p w:rsidR="006B6495" w:rsidRDefault="006B6495" w:rsidP="006B6495">
      <w:pPr>
        <w:jc w:val="both"/>
        <w:rPr>
          <w:lang w:val="fr-CA"/>
        </w:rPr>
      </w:pPr>
      <w:r>
        <w:rPr>
          <w:lang w:val="fr-CA"/>
        </w:rPr>
        <w:t>En 2014-2015, l</w:t>
      </w:r>
      <w:r w:rsidRPr="00AC446C">
        <w:rPr>
          <w:lang w:val="fr-CA"/>
        </w:rPr>
        <w:t>e SCRS a reçu 366 demandes</w:t>
      </w:r>
      <w:r>
        <w:rPr>
          <w:lang w:val="fr-CA"/>
        </w:rPr>
        <w:t xml:space="preserve"> formelles et 298 demandes informelles, pour un total de 664 demandes. En comparaison, le SCRS avait reçu 903 demandes en </w:t>
      </w:r>
      <w:r w:rsidRPr="00AC446C">
        <w:rPr>
          <w:lang w:val="fr-CA"/>
        </w:rPr>
        <w:t>2013</w:t>
      </w:r>
      <w:r w:rsidRPr="00AC446C">
        <w:rPr>
          <w:lang w:val="fr-CA"/>
        </w:rPr>
        <w:noBreakHyphen/>
        <w:t>2014</w:t>
      </w:r>
      <w:r w:rsidRPr="00AC446C">
        <w:rPr>
          <w:rStyle w:val="FootnoteReference"/>
          <w:lang w:val="fr-CA"/>
        </w:rPr>
        <w:footnoteReference w:id="106"/>
      </w:r>
      <w:r>
        <w:rPr>
          <w:lang w:val="fr-CA"/>
        </w:rPr>
        <w:t>.</w:t>
      </w:r>
    </w:p>
    <w:p w:rsidR="006B6495" w:rsidRPr="00AC446C" w:rsidRDefault="006B6495" w:rsidP="006B6495">
      <w:pPr>
        <w:jc w:val="both"/>
        <w:rPr>
          <w:lang w:val="fr-CA"/>
        </w:rPr>
      </w:pPr>
      <w:r>
        <w:rPr>
          <w:lang w:val="fr-CA"/>
        </w:rPr>
        <w:t xml:space="preserve">En 2014-2015, la </w:t>
      </w:r>
      <w:r w:rsidRPr="00AC446C">
        <w:rPr>
          <w:lang w:val="fr-CA"/>
        </w:rPr>
        <w:t>majeure partie des demandes</w:t>
      </w:r>
      <w:r>
        <w:rPr>
          <w:lang w:val="fr-CA"/>
        </w:rPr>
        <w:t xml:space="preserve"> formelles reçues</w:t>
      </w:r>
      <w:r w:rsidRPr="00AC446C">
        <w:rPr>
          <w:lang w:val="fr-CA"/>
        </w:rPr>
        <w:t xml:space="preserve"> provenaient des médias</w:t>
      </w:r>
      <w:r>
        <w:rPr>
          <w:lang w:val="fr-CA"/>
        </w:rPr>
        <w:t xml:space="preserve"> </w:t>
      </w:r>
      <w:r w:rsidRPr="00AC446C">
        <w:rPr>
          <w:lang w:val="fr-CA"/>
        </w:rPr>
        <w:t>(48,1 %), suivies de celles du public (38,3 %).</w:t>
      </w:r>
    </w:p>
    <w:p w:rsidR="006B6495" w:rsidRDefault="006B6495" w:rsidP="006B6495">
      <w:pPr>
        <w:jc w:val="both"/>
        <w:rPr>
          <w:lang w:val="fr-CA"/>
        </w:rPr>
      </w:pPr>
      <w:r w:rsidRPr="00AC446C">
        <w:rPr>
          <w:lang w:val="fr-CA"/>
        </w:rPr>
        <w:t xml:space="preserve">Le SCRS a </w:t>
      </w:r>
      <w:r>
        <w:rPr>
          <w:lang w:val="fr-CA"/>
        </w:rPr>
        <w:t>complétées</w:t>
      </w:r>
      <w:r w:rsidRPr="00AC446C">
        <w:rPr>
          <w:lang w:val="fr-CA"/>
        </w:rPr>
        <w:t xml:space="preserve"> 314 demandes</w:t>
      </w:r>
      <w:r>
        <w:rPr>
          <w:lang w:val="fr-CA"/>
        </w:rPr>
        <w:t xml:space="preserve"> formelles</w:t>
      </w:r>
      <w:r w:rsidRPr="00AC446C">
        <w:rPr>
          <w:lang w:val="fr-CA"/>
        </w:rPr>
        <w:t xml:space="preserve"> pour cette période de référence. Le taux d’achèvement était de 75,8 %</w:t>
      </w:r>
      <w:r w:rsidRPr="00AC446C">
        <w:rPr>
          <w:rStyle w:val="FootnoteReference"/>
          <w:lang w:val="fr-CA"/>
        </w:rPr>
        <w:footnoteReference w:id="107"/>
      </w:r>
      <w:r w:rsidRPr="00AC446C">
        <w:rPr>
          <w:lang w:val="fr-CA"/>
        </w:rPr>
        <w:t>, soit inférieur à celui rapporté pour l’ensemble du gouvernement</w:t>
      </w:r>
      <w:r>
        <w:rPr>
          <w:lang w:val="fr-CA"/>
        </w:rPr>
        <w:t xml:space="preserve"> qui lui, était de 85,1 %</w:t>
      </w:r>
      <w:r w:rsidRPr="00AC446C">
        <w:rPr>
          <w:lang w:val="fr-CA"/>
        </w:rPr>
        <w:t>. En 2013</w:t>
      </w:r>
      <w:r>
        <w:rPr>
          <w:lang w:val="fr-CA"/>
        </w:rPr>
        <w:t>-</w:t>
      </w:r>
      <w:r w:rsidRPr="00AC446C">
        <w:rPr>
          <w:lang w:val="fr-CA"/>
        </w:rPr>
        <w:t xml:space="preserve">2014, le taux </w:t>
      </w:r>
      <w:r w:rsidRPr="00C30EB3">
        <w:rPr>
          <w:lang w:val="fr-CA"/>
        </w:rPr>
        <w:t>d’achèvement pour le SCRS était de 95</w:t>
      </w:r>
      <w:r>
        <w:rPr>
          <w:lang w:val="fr-CA"/>
        </w:rPr>
        <w:t>,0</w:t>
      </w:r>
      <w:r w:rsidRPr="00C30EB3">
        <w:rPr>
          <w:lang w:val="fr-CA"/>
        </w:rPr>
        <w:t> %</w:t>
      </w:r>
      <w:r>
        <w:rPr>
          <w:lang w:val="fr-CA"/>
        </w:rPr>
        <w:t>. De plus, les 298 demandes informelles reçues en 2014-2015 ont toutes été complétées dans un délai de 15 jours.</w:t>
      </w:r>
    </w:p>
    <w:p w:rsidR="006B6495" w:rsidRPr="00C30EB3" w:rsidRDefault="006B6495" w:rsidP="006B6495">
      <w:pPr>
        <w:jc w:val="both"/>
        <w:rPr>
          <w:lang w:val="fr-CA"/>
        </w:rPr>
      </w:pPr>
      <w:r w:rsidRPr="00C30EB3">
        <w:rPr>
          <w:lang w:val="fr-CA"/>
        </w:rPr>
        <w:t>Le nombre de demandes de co</w:t>
      </w:r>
      <w:r>
        <w:rPr>
          <w:lang w:val="fr-CA"/>
        </w:rPr>
        <w:t>nsultation reçues par le SCRS</w:t>
      </w:r>
      <w:r w:rsidRPr="00C30EB3">
        <w:rPr>
          <w:lang w:val="fr-CA"/>
        </w:rPr>
        <w:t xml:space="preserve"> en provenance d’autres institutions fédérales a diminué de 317 en 2013-2014 à 234 en 2014-2015, ce qui r</w:t>
      </w:r>
      <w:r>
        <w:rPr>
          <w:lang w:val="fr-CA"/>
        </w:rPr>
        <w:t>eprésente une baisse de 26,2 %.</w:t>
      </w:r>
    </w:p>
    <w:p w:rsidR="006B6495" w:rsidRPr="00AC446C" w:rsidRDefault="006B6495" w:rsidP="006B6495">
      <w:pPr>
        <w:jc w:val="both"/>
        <w:rPr>
          <w:lang w:val="fr-CA"/>
        </w:rPr>
      </w:pPr>
      <w:r w:rsidRPr="00C30EB3">
        <w:rPr>
          <w:lang w:val="fr-CA"/>
        </w:rPr>
        <w:t>En tout, le SCRS a traité 40 300 pages en 2014</w:t>
      </w:r>
      <w:r w:rsidRPr="00C30EB3">
        <w:rPr>
          <w:lang w:val="fr-CA"/>
        </w:rPr>
        <w:noBreakHyphen/>
        <w:t>2015. Le nombre moyen de</w:t>
      </w:r>
      <w:r w:rsidRPr="00AC446C">
        <w:rPr>
          <w:lang w:val="fr-CA"/>
        </w:rPr>
        <w:t xml:space="preserve"> pages traitées par demande </w:t>
      </w:r>
      <w:r>
        <w:rPr>
          <w:lang w:val="fr-CA"/>
        </w:rPr>
        <w:t>complétée</w:t>
      </w:r>
      <w:r w:rsidRPr="00AC446C">
        <w:rPr>
          <w:lang w:val="fr-CA"/>
        </w:rPr>
        <w:t xml:space="preserve"> a diminué de 173 en 2013</w:t>
      </w:r>
      <w:r>
        <w:rPr>
          <w:lang w:val="fr-CA"/>
        </w:rPr>
        <w:t>-</w:t>
      </w:r>
      <w:r w:rsidRPr="00AC446C">
        <w:rPr>
          <w:lang w:val="fr-CA"/>
        </w:rPr>
        <w:t>2014 à 147 en 2014</w:t>
      </w:r>
      <w:r>
        <w:rPr>
          <w:lang w:val="fr-CA"/>
        </w:rPr>
        <w:t>-2015.</w:t>
      </w:r>
    </w:p>
    <w:p w:rsidR="006B6495" w:rsidRDefault="006B6495" w:rsidP="006B6495">
      <w:pPr>
        <w:jc w:val="both"/>
        <w:rPr>
          <w:lang w:val="fr-CA"/>
        </w:rPr>
      </w:pPr>
      <w:r w:rsidRPr="00AC446C">
        <w:rPr>
          <w:lang w:val="fr-CA"/>
        </w:rPr>
        <w:t xml:space="preserve">L’information diffusée par le SCRS était </w:t>
      </w:r>
      <w:r>
        <w:rPr>
          <w:lang w:val="fr-CA"/>
        </w:rPr>
        <w:t>majoritairement</w:t>
      </w:r>
      <w:r w:rsidRPr="00AC446C">
        <w:rPr>
          <w:lang w:val="fr-CA"/>
        </w:rPr>
        <w:t xml:space="preserve"> en format papier : 115 demandes en format papier par rapport à 18 demandes en format électronique</w:t>
      </w:r>
      <w:r>
        <w:rPr>
          <w:lang w:val="fr-CA"/>
        </w:rPr>
        <w:t>.</w:t>
      </w:r>
    </w:p>
    <w:p w:rsidR="006B6495" w:rsidRPr="00957E09" w:rsidRDefault="006B6495">
      <w:pPr>
        <w:rPr>
          <w:b/>
          <w:lang w:val="fr-FR"/>
        </w:rPr>
      </w:pPr>
      <w:r w:rsidRPr="00957E09">
        <w:rPr>
          <w:lang w:val="fr-FR"/>
        </w:rPr>
        <w:br w:type="page"/>
      </w:r>
    </w:p>
    <w:p w:rsidR="006B6495" w:rsidRPr="00880404" w:rsidRDefault="006B6495" w:rsidP="006B6495">
      <w:pPr>
        <w:pStyle w:val="Heading3"/>
      </w:pPr>
      <w:r w:rsidRPr="00880404">
        <w:lastRenderedPageBreak/>
        <w:t xml:space="preserve">Tableau </w:t>
      </w:r>
      <w:proofErr w:type="gramStart"/>
      <w:r w:rsidRPr="00880404">
        <w:t>1 :</w:t>
      </w:r>
      <w:proofErr w:type="gramEnd"/>
      <w:r w:rsidRPr="00880404">
        <w:t xml:space="preserve"> Charge de travail</w:t>
      </w:r>
    </w:p>
    <w:tbl>
      <w:tblPr>
        <w:tblW w:w="9438" w:type="dxa"/>
        <w:tblInd w:w="98" w:type="dxa"/>
        <w:tblLook w:val="04A0"/>
      </w:tblPr>
      <w:tblGrid>
        <w:gridCol w:w="4861"/>
        <w:gridCol w:w="1273"/>
        <w:gridCol w:w="1551"/>
        <w:gridCol w:w="1753"/>
      </w:tblGrid>
      <w:tr w:rsidR="006B6495" w:rsidRPr="00AC446C" w:rsidTr="006B6495">
        <w:trPr>
          <w:trHeight w:val="299"/>
        </w:trPr>
        <w:tc>
          <w:tcPr>
            <w:tcW w:w="4861" w:type="dxa"/>
            <w:tcBorders>
              <w:top w:val="single" w:sz="4" w:space="0" w:color="auto"/>
              <w:left w:val="single" w:sz="4" w:space="0" w:color="auto"/>
              <w:right w:val="nil"/>
            </w:tcBorders>
            <w:shd w:val="clear" w:color="auto" w:fill="auto"/>
            <w:noWrap/>
            <w:vAlign w:val="bottom"/>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 Mesures </w:t>
            </w:r>
          </w:p>
        </w:tc>
        <w:tc>
          <w:tcPr>
            <w:tcW w:w="1273" w:type="dxa"/>
            <w:tcBorders>
              <w:top w:val="single" w:sz="4" w:space="0" w:color="auto"/>
              <w:left w:val="nil"/>
              <w:right w:val="nil"/>
            </w:tcBorders>
            <w:shd w:val="clear" w:color="auto" w:fill="auto"/>
            <w:noWrap/>
            <w:vAlign w:val="bottom"/>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2012-2013</w:t>
            </w:r>
          </w:p>
        </w:tc>
        <w:tc>
          <w:tcPr>
            <w:tcW w:w="1551" w:type="dxa"/>
            <w:tcBorders>
              <w:top w:val="single" w:sz="4" w:space="0" w:color="auto"/>
              <w:left w:val="nil"/>
              <w:right w:val="nil"/>
            </w:tcBorders>
            <w:shd w:val="clear" w:color="auto" w:fill="auto"/>
            <w:noWrap/>
            <w:vAlign w:val="bottom"/>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2013-2014</w:t>
            </w:r>
          </w:p>
        </w:tc>
        <w:tc>
          <w:tcPr>
            <w:tcW w:w="1753" w:type="dxa"/>
            <w:tcBorders>
              <w:top w:val="single" w:sz="4" w:space="0" w:color="auto"/>
              <w:left w:val="nil"/>
              <w:right w:val="single" w:sz="4" w:space="0" w:color="auto"/>
            </w:tcBorders>
            <w:shd w:val="clear" w:color="auto" w:fill="auto"/>
            <w:noWrap/>
            <w:vAlign w:val="bottom"/>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2014-2015</w:t>
            </w:r>
          </w:p>
        </w:tc>
      </w:tr>
      <w:tr w:rsidR="006B6495" w:rsidRPr="00AC446C" w:rsidTr="006B6495">
        <w:trPr>
          <w:trHeight w:val="341"/>
        </w:trPr>
        <w:tc>
          <w:tcPr>
            <w:tcW w:w="4861" w:type="dxa"/>
            <w:tcBorders>
              <w:top w:val="nil"/>
              <w:left w:val="single" w:sz="4" w:space="0" w:color="auto"/>
              <w:bottom w:val="nil"/>
              <w:right w:val="nil"/>
            </w:tcBorders>
            <w:shd w:val="clear" w:color="000000" w:fill="DBE5F1"/>
            <w:noWrap/>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Nombre de demandes reçues </w:t>
            </w:r>
          </w:p>
        </w:tc>
        <w:tc>
          <w:tcPr>
            <w:tcW w:w="1273" w:type="dxa"/>
            <w:tcBorders>
              <w:top w:val="nil"/>
              <w:left w:val="nil"/>
              <w:bottom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488</w:t>
            </w:r>
          </w:p>
        </w:tc>
        <w:tc>
          <w:tcPr>
            <w:tcW w:w="1551" w:type="dxa"/>
            <w:tcBorders>
              <w:top w:val="nil"/>
              <w:left w:val="nil"/>
              <w:bottom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903</w:t>
            </w:r>
          </w:p>
        </w:tc>
        <w:tc>
          <w:tcPr>
            <w:tcW w:w="1753" w:type="dxa"/>
            <w:tcBorders>
              <w:top w:val="nil"/>
              <w:left w:val="nil"/>
              <w:bottom w:val="nil"/>
              <w:right w:val="single" w:sz="4" w:space="0" w:color="auto"/>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366</w:t>
            </w:r>
          </w:p>
        </w:tc>
      </w:tr>
      <w:tr w:rsidR="006B6495" w:rsidRPr="00AC446C" w:rsidTr="006B6495">
        <w:trPr>
          <w:trHeight w:val="341"/>
        </w:trPr>
        <w:tc>
          <w:tcPr>
            <w:tcW w:w="4861" w:type="dxa"/>
            <w:tcBorders>
              <w:top w:val="nil"/>
              <w:left w:val="single" w:sz="4" w:space="0" w:color="auto"/>
              <w:bottom w:val="nil"/>
              <w:right w:val="nil"/>
            </w:tcBorders>
            <w:shd w:val="clear" w:color="auto" w:fill="auto"/>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Variation annuelle en %</w:t>
            </w:r>
          </w:p>
        </w:tc>
        <w:tc>
          <w:tcPr>
            <w:tcW w:w="1273" w:type="dxa"/>
            <w:tcBorders>
              <w:top w:val="nil"/>
              <w:left w:val="nil"/>
              <w:bottom w:val="nil"/>
              <w:right w:val="nil"/>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w:t>
            </w:r>
          </w:p>
        </w:tc>
        <w:tc>
          <w:tcPr>
            <w:tcW w:w="1551" w:type="dxa"/>
            <w:tcBorders>
              <w:top w:val="nil"/>
              <w:left w:val="nil"/>
              <w:bottom w:val="nil"/>
              <w:right w:val="nil"/>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85 %</w:t>
            </w:r>
          </w:p>
        </w:tc>
        <w:tc>
          <w:tcPr>
            <w:tcW w:w="1753" w:type="dxa"/>
            <w:tcBorders>
              <w:top w:val="nil"/>
              <w:left w:val="nil"/>
              <w:bottom w:val="nil"/>
              <w:right w:val="single" w:sz="4" w:space="0" w:color="auto"/>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-59,5 %</w:t>
            </w:r>
          </w:p>
        </w:tc>
      </w:tr>
      <w:tr w:rsidR="006B6495" w:rsidRPr="00AC446C" w:rsidTr="006B6495">
        <w:trPr>
          <w:trHeight w:val="284"/>
        </w:trPr>
        <w:tc>
          <w:tcPr>
            <w:tcW w:w="4861" w:type="dxa"/>
            <w:tcBorders>
              <w:top w:val="nil"/>
              <w:left w:val="single" w:sz="4" w:space="0" w:color="auto"/>
              <w:bottom w:val="nil"/>
              <w:right w:val="nil"/>
            </w:tcBorders>
            <w:shd w:val="clear" w:color="000000" w:fill="DBE5F1"/>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273" w:type="dxa"/>
            <w:tcBorders>
              <w:top w:val="nil"/>
              <w:left w:val="nil"/>
              <w:bottom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473</w:t>
            </w:r>
          </w:p>
        </w:tc>
        <w:tc>
          <w:tcPr>
            <w:tcW w:w="1551" w:type="dxa"/>
            <w:tcBorders>
              <w:top w:val="nil"/>
              <w:left w:val="nil"/>
              <w:bottom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916</w:t>
            </w:r>
          </w:p>
        </w:tc>
        <w:tc>
          <w:tcPr>
            <w:tcW w:w="1753" w:type="dxa"/>
            <w:tcBorders>
              <w:top w:val="nil"/>
              <w:left w:val="nil"/>
              <w:bottom w:val="nil"/>
              <w:right w:val="single" w:sz="4" w:space="0" w:color="auto"/>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314</w:t>
            </w:r>
          </w:p>
        </w:tc>
      </w:tr>
      <w:tr w:rsidR="006B6495" w:rsidRPr="00AC446C" w:rsidTr="006B6495">
        <w:trPr>
          <w:trHeight w:val="299"/>
        </w:trPr>
        <w:tc>
          <w:tcPr>
            <w:tcW w:w="4861" w:type="dxa"/>
            <w:tcBorders>
              <w:top w:val="nil"/>
              <w:left w:val="single" w:sz="4" w:space="0" w:color="auto"/>
              <w:right w:val="nil"/>
            </w:tcBorders>
            <w:shd w:val="clear" w:color="auto" w:fill="auto"/>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Variation annuelle en %</w:t>
            </w:r>
          </w:p>
        </w:tc>
        <w:tc>
          <w:tcPr>
            <w:tcW w:w="1273" w:type="dxa"/>
            <w:tcBorders>
              <w:top w:val="nil"/>
              <w:left w:val="nil"/>
              <w:right w:val="nil"/>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w:t>
            </w:r>
          </w:p>
        </w:tc>
        <w:tc>
          <w:tcPr>
            <w:tcW w:w="1551" w:type="dxa"/>
            <w:tcBorders>
              <w:top w:val="nil"/>
              <w:left w:val="nil"/>
              <w:right w:val="nil"/>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93,7 %</w:t>
            </w:r>
          </w:p>
        </w:tc>
        <w:tc>
          <w:tcPr>
            <w:tcW w:w="1753" w:type="dxa"/>
            <w:tcBorders>
              <w:top w:val="nil"/>
              <w:left w:val="nil"/>
              <w:right w:val="single" w:sz="4" w:space="0" w:color="auto"/>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-65,7 %</w:t>
            </w:r>
          </w:p>
        </w:tc>
      </w:tr>
      <w:tr w:rsidR="006B6495" w:rsidRPr="00AC446C" w:rsidTr="006B6495">
        <w:trPr>
          <w:trHeight w:val="540"/>
        </w:trPr>
        <w:tc>
          <w:tcPr>
            <w:tcW w:w="4861" w:type="dxa"/>
            <w:tcBorders>
              <w:top w:val="nil"/>
              <w:left w:val="single" w:sz="4" w:space="0" w:color="auto"/>
              <w:right w:val="nil"/>
            </w:tcBorders>
            <w:shd w:val="clear" w:color="000000" w:fill="DBE5F1"/>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Nombre de demandes </w:t>
            </w:r>
            <w:r>
              <w:rPr>
                <w:rFonts w:ascii="Calibri" w:eastAsia="Times New Roman" w:hAnsi="Calibri" w:cs="Times New Roman"/>
                <w:color w:val="000000"/>
                <w:lang w:val="fr-CA"/>
              </w:rPr>
              <w:t>de consultation</w:t>
            </w:r>
            <w:r w:rsidRPr="00AC446C">
              <w:rPr>
                <w:rFonts w:ascii="Calibri" w:eastAsia="Times New Roman" w:hAnsi="Calibri" w:cs="Times New Roman"/>
                <w:color w:val="000000"/>
                <w:lang w:val="fr-CA"/>
              </w:rPr>
              <w:t xml:space="preserve"> reçues (d’autres institutions fédérales)</w:t>
            </w:r>
          </w:p>
        </w:tc>
        <w:tc>
          <w:tcPr>
            <w:tcW w:w="1273" w:type="dxa"/>
            <w:tcBorders>
              <w:top w:val="nil"/>
              <w:left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290</w:t>
            </w:r>
          </w:p>
        </w:tc>
        <w:tc>
          <w:tcPr>
            <w:tcW w:w="1551" w:type="dxa"/>
            <w:tcBorders>
              <w:top w:val="nil"/>
              <w:left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317</w:t>
            </w:r>
          </w:p>
        </w:tc>
        <w:tc>
          <w:tcPr>
            <w:tcW w:w="1753" w:type="dxa"/>
            <w:tcBorders>
              <w:top w:val="nil"/>
              <w:left w:val="nil"/>
              <w:right w:val="single" w:sz="4" w:space="0" w:color="auto"/>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234</w:t>
            </w:r>
          </w:p>
        </w:tc>
      </w:tr>
      <w:tr w:rsidR="006B6495" w:rsidRPr="00AC446C" w:rsidTr="006B6495">
        <w:trPr>
          <w:trHeight w:val="455"/>
        </w:trPr>
        <w:tc>
          <w:tcPr>
            <w:tcW w:w="4861" w:type="dxa"/>
            <w:tcBorders>
              <w:top w:val="nil"/>
              <w:left w:val="single" w:sz="4" w:space="0" w:color="auto"/>
              <w:right w:val="nil"/>
            </w:tcBorders>
            <w:shd w:val="clear" w:color="auto" w:fill="auto"/>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Variation annuelle en %</w:t>
            </w:r>
          </w:p>
        </w:tc>
        <w:tc>
          <w:tcPr>
            <w:tcW w:w="1273" w:type="dxa"/>
            <w:tcBorders>
              <w:top w:val="nil"/>
              <w:left w:val="nil"/>
              <w:right w:val="nil"/>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w:t>
            </w:r>
          </w:p>
        </w:tc>
        <w:tc>
          <w:tcPr>
            <w:tcW w:w="1551" w:type="dxa"/>
            <w:tcBorders>
              <w:top w:val="nil"/>
              <w:left w:val="nil"/>
              <w:right w:val="nil"/>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9,3 %</w:t>
            </w:r>
          </w:p>
        </w:tc>
        <w:tc>
          <w:tcPr>
            <w:tcW w:w="1753" w:type="dxa"/>
            <w:tcBorders>
              <w:top w:val="nil"/>
              <w:left w:val="nil"/>
              <w:right w:val="single" w:sz="4" w:space="0" w:color="auto"/>
            </w:tcBorders>
            <w:shd w:val="clear" w:color="auto" w:fill="auto"/>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-26,2 %</w:t>
            </w:r>
          </w:p>
        </w:tc>
      </w:tr>
      <w:tr w:rsidR="006B6495" w:rsidRPr="00AC446C" w:rsidTr="006B6495">
        <w:trPr>
          <w:trHeight w:val="583"/>
        </w:trPr>
        <w:tc>
          <w:tcPr>
            <w:tcW w:w="4861" w:type="dxa"/>
            <w:tcBorders>
              <w:left w:val="single" w:sz="4" w:space="0" w:color="auto"/>
              <w:right w:val="nil"/>
            </w:tcBorders>
            <w:shd w:val="clear" w:color="000000" w:fill="DBE5F1"/>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273" w:type="dxa"/>
            <w:tcBorders>
              <w:left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133</w:t>
            </w:r>
          </w:p>
        </w:tc>
        <w:tc>
          <w:tcPr>
            <w:tcW w:w="1551" w:type="dxa"/>
            <w:tcBorders>
              <w:left w:val="nil"/>
              <w:right w:val="nil"/>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173</w:t>
            </w:r>
          </w:p>
        </w:tc>
        <w:tc>
          <w:tcPr>
            <w:tcW w:w="1753" w:type="dxa"/>
            <w:tcBorders>
              <w:left w:val="nil"/>
              <w:right w:val="single" w:sz="4" w:space="0" w:color="auto"/>
            </w:tcBorders>
            <w:shd w:val="clear" w:color="000000" w:fill="DBE5F1"/>
            <w:noWrap/>
            <w:vAlign w:val="center"/>
            <w:hideMark/>
          </w:tcPr>
          <w:p w:rsidR="006B6495" w:rsidRPr="00AC446C" w:rsidRDefault="006B6495" w:rsidP="006B6495">
            <w:pPr>
              <w:keepNext/>
              <w:keepLines/>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147</w:t>
            </w:r>
          </w:p>
        </w:tc>
      </w:tr>
      <w:tr w:rsidR="006B6495" w:rsidRPr="00AC446C" w:rsidTr="006B6495">
        <w:trPr>
          <w:trHeight w:val="512"/>
        </w:trPr>
        <w:tc>
          <w:tcPr>
            <w:tcW w:w="4861" w:type="dxa"/>
            <w:tcBorders>
              <w:left w:val="single" w:sz="4" w:space="0" w:color="auto"/>
              <w:bottom w:val="single" w:sz="4" w:space="0" w:color="auto"/>
              <w:right w:val="nil"/>
            </w:tcBorders>
            <w:shd w:val="clear" w:color="auto" w:fill="auto"/>
            <w:hideMark/>
          </w:tcPr>
          <w:p w:rsidR="006B6495" w:rsidRPr="00AC446C" w:rsidRDefault="006B6495" w:rsidP="006B6495">
            <w:pPr>
              <w:keepNext/>
              <w:keepLines/>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des demande</w:t>
            </w:r>
            <w:r>
              <w:rPr>
                <w:rFonts w:ascii="Calibri" w:eastAsia="Times New Roman" w:hAnsi="Calibri" w:cs="Times New Roman"/>
                <w:color w:val="000000"/>
                <w:lang w:val="fr-CA"/>
              </w:rPr>
              <w:t>s pour lesquelles plus de 1 000 </w:t>
            </w:r>
            <w:r w:rsidRPr="00AC446C">
              <w:rPr>
                <w:rFonts w:ascii="Calibri" w:eastAsia="Times New Roman" w:hAnsi="Calibri" w:cs="Times New Roman"/>
                <w:color w:val="000000"/>
                <w:lang w:val="fr-CA"/>
              </w:rPr>
              <w:t>pages ont été traitées</w:t>
            </w:r>
          </w:p>
        </w:tc>
        <w:tc>
          <w:tcPr>
            <w:tcW w:w="1273" w:type="dxa"/>
            <w:tcBorders>
              <w:left w:val="nil"/>
              <w:bottom w:val="single" w:sz="4" w:space="0" w:color="auto"/>
              <w:right w:val="nil"/>
            </w:tcBorders>
            <w:shd w:val="clear" w:color="auto" w:fill="auto"/>
            <w:noWrap/>
            <w:vAlign w:val="center"/>
            <w:hideMark/>
          </w:tcPr>
          <w:p w:rsidR="006B6495" w:rsidRPr="00AC446C" w:rsidRDefault="006B6495" w:rsidP="006B6495">
            <w:pPr>
              <w:keepNext/>
              <w:keepLines/>
              <w:jc w:val="center"/>
              <w:rPr>
                <w:rFonts w:ascii="Calibri" w:hAnsi="Calibri"/>
                <w:color w:val="000000"/>
                <w:lang w:val="fr-CA"/>
              </w:rPr>
            </w:pPr>
            <w:r w:rsidRPr="00AC446C">
              <w:rPr>
                <w:rFonts w:ascii="Calibri" w:hAnsi="Calibri"/>
                <w:color w:val="000000"/>
                <w:lang w:val="fr-CA"/>
              </w:rPr>
              <w:t>1,9 %</w:t>
            </w:r>
          </w:p>
        </w:tc>
        <w:tc>
          <w:tcPr>
            <w:tcW w:w="1551" w:type="dxa"/>
            <w:tcBorders>
              <w:left w:val="nil"/>
              <w:bottom w:val="single" w:sz="4" w:space="0" w:color="auto"/>
              <w:right w:val="nil"/>
            </w:tcBorders>
            <w:shd w:val="clear" w:color="auto" w:fill="auto"/>
            <w:noWrap/>
            <w:vAlign w:val="center"/>
            <w:hideMark/>
          </w:tcPr>
          <w:p w:rsidR="006B6495" w:rsidRPr="00AC446C" w:rsidRDefault="006B6495" w:rsidP="006B6495">
            <w:pPr>
              <w:keepNext/>
              <w:keepLines/>
              <w:jc w:val="center"/>
              <w:rPr>
                <w:rFonts w:ascii="Calibri" w:hAnsi="Calibri"/>
                <w:color w:val="000000"/>
                <w:lang w:val="fr-CA"/>
              </w:rPr>
            </w:pPr>
            <w:r w:rsidRPr="00AC446C">
              <w:rPr>
                <w:rFonts w:ascii="Calibri" w:hAnsi="Calibri"/>
                <w:color w:val="000000"/>
                <w:lang w:val="fr-CA"/>
              </w:rPr>
              <w:t>4,9 %</w:t>
            </w:r>
          </w:p>
        </w:tc>
        <w:tc>
          <w:tcPr>
            <w:tcW w:w="1753" w:type="dxa"/>
            <w:tcBorders>
              <w:left w:val="nil"/>
              <w:bottom w:val="single" w:sz="4" w:space="0" w:color="auto"/>
              <w:right w:val="single" w:sz="4" w:space="0" w:color="auto"/>
            </w:tcBorders>
            <w:shd w:val="clear" w:color="auto" w:fill="auto"/>
            <w:noWrap/>
            <w:vAlign w:val="center"/>
            <w:hideMark/>
          </w:tcPr>
          <w:p w:rsidR="006B6495" w:rsidRPr="00AC446C" w:rsidRDefault="006B6495" w:rsidP="006B6495">
            <w:pPr>
              <w:keepNext/>
              <w:keepLines/>
              <w:jc w:val="center"/>
              <w:rPr>
                <w:rFonts w:ascii="Calibri" w:hAnsi="Calibri"/>
                <w:color w:val="000000"/>
                <w:lang w:val="fr-CA"/>
              </w:rPr>
            </w:pPr>
            <w:r w:rsidRPr="00AC446C">
              <w:rPr>
                <w:rFonts w:ascii="Calibri" w:hAnsi="Calibri"/>
                <w:color w:val="000000"/>
                <w:lang w:val="fr-CA"/>
              </w:rPr>
              <w:t>3,6 %</w:t>
            </w:r>
          </w:p>
        </w:tc>
      </w:tr>
    </w:tbl>
    <w:p w:rsidR="006B6495" w:rsidRPr="00880404" w:rsidRDefault="006B6495" w:rsidP="006B6495">
      <w:pPr>
        <w:pStyle w:val="Heading2"/>
        <w:spacing w:before="240"/>
      </w:pPr>
      <w:r w:rsidRPr="00880404">
        <w:t>Délai de traitement des demandes</w:t>
      </w:r>
    </w:p>
    <w:p w:rsidR="006B6495" w:rsidRPr="00880404" w:rsidRDefault="006B6495" w:rsidP="006B6495">
      <w:pPr>
        <w:pStyle w:val="Heading4"/>
      </w:pPr>
      <w:r w:rsidRPr="00880404">
        <w:t>Rapidité</w:t>
      </w:r>
    </w:p>
    <w:p w:rsidR="006B6495" w:rsidRPr="00AC446C" w:rsidRDefault="006B6495" w:rsidP="006B6495">
      <w:pPr>
        <w:jc w:val="both"/>
        <w:rPr>
          <w:lang w:val="fr-CA"/>
        </w:rPr>
      </w:pPr>
      <w:r w:rsidRPr="00AC446C">
        <w:rPr>
          <w:lang w:val="fr-CA"/>
        </w:rPr>
        <w:t xml:space="preserve">La figure 1 révèle que 66,2 % des demandes ont été </w:t>
      </w:r>
      <w:r>
        <w:rPr>
          <w:lang w:val="fr-CA"/>
        </w:rPr>
        <w:t>complétées</w:t>
      </w:r>
      <w:r w:rsidRPr="00AC446C">
        <w:rPr>
          <w:lang w:val="fr-CA"/>
        </w:rPr>
        <w:t xml:space="preserve"> en 30 jours ou moins, une diminution </w:t>
      </w:r>
      <w:r>
        <w:rPr>
          <w:lang w:val="fr-CA"/>
        </w:rPr>
        <w:t>de 18,1 % par rapport à 2013-</w:t>
      </w:r>
      <w:r w:rsidRPr="00AC446C">
        <w:rPr>
          <w:lang w:val="fr-CA"/>
        </w:rPr>
        <w:t>2014</w:t>
      </w:r>
      <w:r>
        <w:rPr>
          <w:lang w:val="fr-CA"/>
        </w:rPr>
        <w:t>. Le nombre</w:t>
      </w:r>
      <w:r w:rsidRPr="00AC446C">
        <w:rPr>
          <w:lang w:val="fr-CA"/>
        </w:rPr>
        <w:t xml:space="preserve"> des demandes</w:t>
      </w:r>
      <w:r>
        <w:rPr>
          <w:lang w:val="fr-CA"/>
        </w:rPr>
        <w:t xml:space="preserve"> complétées</w:t>
      </w:r>
      <w:r w:rsidRPr="00AC446C">
        <w:rPr>
          <w:lang w:val="fr-CA"/>
        </w:rPr>
        <w:t xml:space="preserve"> entre</w:t>
      </w:r>
      <w:r>
        <w:rPr>
          <w:lang w:val="fr-CA"/>
        </w:rPr>
        <w:t xml:space="preserve"> 31 et 60 jours a augmenté de 2,1 % par rapport à 2013-2014. Une augmentation de 9,9</w:t>
      </w:r>
      <w:r w:rsidRPr="00AC446C">
        <w:rPr>
          <w:lang w:val="fr-CA"/>
        </w:rPr>
        <w:t xml:space="preserve"> % a </w:t>
      </w:r>
      <w:r>
        <w:rPr>
          <w:lang w:val="fr-CA"/>
        </w:rPr>
        <w:t xml:space="preserve">aussi </w:t>
      </w:r>
      <w:r w:rsidRPr="00AC446C">
        <w:rPr>
          <w:lang w:val="fr-CA"/>
        </w:rPr>
        <w:t xml:space="preserve">été observée quant </w:t>
      </w:r>
      <w:r>
        <w:rPr>
          <w:lang w:val="fr-CA"/>
        </w:rPr>
        <w:t>au nombre</w:t>
      </w:r>
      <w:r w:rsidRPr="00AC446C">
        <w:rPr>
          <w:lang w:val="fr-CA"/>
        </w:rPr>
        <w:t xml:space="preserve"> de demandes </w:t>
      </w:r>
      <w:r>
        <w:rPr>
          <w:lang w:val="fr-CA"/>
        </w:rPr>
        <w:t>complétées entre 61 et 120 jours.</w:t>
      </w:r>
    </w:p>
    <w:p w:rsidR="006B6495" w:rsidRPr="006B6495" w:rsidRDefault="006B6495" w:rsidP="006B6495">
      <w:pPr>
        <w:spacing w:line="240" w:lineRule="auto"/>
        <w:rPr>
          <w:rStyle w:val="Heading3Char"/>
          <w:lang w:val="fr-FR"/>
        </w:rPr>
      </w:pPr>
      <w:r w:rsidRPr="006B6495">
        <w:rPr>
          <w:rStyle w:val="Heading3Char"/>
          <w:lang w:val="fr-FR"/>
        </w:rPr>
        <w:lastRenderedPageBreak/>
        <w:t>Figure 1 : Délai de traitement des demandes</w:t>
      </w:r>
      <w:r w:rsidRPr="00A12151">
        <w:rPr>
          <w:noProof/>
          <w:color w:val="FF0000"/>
          <w:sz w:val="24"/>
          <w:szCs w:val="24"/>
        </w:rPr>
        <w:drawing>
          <wp:inline distT="0" distB="0" distL="0" distR="0">
            <wp:extent cx="5979381" cy="3959749"/>
            <wp:effectExtent l="0" t="0" r="21590" b="22225"/>
            <wp:docPr id="8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6B6495" w:rsidRPr="00880404" w:rsidRDefault="006B6495" w:rsidP="006B6495">
      <w:pPr>
        <w:pStyle w:val="Heading4"/>
      </w:pPr>
      <w:r w:rsidRPr="00880404">
        <w:t>Prorogations</w:t>
      </w:r>
    </w:p>
    <w:p w:rsidR="006B6495" w:rsidRPr="008C2918" w:rsidRDefault="006B6495" w:rsidP="006B6495">
      <w:pPr>
        <w:keepNext/>
        <w:keepLines/>
        <w:jc w:val="both"/>
        <w:rPr>
          <w:lang w:val="fr-CA"/>
        </w:rPr>
      </w:pPr>
      <w:r w:rsidRPr="008C2918">
        <w:rPr>
          <w:lang w:val="fr-CA"/>
        </w:rPr>
        <w:t>Le SCRS a eu recours à 101 prorogations en 2014-2015 par rapport à 106 en 2013-2014. Les demandes de consultation (76,2 %) étaient la raison la plus fréquemment invoquée pour demander une prorogation, suivies de l’entrave au fonctionnement de l’institution (23,8 %).</w:t>
      </w:r>
    </w:p>
    <w:p w:rsidR="006B6495" w:rsidRPr="00AC446C" w:rsidRDefault="006B6495" w:rsidP="006B6495">
      <w:pPr>
        <w:jc w:val="both"/>
        <w:rPr>
          <w:lang w:val="fr-CA"/>
        </w:rPr>
      </w:pPr>
      <w:r w:rsidRPr="00AC446C">
        <w:rPr>
          <w:lang w:val="fr-CA"/>
        </w:rPr>
        <w:t>La figure 2 montre que 1</w:t>
      </w:r>
      <w:r>
        <w:rPr>
          <w:lang w:val="fr-CA"/>
        </w:rPr>
        <w:t>0,9</w:t>
      </w:r>
      <w:r w:rsidRPr="00AC446C">
        <w:rPr>
          <w:lang w:val="fr-CA"/>
        </w:rPr>
        <w:t> % des prorogations en 2014</w:t>
      </w:r>
      <w:r>
        <w:rPr>
          <w:lang w:val="fr-CA"/>
        </w:rPr>
        <w:t>-</w:t>
      </w:r>
      <w:r w:rsidRPr="00AC446C">
        <w:rPr>
          <w:lang w:val="fr-CA"/>
        </w:rPr>
        <w:t xml:space="preserve">2015 étaient de 30 jours ou moins, un résultat </w:t>
      </w:r>
      <w:r>
        <w:rPr>
          <w:lang w:val="fr-CA"/>
        </w:rPr>
        <w:t xml:space="preserve">de </w:t>
      </w:r>
      <w:r w:rsidRPr="00AC446C">
        <w:rPr>
          <w:lang w:val="fr-CA"/>
        </w:rPr>
        <w:t>5</w:t>
      </w:r>
      <w:r>
        <w:rPr>
          <w:lang w:val="fr-CA"/>
        </w:rPr>
        <w:t>,2 % supérieur à celui de 2013-</w:t>
      </w:r>
      <w:r w:rsidRPr="00AC446C">
        <w:rPr>
          <w:lang w:val="fr-CA"/>
        </w:rPr>
        <w:t>2014. La part des prorogations de 31 à 60 jours en 2014</w:t>
      </w:r>
      <w:r w:rsidRPr="00AC446C">
        <w:rPr>
          <w:lang w:val="fr-CA"/>
        </w:rPr>
        <w:noBreakHyphen/>
        <w:t xml:space="preserve">2015 était de </w:t>
      </w:r>
      <w:r>
        <w:rPr>
          <w:lang w:val="fr-CA"/>
        </w:rPr>
        <w:t xml:space="preserve">12,9 </w:t>
      </w:r>
      <w:r w:rsidRPr="00AC446C">
        <w:rPr>
          <w:lang w:val="fr-CA"/>
        </w:rPr>
        <w:t>%, une légère augmentation par rapport à la période précédente. En 2014</w:t>
      </w:r>
      <w:r>
        <w:rPr>
          <w:lang w:val="fr-CA"/>
        </w:rPr>
        <w:t>-</w:t>
      </w:r>
      <w:r w:rsidRPr="00AC446C">
        <w:rPr>
          <w:lang w:val="fr-CA"/>
        </w:rPr>
        <w:t>2015, on a également observé une augmentation de 5</w:t>
      </w:r>
      <w:r>
        <w:rPr>
          <w:lang w:val="fr-CA"/>
        </w:rPr>
        <w:t>,0</w:t>
      </w:r>
      <w:r w:rsidRPr="00AC446C">
        <w:rPr>
          <w:lang w:val="fr-CA"/>
        </w:rPr>
        <w:t> % des prorogations de plus de 365 </w:t>
      </w:r>
      <w:r>
        <w:rPr>
          <w:lang w:val="fr-CA"/>
        </w:rPr>
        <w:t>jours.</w:t>
      </w:r>
    </w:p>
    <w:p w:rsidR="006B6495" w:rsidRPr="00AC446C" w:rsidRDefault="006B6495" w:rsidP="006B6495">
      <w:pPr>
        <w:rPr>
          <w:b/>
          <w:noProof/>
          <w:lang w:val="fr-CA"/>
        </w:rPr>
      </w:pPr>
      <w:r w:rsidRPr="006B6495">
        <w:rPr>
          <w:rStyle w:val="Heading3Char"/>
          <w:lang w:val="fr-FR"/>
        </w:rPr>
        <w:lastRenderedPageBreak/>
        <w:t>Figure 2 : Durée des prorogations</w:t>
      </w:r>
      <w:r w:rsidRPr="00A12151">
        <w:rPr>
          <w:b/>
          <w:noProof/>
        </w:rPr>
        <w:drawing>
          <wp:inline distT="0" distB="0" distL="0" distR="0">
            <wp:extent cx="5947576" cy="3880236"/>
            <wp:effectExtent l="0" t="0" r="15240" b="25400"/>
            <wp:docPr id="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6B6495" w:rsidRPr="00880404" w:rsidRDefault="006B6495" w:rsidP="006B6495">
      <w:pPr>
        <w:pStyle w:val="Heading4"/>
      </w:pPr>
      <w:r>
        <w:t>Présomptions de refus</w:t>
      </w:r>
    </w:p>
    <w:p w:rsidR="006B6495" w:rsidRPr="008C2918" w:rsidRDefault="006B6495" w:rsidP="006B6495">
      <w:pPr>
        <w:jc w:val="both"/>
        <w:rPr>
          <w:lang w:val="fr-CA"/>
        </w:rPr>
      </w:pPr>
      <w:r w:rsidRPr="008C2918">
        <w:rPr>
          <w:lang w:val="fr-CA"/>
        </w:rPr>
        <w:t>En 2014-2015, il n’y a eu qu’une seule demande fermée après l’échéancier réglementaire</w:t>
      </w:r>
      <w:r w:rsidRPr="008C2918">
        <w:rPr>
          <w:rStyle w:val="FootnoteReference"/>
          <w:lang w:val="fr-CA"/>
        </w:rPr>
        <w:footnoteReference w:id="108"/>
      </w:r>
      <w:r w:rsidRPr="008C2918">
        <w:rPr>
          <w:lang w:val="fr-CA"/>
        </w:rPr>
        <w:t>, soit un retard de 31 à 60 jours. Ce résultat procure au SCRS la note de « A »</w:t>
      </w:r>
      <w:r w:rsidRPr="008C2918">
        <w:rPr>
          <w:rStyle w:val="FootnoteReference"/>
          <w:lang w:val="fr-CA"/>
        </w:rPr>
        <w:footnoteReference w:id="109"/>
      </w:r>
      <w:r w:rsidRPr="008C2918">
        <w:rPr>
          <w:lang w:val="fr-CA"/>
        </w:rPr>
        <w:t>. Le SCRS a invoqué « d’autres motifs » pour justifier ce retard.</w:t>
      </w:r>
    </w:p>
    <w:p w:rsidR="006B6495" w:rsidRPr="00880404" w:rsidRDefault="006B6495" w:rsidP="006B6495">
      <w:pPr>
        <w:pStyle w:val="Heading2"/>
      </w:pPr>
      <w:r w:rsidRPr="00880404">
        <w:t>Divulgation</w:t>
      </w:r>
    </w:p>
    <w:p w:rsidR="006B6495" w:rsidRPr="00880404" w:rsidRDefault="006B6495" w:rsidP="006B6495">
      <w:pPr>
        <w:pStyle w:val="Heading4"/>
      </w:pPr>
      <w:r w:rsidRPr="00880404">
        <w:t>Pourcentage de demandes pour lesquelle</w:t>
      </w:r>
      <w:r>
        <w:t>s l’information a été divulguée</w:t>
      </w:r>
    </w:p>
    <w:p w:rsidR="006B6495" w:rsidRPr="008C2918" w:rsidRDefault="006B6495" w:rsidP="006B6495">
      <w:pPr>
        <w:jc w:val="both"/>
        <w:rPr>
          <w:lang w:val="fr-CA"/>
        </w:rPr>
      </w:pPr>
      <w:r w:rsidRPr="008C2918">
        <w:rPr>
          <w:lang w:val="fr-CA"/>
        </w:rPr>
        <w:t>En 2014-2015, 3 des demandes complétées ont fait l’objet d’une divulgation complète tandis que  130 ont fait l’objet d’une divulgation partielle. Le nombre de demandes pour lesquelles, il y avait une divulgation partielle a augmenté de 13,2 % par rapport à 2013-2014. Près de 25,5 % des demandes n’ont été « ni confirmées, ni refusées ». Il s’agit du chiffre le plus élevé pour cette catégorie de divulgation rapporté pour les 24 institutions.</w:t>
      </w:r>
    </w:p>
    <w:p w:rsidR="006B6495" w:rsidRPr="00AC446C" w:rsidRDefault="006B6495" w:rsidP="006B6495">
      <w:pPr>
        <w:rPr>
          <w:lang w:val="fr-CA"/>
        </w:rPr>
      </w:pPr>
      <w:r w:rsidRPr="00957E09">
        <w:rPr>
          <w:rStyle w:val="Heading3Char"/>
          <w:lang w:val="fr-FR"/>
        </w:rPr>
        <w:lastRenderedPageBreak/>
        <w:t>Figure 3 : Niveau de divulgation</w:t>
      </w:r>
      <w:r w:rsidRPr="00A12151">
        <w:rPr>
          <w:noProof/>
        </w:rPr>
        <w:drawing>
          <wp:inline distT="0" distB="0" distL="0" distR="0">
            <wp:extent cx="5947575" cy="3689405"/>
            <wp:effectExtent l="0" t="0" r="15240" b="25400"/>
            <wp:docPr id="8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6B6495" w:rsidRPr="00880404" w:rsidRDefault="006B6495" w:rsidP="006B6495">
      <w:pPr>
        <w:pStyle w:val="Heading4"/>
      </w:pPr>
      <w:r w:rsidRPr="00880404">
        <w:t>Exceptions</w:t>
      </w:r>
    </w:p>
    <w:p w:rsidR="006B6495" w:rsidRPr="008C2918" w:rsidRDefault="006B6495" w:rsidP="006B6495">
      <w:pPr>
        <w:jc w:val="both"/>
        <w:rPr>
          <w:lang w:val="fr-CA"/>
        </w:rPr>
      </w:pPr>
      <w:r w:rsidRPr="008C2918">
        <w:rPr>
          <w:lang w:val="fr-CA"/>
        </w:rPr>
        <w:t>Le nombre moyen d’exceptions par demande complétée a augmenté, passant de 0,9 en 2013-2014 à 2,6 en 2014-2015 (voir tableau 2). Les exceptions les plus fréquemment invoquées en 2014-2015 étaient l’article 16 (l’application de la loi et les enquêtes) (29,2 %), l’article 15 (les affaires internationales et la défense) (26,0 %), suivies de l’article 19 (les renseignements personnels) (12,2 %).</w:t>
      </w:r>
    </w:p>
    <w:p w:rsidR="006B6495" w:rsidRPr="00AC446C" w:rsidRDefault="006B6495" w:rsidP="006B6495">
      <w:pPr>
        <w:pStyle w:val="Heading3"/>
      </w:pPr>
      <w:r w:rsidRPr="00AC446C">
        <w:t xml:space="preserve">Tableau </w:t>
      </w:r>
      <w:proofErr w:type="gramStart"/>
      <w:r w:rsidRPr="00AC446C">
        <w:t>2 :</w:t>
      </w:r>
      <w:proofErr w:type="gramEnd"/>
      <w:r w:rsidRPr="00AC446C">
        <w:t xml:space="preserve"> Exceptions</w:t>
      </w:r>
    </w:p>
    <w:tbl>
      <w:tblPr>
        <w:tblW w:w="9353" w:type="dxa"/>
        <w:tblInd w:w="98" w:type="dxa"/>
        <w:tblLook w:val="04A0"/>
      </w:tblPr>
      <w:tblGrid>
        <w:gridCol w:w="4859"/>
        <w:gridCol w:w="1250"/>
        <w:gridCol w:w="1523"/>
        <w:gridCol w:w="1721"/>
      </w:tblGrid>
      <w:tr w:rsidR="006B6495" w:rsidRPr="00AC446C" w:rsidTr="006B6495">
        <w:trPr>
          <w:trHeight w:val="321"/>
        </w:trPr>
        <w:tc>
          <w:tcPr>
            <w:tcW w:w="4859" w:type="dxa"/>
            <w:tcBorders>
              <w:top w:val="single" w:sz="8" w:space="0" w:color="auto"/>
              <w:left w:val="single" w:sz="8" w:space="0" w:color="auto"/>
              <w:bottom w:val="single" w:sz="8" w:space="0" w:color="auto"/>
              <w:right w:val="nil"/>
            </w:tcBorders>
            <w:shd w:val="clear" w:color="000000" w:fill="DBE5F1"/>
            <w:noWrap/>
            <w:vAlign w:val="bottom"/>
            <w:hideMark/>
          </w:tcPr>
          <w:p w:rsidR="006B6495" w:rsidRPr="00AC446C" w:rsidRDefault="006B6495" w:rsidP="006B6495">
            <w:pPr>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Exceptions </w:t>
            </w:r>
          </w:p>
        </w:tc>
        <w:tc>
          <w:tcPr>
            <w:tcW w:w="1250" w:type="dxa"/>
            <w:tcBorders>
              <w:top w:val="single" w:sz="8" w:space="0" w:color="auto"/>
              <w:left w:val="nil"/>
              <w:bottom w:val="single" w:sz="8" w:space="0" w:color="auto"/>
              <w:right w:val="nil"/>
            </w:tcBorders>
            <w:shd w:val="clear" w:color="000000" w:fill="DBE5F1"/>
            <w:noWrap/>
            <w:vAlign w:val="bottom"/>
            <w:hideMark/>
          </w:tcPr>
          <w:p w:rsidR="006B6495" w:rsidRPr="00AC446C" w:rsidRDefault="006B6495" w:rsidP="006B6495">
            <w:pPr>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2012-2013</w:t>
            </w:r>
          </w:p>
        </w:tc>
        <w:tc>
          <w:tcPr>
            <w:tcW w:w="1523" w:type="dxa"/>
            <w:tcBorders>
              <w:top w:val="single" w:sz="8" w:space="0" w:color="auto"/>
              <w:left w:val="nil"/>
              <w:bottom w:val="single" w:sz="8" w:space="0" w:color="auto"/>
              <w:right w:val="nil"/>
            </w:tcBorders>
            <w:shd w:val="clear" w:color="000000" w:fill="DBE5F1"/>
            <w:noWrap/>
            <w:vAlign w:val="bottom"/>
            <w:hideMark/>
          </w:tcPr>
          <w:p w:rsidR="006B6495" w:rsidRPr="00AC446C" w:rsidRDefault="006B6495" w:rsidP="006B6495">
            <w:pPr>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2013-2014</w:t>
            </w:r>
          </w:p>
        </w:tc>
        <w:tc>
          <w:tcPr>
            <w:tcW w:w="1721" w:type="dxa"/>
            <w:tcBorders>
              <w:top w:val="single" w:sz="8" w:space="0" w:color="auto"/>
              <w:left w:val="nil"/>
              <w:bottom w:val="single" w:sz="8" w:space="0" w:color="auto"/>
              <w:right w:val="single" w:sz="8" w:space="0" w:color="auto"/>
            </w:tcBorders>
            <w:shd w:val="clear" w:color="000000" w:fill="DBE5F1"/>
            <w:noWrap/>
            <w:vAlign w:val="bottom"/>
            <w:hideMark/>
          </w:tcPr>
          <w:p w:rsidR="006B6495" w:rsidRPr="00AC446C" w:rsidRDefault="006B6495" w:rsidP="006B6495">
            <w:pPr>
              <w:spacing w:after="0" w:line="240" w:lineRule="auto"/>
              <w:jc w:val="center"/>
              <w:rPr>
                <w:rFonts w:ascii="Calibri" w:eastAsia="Times New Roman" w:hAnsi="Calibri" w:cs="Times New Roman"/>
                <w:b/>
                <w:bCs/>
                <w:color w:val="000000"/>
                <w:lang w:val="fr-CA"/>
              </w:rPr>
            </w:pPr>
            <w:r w:rsidRPr="00AC446C">
              <w:rPr>
                <w:rFonts w:ascii="Calibri" w:eastAsia="Times New Roman" w:hAnsi="Calibri" w:cs="Times New Roman"/>
                <w:b/>
                <w:bCs/>
                <w:color w:val="000000"/>
                <w:lang w:val="fr-CA"/>
              </w:rPr>
              <w:t>2014-2015</w:t>
            </w:r>
          </w:p>
        </w:tc>
      </w:tr>
      <w:tr w:rsidR="006B6495" w:rsidRPr="00AC446C" w:rsidTr="006B6495">
        <w:trPr>
          <w:trHeight w:val="306"/>
        </w:trPr>
        <w:tc>
          <w:tcPr>
            <w:tcW w:w="4859" w:type="dxa"/>
            <w:tcBorders>
              <w:top w:val="nil"/>
              <w:left w:val="single" w:sz="8" w:space="0" w:color="auto"/>
              <w:bottom w:val="nil"/>
              <w:right w:val="nil"/>
            </w:tcBorders>
            <w:shd w:val="clear" w:color="auto" w:fill="auto"/>
            <w:noWrap/>
            <w:vAlign w:val="bottom"/>
            <w:hideMark/>
          </w:tcPr>
          <w:p w:rsidR="006B6495" w:rsidRPr="00AC446C" w:rsidRDefault="006B6495" w:rsidP="006B6495">
            <w:pPr>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Nombre total</w:t>
            </w:r>
            <w:r>
              <w:rPr>
                <w:rFonts w:ascii="Calibri" w:eastAsia="Times New Roman" w:hAnsi="Calibri" w:cs="Times New Roman"/>
                <w:color w:val="000000"/>
                <w:lang w:val="fr-CA"/>
              </w:rPr>
              <w:t xml:space="preserve"> d’exceptions</w:t>
            </w:r>
            <w:r w:rsidRPr="00AC446C">
              <w:rPr>
                <w:rFonts w:ascii="Calibri" w:eastAsia="Times New Roman" w:hAnsi="Calibri" w:cs="Times New Roman"/>
                <w:color w:val="000000"/>
                <w:lang w:val="fr-CA"/>
              </w:rPr>
              <w:t xml:space="preserve"> </w:t>
            </w:r>
          </w:p>
        </w:tc>
        <w:tc>
          <w:tcPr>
            <w:tcW w:w="1250" w:type="dxa"/>
            <w:tcBorders>
              <w:top w:val="nil"/>
              <w:left w:val="nil"/>
              <w:bottom w:val="nil"/>
              <w:right w:val="nil"/>
            </w:tcBorders>
            <w:shd w:val="clear" w:color="auto" w:fill="auto"/>
            <w:noWrap/>
            <w:vAlign w:val="bottom"/>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584</w:t>
            </w:r>
          </w:p>
        </w:tc>
        <w:tc>
          <w:tcPr>
            <w:tcW w:w="1523" w:type="dxa"/>
            <w:tcBorders>
              <w:top w:val="nil"/>
              <w:left w:val="nil"/>
              <w:bottom w:val="nil"/>
              <w:right w:val="nil"/>
            </w:tcBorders>
            <w:shd w:val="clear" w:color="auto" w:fill="auto"/>
            <w:noWrap/>
            <w:vAlign w:val="bottom"/>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796</w:t>
            </w:r>
          </w:p>
        </w:tc>
        <w:tc>
          <w:tcPr>
            <w:tcW w:w="1721" w:type="dxa"/>
            <w:tcBorders>
              <w:top w:val="nil"/>
              <w:left w:val="nil"/>
              <w:bottom w:val="nil"/>
              <w:right w:val="single" w:sz="8" w:space="0" w:color="auto"/>
            </w:tcBorders>
            <w:shd w:val="clear" w:color="auto" w:fill="auto"/>
            <w:noWrap/>
            <w:vAlign w:val="bottom"/>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822</w:t>
            </w:r>
          </w:p>
        </w:tc>
      </w:tr>
      <w:tr w:rsidR="006B6495" w:rsidRPr="00AC446C" w:rsidTr="006B6495">
        <w:trPr>
          <w:trHeight w:val="306"/>
        </w:trPr>
        <w:tc>
          <w:tcPr>
            <w:tcW w:w="4859" w:type="dxa"/>
            <w:tcBorders>
              <w:top w:val="nil"/>
              <w:left w:val="single" w:sz="8" w:space="0" w:color="auto"/>
              <w:bottom w:val="nil"/>
              <w:right w:val="nil"/>
            </w:tcBorders>
            <w:shd w:val="clear" w:color="auto" w:fill="DBE5F1" w:themeFill="accent1" w:themeFillTint="33"/>
            <w:noWrap/>
            <w:vAlign w:val="bottom"/>
            <w:hideMark/>
          </w:tcPr>
          <w:p w:rsidR="006B6495" w:rsidRPr="00AC446C" w:rsidRDefault="006B6495" w:rsidP="006B6495">
            <w:pPr>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Nombre total de demandes </w:t>
            </w:r>
            <w:r>
              <w:rPr>
                <w:rFonts w:ascii="Calibri" w:eastAsia="Times New Roman" w:hAnsi="Calibri" w:cs="Times New Roman"/>
                <w:color w:val="000000"/>
                <w:lang w:val="fr-CA"/>
              </w:rPr>
              <w:t>complétées</w:t>
            </w:r>
          </w:p>
        </w:tc>
        <w:tc>
          <w:tcPr>
            <w:tcW w:w="1250" w:type="dxa"/>
            <w:tcBorders>
              <w:top w:val="nil"/>
              <w:left w:val="nil"/>
              <w:bottom w:val="nil"/>
              <w:right w:val="nil"/>
            </w:tcBorders>
            <w:shd w:val="clear" w:color="auto" w:fill="DBE5F1" w:themeFill="accent1" w:themeFillTint="33"/>
            <w:noWrap/>
            <w:vAlign w:val="bottom"/>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473</w:t>
            </w:r>
          </w:p>
        </w:tc>
        <w:tc>
          <w:tcPr>
            <w:tcW w:w="1523" w:type="dxa"/>
            <w:tcBorders>
              <w:top w:val="nil"/>
              <w:left w:val="nil"/>
              <w:bottom w:val="nil"/>
              <w:right w:val="nil"/>
            </w:tcBorders>
            <w:shd w:val="clear" w:color="auto" w:fill="DBE5F1" w:themeFill="accent1" w:themeFillTint="33"/>
            <w:noWrap/>
            <w:vAlign w:val="bottom"/>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916</w:t>
            </w:r>
          </w:p>
        </w:tc>
        <w:tc>
          <w:tcPr>
            <w:tcW w:w="1721" w:type="dxa"/>
            <w:tcBorders>
              <w:top w:val="nil"/>
              <w:left w:val="nil"/>
              <w:bottom w:val="nil"/>
              <w:right w:val="single" w:sz="8" w:space="0" w:color="auto"/>
            </w:tcBorders>
            <w:shd w:val="clear" w:color="auto" w:fill="DBE5F1" w:themeFill="accent1" w:themeFillTint="33"/>
            <w:noWrap/>
            <w:vAlign w:val="bottom"/>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314</w:t>
            </w:r>
          </w:p>
        </w:tc>
      </w:tr>
      <w:tr w:rsidR="006B6495" w:rsidRPr="00AC446C" w:rsidTr="006B6495">
        <w:trPr>
          <w:trHeight w:val="321"/>
        </w:trPr>
        <w:tc>
          <w:tcPr>
            <w:tcW w:w="4859" w:type="dxa"/>
            <w:tcBorders>
              <w:top w:val="nil"/>
              <w:left w:val="single" w:sz="8" w:space="0" w:color="auto"/>
              <w:bottom w:val="single" w:sz="8" w:space="0" w:color="auto"/>
              <w:right w:val="nil"/>
            </w:tcBorders>
            <w:shd w:val="clear" w:color="auto" w:fill="auto"/>
            <w:noWrap/>
            <w:vAlign w:val="bottom"/>
            <w:hideMark/>
          </w:tcPr>
          <w:p w:rsidR="006B6495" w:rsidRPr="00AC446C" w:rsidRDefault="006B6495" w:rsidP="006B6495">
            <w:pPr>
              <w:spacing w:after="0" w:line="240" w:lineRule="auto"/>
              <w:rPr>
                <w:rFonts w:ascii="Calibri" w:eastAsia="Times New Roman" w:hAnsi="Calibri" w:cs="Times New Roman"/>
                <w:color w:val="000000"/>
                <w:lang w:val="fr-CA"/>
              </w:rPr>
            </w:pPr>
            <w:r w:rsidRPr="00AC446C">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250" w:type="dxa"/>
            <w:tcBorders>
              <w:top w:val="nil"/>
              <w:left w:val="nil"/>
              <w:bottom w:val="single" w:sz="8" w:space="0" w:color="auto"/>
              <w:right w:val="nil"/>
            </w:tcBorders>
            <w:shd w:val="clear" w:color="auto" w:fill="auto"/>
            <w:noWrap/>
            <w:vAlign w:val="center"/>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1,2</w:t>
            </w:r>
            <w:r>
              <w:rPr>
                <w:rFonts w:ascii="Calibri" w:eastAsia="Times New Roman" w:hAnsi="Calibri" w:cs="Times New Roman"/>
                <w:color w:val="000000"/>
                <w:lang w:val="fr-CA"/>
              </w:rPr>
              <w:t>3</w:t>
            </w:r>
          </w:p>
        </w:tc>
        <w:tc>
          <w:tcPr>
            <w:tcW w:w="1523" w:type="dxa"/>
            <w:tcBorders>
              <w:top w:val="nil"/>
              <w:left w:val="nil"/>
              <w:bottom w:val="single" w:sz="8" w:space="0" w:color="auto"/>
              <w:right w:val="nil"/>
            </w:tcBorders>
            <w:shd w:val="clear" w:color="auto" w:fill="auto"/>
            <w:noWrap/>
            <w:vAlign w:val="center"/>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0,</w:t>
            </w:r>
            <w:r>
              <w:rPr>
                <w:rFonts w:ascii="Calibri" w:eastAsia="Times New Roman" w:hAnsi="Calibri" w:cs="Times New Roman"/>
                <w:color w:val="000000"/>
                <w:lang w:val="fr-CA"/>
              </w:rPr>
              <w:t>87</w:t>
            </w:r>
          </w:p>
        </w:tc>
        <w:tc>
          <w:tcPr>
            <w:tcW w:w="1721" w:type="dxa"/>
            <w:tcBorders>
              <w:top w:val="nil"/>
              <w:left w:val="nil"/>
              <w:bottom w:val="single" w:sz="8" w:space="0" w:color="auto"/>
              <w:right w:val="single" w:sz="8" w:space="0" w:color="auto"/>
            </w:tcBorders>
            <w:shd w:val="clear" w:color="auto" w:fill="auto"/>
            <w:noWrap/>
            <w:vAlign w:val="center"/>
            <w:hideMark/>
          </w:tcPr>
          <w:p w:rsidR="006B6495" w:rsidRPr="00AC446C" w:rsidRDefault="006B6495" w:rsidP="006B6495">
            <w:pPr>
              <w:spacing w:after="0" w:line="240" w:lineRule="auto"/>
              <w:jc w:val="center"/>
              <w:rPr>
                <w:rFonts w:ascii="Calibri" w:eastAsia="Times New Roman" w:hAnsi="Calibri" w:cs="Times New Roman"/>
                <w:color w:val="000000"/>
                <w:lang w:val="fr-CA"/>
              </w:rPr>
            </w:pPr>
            <w:r w:rsidRPr="00AC446C">
              <w:rPr>
                <w:rFonts w:ascii="Calibri" w:eastAsia="Times New Roman" w:hAnsi="Calibri" w:cs="Times New Roman"/>
                <w:color w:val="000000"/>
                <w:lang w:val="fr-CA"/>
              </w:rPr>
              <w:t>2,6</w:t>
            </w:r>
            <w:r>
              <w:rPr>
                <w:rFonts w:ascii="Calibri" w:eastAsia="Times New Roman" w:hAnsi="Calibri" w:cs="Times New Roman"/>
                <w:color w:val="000000"/>
                <w:lang w:val="fr-CA"/>
              </w:rPr>
              <w:t>2</w:t>
            </w:r>
          </w:p>
        </w:tc>
      </w:tr>
    </w:tbl>
    <w:p w:rsidR="006B6495" w:rsidRDefault="006B6495" w:rsidP="006B6495">
      <w:pPr>
        <w:pStyle w:val="Heading2"/>
        <w:spacing w:before="240"/>
      </w:pPr>
    </w:p>
    <w:p w:rsidR="006B6495" w:rsidRDefault="006B6495" w:rsidP="006B6495">
      <w:pPr>
        <w:rPr>
          <w:lang w:val="fr-CA"/>
        </w:rPr>
      </w:pPr>
      <w:r>
        <w:br w:type="page"/>
      </w:r>
    </w:p>
    <w:p w:rsidR="006B6495" w:rsidRPr="00880404" w:rsidRDefault="006B6495" w:rsidP="006B6495">
      <w:pPr>
        <w:pStyle w:val="Heading2"/>
        <w:spacing w:before="240"/>
      </w:pPr>
      <w:r w:rsidRPr="00880404">
        <w:lastRenderedPageBreak/>
        <w:t>Plaintes au Commissariat à l’information</w:t>
      </w:r>
    </w:p>
    <w:p w:rsidR="006B6495" w:rsidRDefault="006B6495" w:rsidP="006B6495">
      <w:pPr>
        <w:jc w:val="both"/>
        <w:rPr>
          <w:lang w:val="fr-CA"/>
        </w:rPr>
      </w:pPr>
      <w:r>
        <w:rPr>
          <w:lang w:val="fr-CA"/>
        </w:rPr>
        <w:t>En 2014</w:t>
      </w:r>
      <w:r>
        <w:rPr>
          <w:lang w:val="fr-CA"/>
        </w:rPr>
        <w:noBreakHyphen/>
        <w:t>2015, le Commissariat à l’information du Canada</w:t>
      </w:r>
      <w:r w:rsidRPr="00AC446C">
        <w:rPr>
          <w:lang w:val="fr-CA"/>
        </w:rPr>
        <w:t xml:space="preserve"> a reçu 27 plaintes</w:t>
      </w:r>
      <w:r>
        <w:rPr>
          <w:rStyle w:val="FootnoteReference"/>
          <w:lang w:val="fr-CA"/>
        </w:rPr>
        <w:footnoteReference w:id="110"/>
      </w:r>
      <w:r w:rsidRPr="00AC446C">
        <w:rPr>
          <w:lang w:val="fr-CA"/>
        </w:rPr>
        <w:t xml:space="preserve"> concernant le SCRS. La majeure partie des plaintes reçues étaient attribuables à des refus (24 plaintes pour refus et 3 plaintes de nature administrative).</w:t>
      </w:r>
      <w:r>
        <w:rPr>
          <w:lang w:val="fr-CA"/>
        </w:rPr>
        <w:t xml:space="preserve"> </w:t>
      </w:r>
    </w:p>
    <w:p w:rsidR="006B6495" w:rsidRPr="00880404" w:rsidRDefault="006B6495" w:rsidP="006B6495">
      <w:pPr>
        <w:jc w:val="both"/>
        <w:rPr>
          <w:lang w:val="fr-CA"/>
        </w:rPr>
      </w:pPr>
      <w:r>
        <w:rPr>
          <w:lang w:val="fr-CA"/>
        </w:rPr>
        <w:t xml:space="preserve">Il y avait 2 plaintes fondées </w:t>
      </w:r>
      <w:r w:rsidRPr="00AC446C">
        <w:rPr>
          <w:lang w:val="fr-CA"/>
        </w:rPr>
        <w:t>qui ont été réglées, 3 plaintes non fondées, 2 </w:t>
      </w:r>
      <w:r>
        <w:rPr>
          <w:lang w:val="fr-CA"/>
        </w:rPr>
        <w:t>plaintes abandonn</w:t>
      </w:r>
      <w:r w:rsidRPr="00AC446C">
        <w:rPr>
          <w:lang w:val="fr-CA"/>
        </w:rPr>
        <w:t>ées et 20 plaintes</w:t>
      </w:r>
      <w:r>
        <w:rPr>
          <w:lang w:val="fr-CA"/>
        </w:rPr>
        <w:t xml:space="preserve"> étaient encore en suspens.</w:t>
      </w:r>
    </w:p>
    <w:p w:rsidR="006B6495" w:rsidRDefault="006B6495">
      <w:pPr>
        <w:rPr>
          <w:lang w:val="fr-CA"/>
        </w:rPr>
      </w:pPr>
      <w:r>
        <w:rPr>
          <w:lang w:val="fr-CA"/>
        </w:rPr>
        <w:br w:type="page"/>
      </w:r>
    </w:p>
    <w:p w:rsidR="00ED12CD" w:rsidRPr="001E71B4" w:rsidRDefault="00ED12CD" w:rsidP="00ED12CD">
      <w:pPr>
        <w:pStyle w:val="Heading1"/>
      </w:pPr>
      <w:r w:rsidRPr="001E71B4">
        <w:lastRenderedPageBreak/>
        <w:t>Sécurité publique du Canada</w:t>
      </w:r>
    </w:p>
    <w:p w:rsidR="00ED12CD" w:rsidRPr="001E71B4" w:rsidRDefault="00ED12CD" w:rsidP="00ED12CD">
      <w:pPr>
        <w:jc w:val="both"/>
        <w:rPr>
          <w:b/>
          <w:lang w:val="fr-CA"/>
        </w:rPr>
      </w:pPr>
      <w:r w:rsidRPr="001E71B4">
        <w:rPr>
          <w:rStyle w:val="Heading2Char"/>
        </w:rPr>
        <w:t>Rendement global</w:t>
      </w:r>
      <w:r w:rsidRPr="009C4822">
        <w:rPr>
          <w:rStyle w:val="FootnoteReference"/>
          <w:b/>
          <w:lang w:val="fr-CA"/>
        </w:rPr>
        <w:footnoteReference w:id="111"/>
      </w:r>
    </w:p>
    <w:p w:rsidR="00ED12CD" w:rsidRPr="009C4822" w:rsidRDefault="00ED12CD" w:rsidP="00ED12CD">
      <w:pPr>
        <w:jc w:val="both"/>
        <w:rPr>
          <w:lang w:val="fr-CA"/>
        </w:rPr>
      </w:pPr>
      <w:r w:rsidRPr="009C4822">
        <w:rPr>
          <w:lang w:val="fr-CA"/>
        </w:rPr>
        <w:t xml:space="preserve">Sécurité publique Canada (SP) </w:t>
      </w:r>
      <w:r>
        <w:rPr>
          <w:lang w:val="fr-CA"/>
        </w:rPr>
        <w:t>a complété 85,1 % de leurs demandes en inventaire en 2014-2015. Bien que le rendement global de SP semble avoir diminué significativement, cela pourrait en partie être dû aux changements statistiques effectués par le SCT dans la façon dont les institutions doivent rapporter leurs données</w:t>
      </w:r>
      <w:r>
        <w:rPr>
          <w:rStyle w:val="FootnoteReference"/>
          <w:lang w:val="fr-CA"/>
        </w:rPr>
        <w:footnoteReference w:id="112"/>
      </w:r>
      <w:r>
        <w:rPr>
          <w:lang w:val="fr-CA"/>
        </w:rPr>
        <w:t>.</w:t>
      </w:r>
    </w:p>
    <w:p w:rsidR="00ED12CD" w:rsidRPr="001E71B4" w:rsidRDefault="00ED12CD" w:rsidP="00ED12CD">
      <w:pPr>
        <w:pStyle w:val="Heading2"/>
      </w:pPr>
      <w:r w:rsidRPr="001E71B4">
        <w:t>Charge de travail</w:t>
      </w:r>
    </w:p>
    <w:p w:rsidR="00ED12CD" w:rsidRPr="009C4822" w:rsidRDefault="00ED12CD" w:rsidP="00ED12CD">
      <w:pPr>
        <w:jc w:val="both"/>
        <w:rPr>
          <w:lang w:val="fr-CA"/>
        </w:rPr>
      </w:pPr>
      <w:r>
        <w:rPr>
          <w:lang w:val="fr-CA"/>
        </w:rPr>
        <w:t xml:space="preserve">En 2014-2015, </w:t>
      </w:r>
      <w:r w:rsidRPr="009C4822">
        <w:rPr>
          <w:lang w:val="fr-CA"/>
        </w:rPr>
        <w:t xml:space="preserve">SP a reçu 310 demandes en vertu de la </w:t>
      </w:r>
      <w:r w:rsidRPr="009C4822">
        <w:rPr>
          <w:i/>
          <w:lang w:val="fr-CA"/>
        </w:rPr>
        <w:t>Loi sur l’accès à l‘information</w:t>
      </w:r>
      <w:r w:rsidRPr="009C4822">
        <w:rPr>
          <w:lang w:val="fr-CA"/>
        </w:rPr>
        <w:t xml:space="preserve"> (la </w:t>
      </w:r>
      <w:r w:rsidRPr="009C4822">
        <w:rPr>
          <w:i/>
          <w:lang w:val="fr-CA"/>
        </w:rPr>
        <w:t>Loi</w:t>
      </w:r>
      <w:r w:rsidRPr="009C4822">
        <w:rPr>
          <w:lang w:val="fr-CA"/>
        </w:rPr>
        <w:t xml:space="preserve">), représentant </w:t>
      </w:r>
      <w:r>
        <w:rPr>
          <w:lang w:val="fr-CA"/>
        </w:rPr>
        <w:t>0,5</w:t>
      </w:r>
      <w:r w:rsidRPr="009C4822">
        <w:rPr>
          <w:lang w:val="fr-CA"/>
        </w:rPr>
        <w:t> % du nombre total de demandes reçues à l</w:t>
      </w:r>
      <w:r>
        <w:rPr>
          <w:lang w:val="fr-CA"/>
        </w:rPr>
        <w:t>’échelle du gouvernement</w:t>
      </w:r>
      <w:r w:rsidRPr="009C4822">
        <w:rPr>
          <w:lang w:val="fr-CA"/>
        </w:rPr>
        <w:t>.</w:t>
      </w:r>
      <w:r>
        <w:rPr>
          <w:lang w:val="fr-CA"/>
        </w:rPr>
        <w:t xml:space="preserve"> Il a aussi reçu 118 demandes informelles, pour total de 428 demandes. En comparaison, </w:t>
      </w:r>
      <w:r w:rsidRPr="009C4822">
        <w:rPr>
          <w:lang w:val="fr-CA"/>
        </w:rPr>
        <w:t>SP a</w:t>
      </w:r>
      <w:r>
        <w:rPr>
          <w:lang w:val="fr-CA"/>
        </w:rPr>
        <w:t>vait</w:t>
      </w:r>
      <w:r w:rsidRPr="009C4822">
        <w:rPr>
          <w:lang w:val="fr-CA"/>
        </w:rPr>
        <w:t xml:space="preserve"> re</w:t>
      </w:r>
      <w:r>
        <w:rPr>
          <w:lang w:val="fr-CA"/>
        </w:rPr>
        <w:t>çu 465 demandes en 2013-2014.</w:t>
      </w:r>
    </w:p>
    <w:p w:rsidR="00ED12CD" w:rsidRPr="009C4822" w:rsidRDefault="00ED12CD" w:rsidP="00ED12CD">
      <w:pPr>
        <w:jc w:val="both"/>
        <w:rPr>
          <w:lang w:val="fr-CA"/>
        </w:rPr>
      </w:pPr>
      <w:r w:rsidRPr="009C4822">
        <w:rPr>
          <w:lang w:val="fr-CA"/>
        </w:rPr>
        <w:t>La majorité des demandes</w:t>
      </w:r>
      <w:r>
        <w:rPr>
          <w:lang w:val="fr-CA"/>
        </w:rPr>
        <w:t xml:space="preserve"> formelles reçues en 2014-2015</w:t>
      </w:r>
      <w:r w:rsidRPr="009C4822">
        <w:rPr>
          <w:lang w:val="fr-CA"/>
        </w:rPr>
        <w:t xml:space="preserve"> provenaient des médias (66,1 %), suivies de celles du public (22</w:t>
      </w:r>
      <w:r>
        <w:rPr>
          <w:lang w:val="fr-CA"/>
        </w:rPr>
        <w:t>,3</w:t>
      </w:r>
      <w:r w:rsidRPr="009C4822">
        <w:rPr>
          <w:lang w:val="fr-CA"/>
        </w:rPr>
        <w:t> </w:t>
      </w:r>
      <w:r>
        <w:rPr>
          <w:lang w:val="fr-CA"/>
        </w:rPr>
        <w:t>%).</w:t>
      </w:r>
    </w:p>
    <w:p w:rsidR="00ED12CD" w:rsidRDefault="00ED12CD" w:rsidP="00ED12CD">
      <w:pPr>
        <w:jc w:val="both"/>
        <w:rPr>
          <w:lang w:val="fr-CA"/>
        </w:rPr>
      </w:pPr>
      <w:r w:rsidRPr="009C4822">
        <w:rPr>
          <w:lang w:val="fr-CA"/>
        </w:rPr>
        <w:t xml:space="preserve">SP </w:t>
      </w:r>
      <w:r>
        <w:rPr>
          <w:lang w:val="fr-CA"/>
        </w:rPr>
        <w:t>a complété</w:t>
      </w:r>
      <w:r w:rsidRPr="009C4822">
        <w:rPr>
          <w:lang w:val="fr-CA"/>
        </w:rPr>
        <w:t xml:space="preserve"> 292 demandes</w:t>
      </w:r>
      <w:r>
        <w:rPr>
          <w:lang w:val="fr-CA"/>
        </w:rPr>
        <w:t xml:space="preserve"> formelles</w:t>
      </w:r>
      <w:r w:rsidRPr="009C4822">
        <w:rPr>
          <w:lang w:val="fr-CA"/>
        </w:rPr>
        <w:t xml:space="preserve"> pour cette période de référence</w:t>
      </w:r>
      <w:r>
        <w:rPr>
          <w:lang w:val="fr-CA"/>
        </w:rPr>
        <w:t>. Il s’agit d’un taux d’achèvement</w:t>
      </w:r>
      <w:r>
        <w:rPr>
          <w:rStyle w:val="FootnoteReference"/>
          <w:lang w:val="fr-CA"/>
        </w:rPr>
        <w:footnoteReference w:id="113"/>
      </w:r>
      <w:r>
        <w:rPr>
          <w:lang w:val="fr-CA"/>
        </w:rPr>
        <w:t xml:space="preserve"> de 85,1 %</w:t>
      </w:r>
      <w:r w:rsidRPr="009C4822">
        <w:rPr>
          <w:lang w:val="fr-CA"/>
        </w:rPr>
        <w:t>, soit le même que celui rapporté pour l’ensemble du gouvernement</w:t>
      </w:r>
      <w:r>
        <w:rPr>
          <w:lang w:val="fr-CA"/>
        </w:rPr>
        <w:t>. En 2013-2014, ce taux était de 94,</w:t>
      </w:r>
      <w:r w:rsidRPr="009C4822">
        <w:rPr>
          <w:lang w:val="fr-CA"/>
        </w:rPr>
        <w:t>1 %</w:t>
      </w:r>
      <w:r>
        <w:rPr>
          <w:lang w:val="fr-CA"/>
        </w:rPr>
        <w:t xml:space="preserve">. </w:t>
      </w:r>
      <w:r w:rsidRPr="00843C46">
        <w:rPr>
          <w:lang w:val="fr-CA"/>
        </w:rPr>
        <w:t xml:space="preserve">Le nombre de demandes de consultation reçues par SP en provenance d’autres institutions fédérales a diminué de 255 à 238, ce qui représente </w:t>
      </w:r>
      <w:r>
        <w:rPr>
          <w:lang w:val="fr-CA"/>
        </w:rPr>
        <w:t>une baisse de 6,7 </w:t>
      </w:r>
      <w:r w:rsidRPr="00843C46">
        <w:rPr>
          <w:lang w:val="fr-CA"/>
        </w:rPr>
        <w:t>%</w:t>
      </w:r>
      <w:r>
        <w:rPr>
          <w:lang w:val="fr-CA"/>
        </w:rPr>
        <w:t xml:space="preserve"> comparativement à 2013-2014</w:t>
      </w:r>
      <w:r w:rsidRPr="00843C46">
        <w:rPr>
          <w:lang w:val="fr-CA"/>
        </w:rPr>
        <w:t>.</w:t>
      </w:r>
    </w:p>
    <w:p w:rsidR="00ED12CD" w:rsidRPr="009C4822" w:rsidRDefault="00ED12CD" w:rsidP="00ED12CD">
      <w:pPr>
        <w:jc w:val="both"/>
        <w:rPr>
          <w:lang w:val="fr-CA"/>
        </w:rPr>
      </w:pPr>
      <w:r w:rsidRPr="009C4822">
        <w:rPr>
          <w:lang w:val="fr-CA"/>
        </w:rPr>
        <w:t xml:space="preserve">Le nombre total de pages traitées par SP pour la période de référence était de 80 193 pages, soit une diminution par rapport aux 110 041 pages traitées lors de la période précédente. </w:t>
      </w:r>
      <w:r>
        <w:rPr>
          <w:lang w:val="fr-CA"/>
        </w:rPr>
        <w:t>L</w:t>
      </w:r>
      <w:r w:rsidRPr="009C4822">
        <w:rPr>
          <w:lang w:val="fr-CA"/>
        </w:rPr>
        <w:t>e nombre moyen de pages traitées par deman</w:t>
      </w:r>
      <w:r>
        <w:rPr>
          <w:lang w:val="fr-CA"/>
        </w:rPr>
        <w:t xml:space="preserve">de complétée a aussi diminué de </w:t>
      </w:r>
      <w:r w:rsidRPr="009C4822">
        <w:rPr>
          <w:lang w:val="fr-CA"/>
        </w:rPr>
        <w:t>348 </w:t>
      </w:r>
      <w:r>
        <w:rPr>
          <w:lang w:val="fr-CA"/>
        </w:rPr>
        <w:t xml:space="preserve">pages </w:t>
      </w:r>
      <w:r w:rsidRPr="009C4822">
        <w:rPr>
          <w:lang w:val="fr-CA"/>
        </w:rPr>
        <w:t>en 2013</w:t>
      </w:r>
      <w:r>
        <w:rPr>
          <w:lang w:val="fr-CA"/>
        </w:rPr>
        <w:t>-</w:t>
      </w:r>
      <w:r w:rsidRPr="009C4822">
        <w:rPr>
          <w:lang w:val="fr-CA"/>
        </w:rPr>
        <w:t>2014 à 341 pages en 2014</w:t>
      </w:r>
      <w:r>
        <w:rPr>
          <w:lang w:val="fr-CA"/>
        </w:rPr>
        <w:t>-</w:t>
      </w:r>
      <w:r w:rsidRPr="009C4822">
        <w:rPr>
          <w:lang w:val="fr-CA"/>
        </w:rPr>
        <w:t>2015.</w:t>
      </w:r>
    </w:p>
    <w:p w:rsidR="00ED12CD" w:rsidRDefault="00ED12CD" w:rsidP="00ED12CD">
      <w:pPr>
        <w:jc w:val="both"/>
        <w:rPr>
          <w:lang w:val="fr-CA"/>
        </w:rPr>
      </w:pPr>
      <w:r>
        <w:rPr>
          <w:lang w:val="fr-CA"/>
        </w:rPr>
        <w:t>En 2014-</w:t>
      </w:r>
      <w:r w:rsidRPr="009C4822">
        <w:rPr>
          <w:lang w:val="fr-CA"/>
        </w:rPr>
        <w:t xml:space="preserve">2015, l’information diffusée par SP était </w:t>
      </w:r>
      <w:r>
        <w:rPr>
          <w:lang w:val="fr-CA"/>
        </w:rPr>
        <w:t>majoritairement</w:t>
      </w:r>
      <w:r w:rsidRPr="009C4822">
        <w:rPr>
          <w:lang w:val="fr-CA"/>
        </w:rPr>
        <w:t xml:space="preserve"> en format électronique : 148 </w:t>
      </w:r>
      <w:bookmarkStart w:id="3" w:name="OLE_LINK3"/>
      <w:bookmarkStart w:id="4" w:name="OLE_LINK4"/>
      <w:r w:rsidRPr="009C4822">
        <w:rPr>
          <w:lang w:val="fr-CA"/>
        </w:rPr>
        <w:t>demandes en format électronique</w:t>
      </w:r>
      <w:r>
        <w:rPr>
          <w:lang w:val="fr-CA"/>
        </w:rPr>
        <w:t xml:space="preserve"> </w:t>
      </w:r>
      <w:bookmarkEnd w:id="3"/>
      <w:bookmarkEnd w:id="4"/>
      <w:r>
        <w:rPr>
          <w:lang w:val="fr-CA"/>
        </w:rPr>
        <w:t xml:space="preserve">par rapport à </w:t>
      </w:r>
      <w:r w:rsidRPr="009C4822">
        <w:rPr>
          <w:lang w:val="fr-CA"/>
        </w:rPr>
        <w:t xml:space="preserve">47 demandes en format </w:t>
      </w:r>
      <w:r>
        <w:rPr>
          <w:lang w:val="fr-CA"/>
        </w:rPr>
        <w:t>papier.</w:t>
      </w:r>
    </w:p>
    <w:p w:rsidR="00ED12CD" w:rsidRPr="00957E09" w:rsidRDefault="00ED12CD">
      <w:pPr>
        <w:rPr>
          <w:b/>
          <w:lang w:val="fr-FR"/>
        </w:rPr>
      </w:pPr>
      <w:r w:rsidRPr="00957E09">
        <w:rPr>
          <w:lang w:val="fr-FR"/>
        </w:rPr>
        <w:br w:type="page"/>
      </w:r>
    </w:p>
    <w:p w:rsidR="00ED12CD" w:rsidRPr="001E71B4" w:rsidRDefault="00ED12CD" w:rsidP="00ED12CD">
      <w:pPr>
        <w:pStyle w:val="Heading3"/>
      </w:pPr>
      <w:r w:rsidRPr="001E71B4">
        <w:lastRenderedPageBreak/>
        <w:t xml:space="preserve">Tableau </w:t>
      </w:r>
      <w:proofErr w:type="gramStart"/>
      <w:r w:rsidRPr="001E71B4">
        <w:t>1 :</w:t>
      </w:r>
      <w:proofErr w:type="gramEnd"/>
      <w:r w:rsidRPr="001E71B4">
        <w:t xml:space="preserve"> Charge de travail</w:t>
      </w:r>
    </w:p>
    <w:tbl>
      <w:tblPr>
        <w:tblW w:w="9527" w:type="dxa"/>
        <w:tblInd w:w="98" w:type="dxa"/>
        <w:tblLook w:val="04A0"/>
      </w:tblPr>
      <w:tblGrid>
        <w:gridCol w:w="5102"/>
        <w:gridCol w:w="1475"/>
        <w:gridCol w:w="1475"/>
        <w:gridCol w:w="1475"/>
      </w:tblGrid>
      <w:tr w:rsidR="00ED12CD" w:rsidRPr="009C4822" w:rsidTr="00ED12CD">
        <w:trPr>
          <w:trHeight w:val="380"/>
        </w:trPr>
        <w:tc>
          <w:tcPr>
            <w:tcW w:w="5102" w:type="dxa"/>
            <w:tcBorders>
              <w:top w:val="single" w:sz="4" w:space="0" w:color="auto"/>
              <w:left w:val="single" w:sz="4" w:space="0" w:color="auto"/>
              <w:bottom w:val="single" w:sz="4" w:space="0" w:color="auto"/>
              <w:right w:val="nil"/>
            </w:tcBorders>
            <w:shd w:val="clear" w:color="auto" w:fill="auto"/>
            <w:noWrap/>
            <w:vAlign w:val="bottom"/>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xml:space="preserve">Mesures </w:t>
            </w:r>
          </w:p>
        </w:tc>
        <w:tc>
          <w:tcPr>
            <w:tcW w:w="1475" w:type="dxa"/>
            <w:tcBorders>
              <w:top w:val="single" w:sz="4" w:space="0" w:color="auto"/>
              <w:left w:val="nil"/>
              <w:bottom w:val="single" w:sz="4" w:space="0" w:color="auto"/>
              <w:right w:val="nil"/>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2012-2013</w:t>
            </w:r>
          </w:p>
        </w:tc>
        <w:tc>
          <w:tcPr>
            <w:tcW w:w="1475" w:type="dxa"/>
            <w:tcBorders>
              <w:top w:val="single" w:sz="4" w:space="0" w:color="auto"/>
              <w:left w:val="nil"/>
              <w:bottom w:val="single" w:sz="4" w:space="0" w:color="auto"/>
              <w:right w:val="nil"/>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2013-2014</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2014-2015</w:t>
            </w:r>
          </w:p>
        </w:tc>
      </w:tr>
      <w:tr w:rsidR="00ED12CD" w:rsidRPr="009C4822" w:rsidTr="00ED12CD">
        <w:trPr>
          <w:trHeight w:val="399"/>
        </w:trPr>
        <w:tc>
          <w:tcPr>
            <w:tcW w:w="5102" w:type="dxa"/>
            <w:tcBorders>
              <w:top w:val="single" w:sz="4" w:space="0" w:color="auto"/>
              <w:left w:val="single" w:sz="4" w:space="0" w:color="auto"/>
              <w:right w:val="nil"/>
            </w:tcBorders>
            <w:shd w:val="clear" w:color="000000" w:fill="DBE5F1"/>
            <w:noWrap/>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xml:space="preserve">Nombre de demandes reçues </w:t>
            </w:r>
          </w:p>
        </w:tc>
        <w:tc>
          <w:tcPr>
            <w:tcW w:w="1475" w:type="dxa"/>
            <w:tcBorders>
              <w:top w:val="single" w:sz="4" w:space="0" w:color="auto"/>
              <w:left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494</w:t>
            </w:r>
          </w:p>
        </w:tc>
        <w:tc>
          <w:tcPr>
            <w:tcW w:w="1475" w:type="dxa"/>
            <w:tcBorders>
              <w:top w:val="single" w:sz="4" w:space="0" w:color="auto"/>
              <w:left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465</w:t>
            </w:r>
          </w:p>
        </w:tc>
        <w:tc>
          <w:tcPr>
            <w:tcW w:w="1475" w:type="dxa"/>
            <w:tcBorders>
              <w:top w:val="single" w:sz="4" w:space="0" w:color="auto"/>
              <w:left w:val="nil"/>
              <w:right w:val="single" w:sz="4" w:space="0" w:color="auto"/>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310</w:t>
            </w:r>
          </w:p>
        </w:tc>
      </w:tr>
      <w:tr w:rsidR="00ED12CD" w:rsidRPr="009C4822" w:rsidTr="00B25C51">
        <w:trPr>
          <w:trHeight w:val="379"/>
        </w:trPr>
        <w:tc>
          <w:tcPr>
            <w:tcW w:w="5102" w:type="dxa"/>
            <w:tcBorders>
              <w:left w:val="single" w:sz="4" w:space="0" w:color="auto"/>
              <w:bottom w:val="nil"/>
              <w:right w:val="nil"/>
            </w:tcBorders>
            <w:shd w:val="clear" w:color="auto" w:fill="auto"/>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Variation annuelle en %</w:t>
            </w:r>
          </w:p>
        </w:tc>
        <w:tc>
          <w:tcPr>
            <w:tcW w:w="1475" w:type="dxa"/>
            <w:tcBorders>
              <w:left w:val="nil"/>
              <w:bottom w:val="nil"/>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w:t>
            </w:r>
          </w:p>
        </w:tc>
        <w:tc>
          <w:tcPr>
            <w:tcW w:w="1475" w:type="dxa"/>
            <w:tcBorders>
              <w:left w:val="nil"/>
              <w:bottom w:val="nil"/>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-5,9 %</w:t>
            </w:r>
          </w:p>
        </w:tc>
        <w:tc>
          <w:tcPr>
            <w:tcW w:w="1475" w:type="dxa"/>
            <w:tcBorders>
              <w:left w:val="nil"/>
              <w:bottom w:val="nil"/>
              <w:right w:val="single" w:sz="4" w:space="0" w:color="auto"/>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-33,3 %</w:t>
            </w:r>
          </w:p>
        </w:tc>
      </w:tr>
      <w:tr w:rsidR="00ED12CD" w:rsidRPr="009C4822" w:rsidTr="00B25C51">
        <w:trPr>
          <w:trHeight w:val="493"/>
        </w:trPr>
        <w:tc>
          <w:tcPr>
            <w:tcW w:w="5102" w:type="dxa"/>
            <w:tcBorders>
              <w:top w:val="nil"/>
              <w:left w:val="single" w:sz="4" w:space="0" w:color="auto"/>
              <w:bottom w:val="nil"/>
              <w:right w:val="nil"/>
            </w:tcBorders>
            <w:shd w:val="clear" w:color="000000" w:fill="DBE5F1"/>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xml:space="preserve">Demandes </w:t>
            </w:r>
            <w:r>
              <w:rPr>
                <w:rFonts w:ascii="Calibri" w:eastAsia="Times New Roman" w:hAnsi="Calibri" w:cs="Times New Roman"/>
                <w:color w:val="000000"/>
                <w:lang w:val="fr-CA"/>
              </w:rPr>
              <w:t>complétées</w:t>
            </w:r>
          </w:p>
        </w:tc>
        <w:tc>
          <w:tcPr>
            <w:tcW w:w="1475" w:type="dxa"/>
            <w:tcBorders>
              <w:top w:val="nil"/>
              <w:left w:val="nil"/>
              <w:bottom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478</w:t>
            </w:r>
          </w:p>
        </w:tc>
        <w:tc>
          <w:tcPr>
            <w:tcW w:w="1475" w:type="dxa"/>
            <w:tcBorders>
              <w:top w:val="nil"/>
              <w:left w:val="nil"/>
              <w:bottom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527</w:t>
            </w:r>
          </w:p>
        </w:tc>
        <w:tc>
          <w:tcPr>
            <w:tcW w:w="1475" w:type="dxa"/>
            <w:tcBorders>
              <w:top w:val="nil"/>
              <w:left w:val="nil"/>
              <w:bottom w:val="nil"/>
              <w:right w:val="single" w:sz="4" w:space="0" w:color="auto"/>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292</w:t>
            </w:r>
          </w:p>
        </w:tc>
      </w:tr>
      <w:tr w:rsidR="00ED12CD" w:rsidRPr="009C4822" w:rsidTr="00B25C51">
        <w:trPr>
          <w:trHeight w:val="497"/>
        </w:trPr>
        <w:tc>
          <w:tcPr>
            <w:tcW w:w="5102" w:type="dxa"/>
            <w:tcBorders>
              <w:top w:val="nil"/>
              <w:left w:val="single" w:sz="4" w:space="0" w:color="auto"/>
              <w:right w:val="nil"/>
            </w:tcBorders>
            <w:shd w:val="clear" w:color="auto" w:fill="auto"/>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Variation annuelle en %</w:t>
            </w:r>
          </w:p>
        </w:tc>
        <w:tc>
          <w:tcPr>
            <w:tcW w:w="1475" w:type="dxa"/>
            <w:tcBorders>
              <w:top w:val="nil"/>
              <w:left w:val="nil"/>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w:t>
            </w:r>
          </w:p>
        </w:tc>
        <w:tc>
          <w:tcPr>
            <w:tcW w:w="1475" w:type="dxa"/>
            <w:tcBorders>
              <w:top w:val="nil"/>
              <w:left w:val="nil"/>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10,3 %</w:t>
            </w:r>
          </w:p>
        </w:tc>
        <w:tc>
          <w:tcPr>
            <w:tcW w:w="1475" w:type="dxa"/>
            <w:tcBorders>
              <w:top w:val="nil"/>
              <w:left w:val="nil"/>
              <w:right w:val="single" w:sz="4" w:space="0" w:color="auto"/>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-44,6 %</w:t>
            </w:r>
          </w:p>
        </w:tc>
      </w:tr>
      <w:tr w:rsidR="00ED12CD" w:rsidRPr="009C4822" w:rsidTr="00B25C51">
        <w:trPr>
          <w:trHeight w:val="616"/>
        </w:trPr>
        <w:tc>
          <w:tcPr>
            <w:tcW w:w="5102" w:type="dxa"/>
            <w:tcBorders>
              <w:top w:val="nil"/>
              <w:left w:val="single" w:sz="4" w:space="0" w:color="auto"/>
              <w:right w:val="nil"/>
            </w:tcBorders>
            <w:shd w:val="clear" w:color="000000" w:fill="DBE5F1"/>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Nombre de demandes de consultation reçues (d’autres institutions fédérales)</w:t>
            </w:r>
          </w:p>
        </w:tc>
        <w:tc>
          <w:tcPr>
            <w:tcW w:w="1475" w:type="dxa"/>
            <w:tcBorders>
              <w:top w:val="nil"/>
              <w:left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244</w:t>
            </w:r>
          </w:p>
        </w:tc>
        <w:tc>
          <w:tcPr>
            <w:tcW w:w="1475" w:type="dxa"/>
            <w:tcBorders>
              <w:top w:val="nil"/>
              <w:left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255</w:t>
            </w:r>
          </w:p>
        </w:tc>
        <w:tc>
          <w:tcPr>
            <w:tcW w:w="1475" w:type="dxa"/>
            <w:tcBorders>
              <w:top w:val="nil"/>
              <w:left w:val="nil"/>
              <w:right w:val="single" w:sz="4" w:space="0" w:color="auto"/>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238</w:t>
            </w:r>
          </w:p>
        </w:tc>
      </w:tr>
      <w:tr w:rsidR="00ED12CD" w:rsidRPr="009C4822" w:rsidTr="00B25C51">
        <w:trPr>
          <w:trHeight w:val="424"/>
        </w:trPr>
        <w:tc>
          <w:tcPr>
            <w:tcW w:w="5102" w:type="dxa"/>
            <w:tcBorders>
              <w:top w:val="nil"/>
              <w:left w:val="single" w:sz="4" w:space="0" w:color="auto"/>
              <w:right w:val="nil"/>
            </w:tcBorders>
            <w:shd w:val="clear" w:color="auto" w:fill="auto"/>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Variation annuelle en %</w:t>
            </w:r>
          </w:p>
        </w:tc>
        <w:tc>
          <w:tcPr>
            <w:tcW w:w="1475" w:type="dxa"/>
            <w:tcBorders>
              <w:top w:val="nil"/>
              <w:left w:val="nil"/>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w:t>
            </w:r>
          </w:p>
        </w:tc>
        <w:tc>
          <w:tcPr>
            <w:tcW w:w="1475" w:type="dxa"/>
            <w:tcBorders>
              <w:top w:val="nil"/>
              <w:left w:val="nil"/>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4,5 %</w:t>
            </w:r>
          </w:p>
        </w:tc>
        <w:tc>
          <w:tcPr>
            <w:tcW w:w="1475" w:type="dxa"/>
            <w:tcBorders>
              <w:top w:val="nil"/>
              <w:left w:val="nil"/>
              <w:right w:val="single" w:sz="4" w:space="0" w:color="auto"/>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-6,7 %</w:t>
            </w:r>
          </w:p>
        </w:tc>
      </w:tr>
      <w:tr w:rsidR="00ED12CD" w:rsidRPr="009C4822" w:rsidTr="00B25C51">
        <w:trPr>
          <w:trHeight w:val="611"/>
        </w:trPr>
        <w:tc>
          <w:tcPr>
            <w:tcW w:w="5102" w:type="dxa"/>
            <w:tcBorders>
              <w:left w:val="single" w:sz="4" w:space="0" w:color="auto"/>
              <w:bottom w:val="nil"/>
              <w:right w:val="nil"/>
            </w:tcBorders>
            <w:shd w:val="clear" w:color="000000" w:fill="DBE5F1"/>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xml:space="preserve">Nombre moyen de pages traitées par demande </w:t>
            </w:r>
            <w:r>
              <w:rPr>
                <w:rFonts w:ascii="Calibri" w:eastAsia="Times New Roman" w:hAnsi="Calibri" w:cs="Times New Roman"/>
                <w:color w:val="000000"/>
                <w:lang w:val="fr-CA"/>
              </w:rPr>
              <w:t>complétée</w:t>
            </w:r>
          </w:p>
        </w:tc>
        <w:tc>
          <w:tcPr>
            <w:tcW w:w="1475" w:type="dxa"/>
            <w:tcBorders>
              <w:left w:val="nil"/>
              <w:bottom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329</w:t>
            </w:r>
          </w:p>
        </w:tc>
        <w:tc>
          <w:tcPr>
            <w:tcW w:w="1475" w:type="dxa"/>
            <w:tcBorders>
              <w:left w:val="nil"/>
              <w:bottom w:val="nil"/>
              <w:right w:val="nil"/>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348</w:t>
            </w:r>
          </w:p>
        </w:tc>
        <w:tc>
          <w:tcPr>
            <w:tcW w:w="1475" w:type="dxa"/>
            <w:tcBorders>
              <w:left w:val="nil"/>
              <w:bottom w:val="nil"/>
              <w:right w:val="single" w:sz="4" w:space="0" w:color="auto"/>
            </w:tcBorders>
            <w:shd w:val="clear" w:color="000000" w:fill="DBE5F1"/>
            <w:noWrap/>
            <w:vAlign w:val="center"/>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341</w:t>
            </w:r>
          </w:p>
        </w:tc>
      </w:tr>
      <w:tr w:rsidR="00ED12CD" w:rsidRPr="009C4822" w:rsidTr="00B25C51">
        <w:trPr>
          <w:trHeight w:val="611"/>
        </w:trPr>
        <w:tc>
          <w:tcPr>
            <w:tcW w:w="5102" w:type="dxa"/>
            <w:tcBorders>
              <w:top w:val="nil"/>
              <w:left w:val="single" w:sz="4" w:space="0" w:color="auto"/>
              <w:bottom w:val="single" w:sz="4" w:space="0" w:color="auto"/>
              <w:right w:val="nil"/>
            </w:tcBorders>
            <w:shd w:val="clear" w:color="auto" w:fill="auto"/>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des demandes pour lesquelles plus de 1 000 pages ont été traitées</w:t>
            </w:r>
          </w:p>
        </w:tc>
        <w:tc>
          <w:tcPr>
            <w:tcW w:w="1475" w:type="dxa"/>
            <w:tcBorders>
              <w:top w:val="nil"/>
              <w:left w:val="nil"/>
              <w:bottom w:val="single" w:sz="4" w:space="0" w:color="auto"/>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9,9 %</w:t>
            </w:r>
          </w:p>
        </w:tc>
        <w:tc>
          <w:tcPr>
            <w:tcW w:w="1475" w:type="dxa"/>
            <w:tcBorders>
              <w:top w:val="nil"/>
              <w:left w:val="nil"/>
              <w:bottom w:val="single" w:sz="4" w:space="0" w:color="auto"/>
              <w:right w:val="nil"/>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10,8 %</w:t>
            </w:r>
          </w:p>
        </w:tc>
        <w:tc>
          <w:tcPr>
            <w:tcW w:w="1475" w:type="dxa"/>
            <w:tcBorders>
              <w:top w:val="nil"/>
              <w:left w:val="nil"/>
              <w:bottom w:val="single" w:sz="4" w:space="0" w:color="auto"/>
              <w:right w:val="single" w:sz="4" w:space="0" w:color="auto"/>
            </w:tcBorders>
            <w:shd w:val="clear" w:color="auto" w:fill="auto"/>
            <w:noWrap/>
            <w:vAlign w:val="center"/>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6,8 %</w:t>
            </w:r>
          </w:p>
        </w:tc>
      </w:tr>
    </w:tbl>
    <w:p w:rsidR="00ED12CD" w:rsidRPr="001E71B4" w:rsidRDefault="00ED12CD" w:rsidP="00ED12CD">
      <w:pPr>
        <w:pStyle w:val="Heading2"/>
        <w:spacing w:before="240"/>
      </w:pPr>
      <w:r w:rsidRPr="001E71B4">
        <w:t>Délai de traitement des demandes</w:t>
      </w:r>
    </w:p>
    <w:p w:rsidR="00ED12CD" w:rsidRPr="001E71B4" w:rsidRDefault="00ED12CD" w:rsidP="00ED12CD">
      <w:pPr>
        <w:pStyle w:val="Heading4"/>
      </w:pPr>
      <w:r w:rsidRPr="001E71B4">
        <w:t>Rapidité</w:t>
      </w:r>
    </w:p>
    <w:p w:rsidR="00ED12CD" w:rsidRPr="009C4822" w:rsidRDefault="00ED12CD" w:rsidP="00ED12CD">
      <w:pPr>
        <w:jc w:val="both"/>
        <w:rPr>
          <w:lang w:val="fr-CA"/>
        </w:rPr>
      </w:pPr>
      <w:r w:rsidRPr="009C4822">
        <w:rPr>
          <w:lang w:val="fr-CA"/>
        </w:rPr>
        <w:t xml:space="preserve">La figure 1 révèle que 63,4 % des demandes ont été </w:t>
      </w:r>
      <w:r>
        <w:rPr>
          <w:lang w:val="fr-CA"/>
        </w:rPr>
        <w:t>complétées</w:t>
      </w:r>
      <w:r w:rsidRPr="009C4822">
        <w:rPr>
          <w:lang w:val="fr-CA"/>
        </w:rPr>
        <w:t xml:space="preserve"> en 30 jour</w:t>
      </w:r>
      <w:r>
        <w:rPr>
          <w:lang w:val="fr-CA"/>
        </w:rPr>
        <w:t>s ou moins, soit une diminution de 5,1</w:t>
      </w:r>
      <w:r w:rsidRPr="009C4822">
        <w:rPr>
          <w:lang w:val="fr-CA"/>
        </w:rPr>
        <w:t> </w:t>
      </w:r>
      <w:r>
        <w:rPr>
          <w:lang w:val="fr-CA"/>
        </w:rPr>
        <w:t xml:space="preserve">% </w:t>
      </w:r>
      <w:r w:rsidRPr="009C4822">
        <w:rPr>
          <w:lang w:val="fr-CA"/>
        </w:rPr>
        <w:t>par rapport aux résultats observés en 2013</w:t>
      </w:r>
      <w:r>
        <w:rPr>
          <w:lang w:val="fr-CA"/>
        </w:rPr>
        <w:t>-</w:t>
      </w:r>
      <w:r w:rsidRPr="009C4822">
        <w:rPr>
          <w:lang w:val="fr-CA"/>
        </w:rPr>
        <w:t>2014</w:t>
      </w:r>
      <w:r>
        <w:rPr>
          <w:lang w:val="fr-CA"/>
        </w:rPr>
        <w:t xml:space="preserve"> (68,5</w:t>
      </w:r>
      <w:r w:rsidRPr="009C4822">
        <w:rPr>
          <w:lang w:val="fr-CA"/>
        </w:rPr>
        <w:t> %</w:t>
      </w:r>
      <w:r>
        <w:rPr>
          <w:lang w:val="fr-CA"/>
        </w:rPr>
        <w:t>)</w:t>
      </w:r>
      <w:r>
        <w:rPr>
          <w:rStyle w:val="FootnoteReference"/>
          <w:lang w:val="fr-CA"/>
        </w:rPr>
        <w:footnoteReference w:id="114"/>
      </w:r>
      <w:r w:rsidRPr="009C4822">
        <w:rPr>
          <w:lang w:val="fr-CA"/>
        </w:rPr>
        <w:t xml:space="preserve">. On constate une augmentation </w:t>
      </w:r>
      <w:r>
        <w:rPr>
          <w:lang w:val="fr-CA"/>
        </w:rPr>
        <w:t xml:space="preserve">de la proportion des </w:t>
      </w:r>
      <w:r w:rsidRPr="009C4822">
        <w:rPr>
          <w:lang w:val="fr-CA"/>
        </w:rPr>
        <w:t xml:space="preserve">demandes </w:t>
      </w:r>
      <w:r>
        <w:rPr>
          <w:lang w:val="fr-CA"/>
        </w:rPr>
        <w:t>complétées</w:t>
      </w:r>
      <w:r w:rsidRPr="009C4822">
        <w:rPr>
          <w:lang w:val="fr-CA"/>
        </w:rPr>
        <w:t xml:space="preserve"> entre 31 et 120 jours.</w:t>
      </w:r>
    </w:p>
    <w:p w:rsidR="00ED12CD" w:rsidRPr="00341EF0" w:rsidRDefault="00ED12CD" w:rsidP="00ED12CD">
      <w:pPr>
        <w:spacing w:line="240" w:lineRule="auto"/>
        <w:rPr>
          <w:sz w:val="24"/>
          <w:szCs w:val="24"/>
          <w:lang w:val="fr-CA"/>
        </w:rPr>
      </w:pPr>
      <w:r w:rsidRPr="00ED12CD">
        <w:rPr>
          <w:rStyle w:val="Heading3Char"/>
          <w:lang w:val="fr-FR"/>
        </w:rPr>
        <w:lastRenderedPageBreak/>
        <w:t>Figure 1 : Délai de traitement des demandes</w:t>
      </w:r>
      <w:r w:rsidRPr="0012787E">
        <w:rPr>
          <w:noProof/>
          <w:color w:val="FF0000"/>
          <w:sz w:val="24"/>
          <w:szCs w:val="24"/>
        </w:rPr>
        <w:drawing>
          <wp:inline distT="0" distB="0" distL="0" distR="0">
            <wp:extent cx="6074797" cy="4023360"/>
            <wp:effectExtent l="0" t="0" r="2540" b="0"/>
            <wp:docPr id="8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ED12CD" w:rsidRPr="001E71B4" w:rsidRDefault="00ED12CD" w:rsidP="00ED12CD">
      <w:pPr>
        <w:pStyle w:val="Heading4"/>
      </w:pPr>
      <w:r w:rsidRPr="001E71B4">
        <w:t>Prorogations</w:t>
      </w:r>
    </w:p>
    <w:p w:rsidR="00ED12CD" w:rsidRPr="00C70352" w:rsidRDefault="00ED12CD" w:rsidP="00ED12CD">
      <w:pPr>
        <w:jc w:val="both"/>
        <w:rPr>
          <w:lang w:val="fr-CA"/>
        </w:rPr>
      </w:pPr>
      <w:r w:rsidRPr="00C70352">
        <w:rPr>
          <w:lang w:val="fr-CA"/>
        </w:rPr>
        <w:t>SP a eu recours à 143 prorogations en 2014</w:t>
      </w:r>
      <w:r>
        <w:rPr>
          <w:lang w:val="fr-CA"/>
        </w:rPr>
        <w:t>-</w:t>
      </w:r>
      <w:r w:rsidRPr="00C70352">
        <w:rPr>
          <w:lang w:val="fr-CA"/>
        </w:rPr>
        <w:t>2015 par rapport à 224 en 2013</w:t>
      </w:r>
      <w:r>
        <w:rPr>
          <w:lang w:val="fr-CA"/>
        </w:rPr>
        <w:t>-</w:t>
      </w:r>
      <w:r w:rsidRPr="00C70352">
        <w:rPr>
          <w:lang w:val="fr-CA"/>
        </w:rPr>
        <w:t>2014. Les prorogations pour consultation étaient la raison la plus fréquemment invoquée pour demander une prorogation (67,8 %), suivies de la perturbation des opérations (28,0 %). Un avis auprès de tierces parties a été invoqué comme motif pour six prorogations.</w:t>
      </w:r>
    </w:p>
    <w:p w:rsidR="00ED12CD" w:rsidRPr="009C4822" w:rsidRDefault="00ED12CD" w:rsidP="00ED12CD">
      <w:pPr>
        <w:jc w:val="both"/>
        <w:rPr>
          <w:lang w:val="fr-CA"/>
        </w:rPr>
      </w:pPr>
      <w:r w:rsidRPr="009C4822">
        <w:rPr>
          <w:lang w:val="fr-CA"/>
        </w:rPr>
        <w:t>La figure 2 montre que 18,9 % des prorogations étaient de 30 jours ou moins, un résultat supérieur de 2</w:t>
      </w:r>
      <w:r>
        <w:rPr>
          <w:lang w:val="fr-CA"/>
        </w:rPr>
        <w:t>,4</w:t>
      </w:r>
      <w:r w:rsidRPr="009C4822">
        <w:rPr>
          <w:lang w:val="fr-CA"/>
        </w:rPr>
        <w:t> % par rapport à 2013</w:t>
      </w:r>
      <w:r>
        <w:rPr>
          <w:lang w:val="fr-CA"/>
        </w:rPr>
        <w:t>-</w:t>
      </w:r>
      <w:r w:rsidRPr="009C4822">
        <w:rPr>
          <w:lang w:val="fr-CA"/>
        </w:rPr>
        <w:t>2014</w:t>
      </w:r>
      <w:r>
        <w:rPr>
          <w:lang w:val="fr-CA"/>
        </w:rPr>
        <w:t xml:space="preserve"> (16.5%)</w:t>
      </w:r>
      <w:r w:rsidRPr="009C4822">
        <w:rPr>
          <w:lang w:val="fr-CA"/>
        </w:rPr>
        <w:t>. La figure </w:t>
      </w:r>
      <w:r>
        <w:rPr>
          <w:lang w:val="fr-CA"/>
        </w:rPr>
        <w:t>2 montre que la proportion</w:t>
      </w:r>
      <w:r w:rsidRPr="009C4822">
        <w:rPr>
          <w:lang w:val="fr-CA"/>
        </w:rPr>
        <w:t xml:space="preserve"> des prorogations de 31 à 60 jours </w:t>
      </w:r>
      <w:r>
        <w:rPr>
          <w:lang w:val="fr-CA"/>
        </w:rPr>
        <w:t>a augmenté de 10 % par rapport à la période précédente.</w:t>
      </w:r>
    </w:p>
    <w:p w:rsidR="00ED12CD" w:rsidRPr="0012787E" w:rsidRDefault="00ED12CD" w:rsidP="00ED12CD">
      <w:pPr>
        <w:rPr>
          <w:lang w:val="fr-CA"/>
        </w:rPr>
      </w:pPr>
      <w:r w:rsidRPr="00ED12CD">
        <w:rPr>
          <w:rStyle w:val="Heading3Char"/>
          <w:lang w:val="fr-FR"/>
        </w:rPr>
        <w:lastRenderedPageBreak/>
        <w:t>Figure 2 : Durée des prorogations</w:t>
      </w:r>
      <w:r w:rsidRPr="0012787E">
        <w:rPr>
          <w:noProof/>
        </w:rPr>
        <w:drawing>
          <wp:inline distT="0" distB="0" distL="0" distR="0">
            <wp:extent cx="6074797" cy="4285753"/>
            <wp:effectExtent l="0" t="0" r="2540" b="635"/>
            <wp:docPr id="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ED12CD" w:rsidRPr="001E71B4" w:rsidRDefault="00ED12CD" w:rsidP="00ED12CD">
      <w:pPr>
        <w:pStyle w:val="Heading4"/>
      </w:pPr>
      <w:r>
        <w:t>Présomptions de refus</w:t>
      </w:r>
    </w:p>
    <w:p w:rsidR="00ED12CD" w:rsidRPr="009C4822" w:rsidRDefault="00ED12CD" w:rsidP="00ED12CD">
      <w:pPr>
        <w:jc w:val="both"/>
        <w:rPr>
          <w:lang w:val="fr-CA"/>
        </w:rPr>
      </w:pPr>
      <w:r w:rsidRPr="009C4822">
        <w:rPr>
          <w:lang w:val="fr-CA"/>
        </w:rPr>
        <w:t>En 2014</w:t>
      </w:r>
      <w:r>
        <w:rPr>
          <w:lang w:val="fr-CA"/>
        </w:rPr>
        <w:t>-</w:t>
      </w:r>
      <w:r w:rsidRPr="009C4822">
        <w:rPr>
          <w:lang w:val="fr-CA"/>
        </w:rPr>
        <w:t xml:space="preserve">2015, 4 demandes ont été fermées après l’échéancier réglementaire, ce qui représente 1,3 % des demandes </w:t>
      </w:r>
      <w:r>
        <w:rPr>
          <w:lang w:val="fr-CA"/>
        </w:rPr>
        <w:t>complétées</w:t>
      </w:r>
      <w:r w:rsidRPr="009C4822">
        <w:rPr>
          <w:lang w:val="fr-CA"/>
        </w:rPr>
        <w:t>. Ce résultat</w:t>
      </w:r>
      <w:r>
        <w:rPr>
          <w:lang w:val="fr-CA"/>
        </w:rPr>
        <w:t xml:space="preserve"> représente</w:t>
      </w:r>
      <w:r w:rsidRPr="009C4822">
        <w:rPr>
          <w:lang w:val="fr-CA"/>
        </w:rPr>
        <w:t xml:space="preserve"> une </w:t>
      </w:r>
      <w:r>
        <w:rPr>
          <w:lang w:val="fr-CA"/>
        </w:rPr>
        <w:t>note de</w:t>
      </w:r>
      <w:r w:rsidRPr="009C4822">
        <w:rPr>
          <w:lang w:val="fr-CA"/>
        </w:rPr>
        <w:t xml:space="preserve"> « A »</w:t>
      </w:r>
      <w:r w:rsidRPr="009C4822">
        <w:rPr>
          <w:rStyle w:val="FootnoteReference"/>
          <w:lang w:val="fr-CA"/>
        </w:rPr>
        <w:footnoteReference w:id="115"/>
      </w:r>
      <w:r>
        <w:rPr>
          <w:lang w:val="fr-CA"/>
        </w:rPr>
        <w:t xml:space="preserve"> pour SP</w:t>
      </w:r>
      <w:r w:rsidRPr="009C4822">
        <w:rPr>
          <w:lang w:val="fr-CA"/>
        </w:rPr>
        <w:t xml:space="preserve">. </w:t>
      </w:r>
      <w:r>
        <w:rPr>
          <w:lang w:val="fr-CA"/>
        </w:rPr>
        <w:t>Comparativement à la période de référence précédente, l</w:t>
      </w:r>
      <w:r w:rsidRPr="009C4822">
        <w:rPr>
          <w:lang w:val="fr-CA"/>
        </w:rPr>
        <w:t xml:space="preserve">e nombre de demandes faisant l’objet d’une présomption de refus a diminué </w:t>
      </w:r>
      <w:r>
        <w:rPr>
          <w:lang w:val="fr-CA"/>
        </w:rPr>
        <w:t>(de 22 à 4).</w:t>
      </w:r>
    </w:p>
    <w:p w:rsidR="00ED12CD" w:rsidRPr="001E71B4" w:rsidRDefault="00ED12CD" w:rsidP="00ED12CD">
      <w:pPr>
        <w:pStyle w:val="Heading2"/>
      </w:pPr>
      <w:r w:rsidRPr="001E71B4">
        <w:t>Divulgation</w:t>
      </w:r>
    </w:p>
    <w:p w:rsidR="00ED12CD" w:rsidRPr="001E71B4" w:rsidRDefault="00ED12CD" w:rsidP="00ED12CD">
      <w:pPr>
        <w:pStyle w:val="Heading4"/>
      </w:pPr>
      <w:r w:rsidRPr="001E71B4">
        <w:t>Pourcentage de demandes pour lesquelles l’information a été divulguée</w:t>
      </w:r>
    </w:p>
    <w:p w:rsidR="00ED12CD" w:rsidRPr="009C4822" w:rsidRDefault="00ED12CD" w:rsidP="00ED12CD">
      <w:pPr>
        <w:jc w:val="both"/>
        <w:rPr>
          <w:lang w:val="fr-CA"/>
        </w:rPr>
      </w:pPr>
      <w:r w:rsidRPr="009C4822">
        <w:rPr>
          <w:lang w:val="fr-CA"/>
        </w:rPr>
        <w:t>En 2014</w:t>
      </w:r>
      <w:r>
        <w:rPr>
          <w:lang w:val="fr-CA"/>
        </w:rPr>
        <w:t>-</w:t>
      </w:r>
      <w:r w:rsidRPr="009C4822">
        <w:rPr>
          <w:lang w:val="fr-CA"/>
        </w:rPr>
        <w:t>2015, 10,6 % des demandes ont fait l’objet d’une divulgation complète, ce qui représente le taux de divulgation le plus élevé de SP depuis 2012 (voir figure </w:t>
      </w:r>
      <w:r>
        <w:rPr>
          <w:lang w:val="fr-CA"/>
        </w:rPr>
        <w:t>3</w:t>
      </w:r>
      <w:r w:rsidRPr="009C4822">
        <w:rPr>
          <w:lang w:val="fr-CA"/>
        </w:rPr>
        <w:t>). La figure </w:t>
      </w:r>
      <w:r>
        <w:rPr>
          <w:lang w:val="fr-CA"/>
        </w:rPr>
        <w:t>3</w:t>
      </w:r>
      <w:r w:rsidRPr="009C4822">
        <w:rPr>
          <w:lang w:val="fr-CA"/>
        </w:rPr>
        <w:t xml:space="preserve"> montre également que le taux des demandes faisant l’objet d’une divulgation partielle était de 56,2 % en 2014</w:t>
      </w:r>
      <w:r>
        <w:rPr>
          <w:lang w:val="fr-CA"/>
        </w:rPr>
        <w:t>-</w:t>
      </w:r>
      <w:r w:rsidRPr="009C4822">
        <w:rPr>
          <w:lang w:val="fr-CA"/>
        </w:rPr>
        <w:t xml:space="preserve">2015, ce qui </w:t>
      </w:r>
      <w:r>
        <w:rPr>
          <w:lang w:val="fr-CA"/>
        </w:rPr>
        <w:t>représente une augmentation de 9,7</w:t>
      </w:r>
      <w:r w:rsidRPr="009C4822">
        <w:rPr>
          <w:lang w:val="fr-CA"/>
        </w:rPr>
        <w:t xml:space="preserve"> % par rapport à </w:t>
      </w:r>
      <w:r>
        <w:rPr>
          <w:lang w:val="fr-CA"/>
        </w:rPr>
        <w:t>2013-2014.</w:t>
      </w:r>
    </w:p>
    <w:p w:rsidR="00ED12CD" w:rsidRPr="001E71B4" w:rsidRDefault="00ED12CD" w:rsidP="00ED12CD">
      <w:pPr>
        <w:rPr>
          <w:lang w:val="fr-CA"/>
        </w:rPr>
      </w:pPr>
      <w:r w:rsidRPr="00957E09">
        <w:rPr>
          <w:rStyle w:val="Heading3Char"/>
          <w:lang w:val="fr-FR"/>
        </w:rPr>
        <w:lastRenderedPageBreak/>
        <w:t>Figure 3 : Niveau de divulgation</w:t>
      </w:r>
      <w:r w:rsidRPr="0012787E">
        <w:rPr>
          <w:noProof/>
        </w:rPr>
        <w:drawing>
          <wp:inline distT="0" distB="0" distL="0" distR="0">
            <wp:extent cx="5979381" cy="3904090"/>
            <wp:effectExtent l="0" t="0" r="21590" b="20320"/>
            <wp:docPr id="9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ED12CD" w:rsidRPr="001E71B4" w:rsidRDefault="00ED12CD" w:rsidP="00ED12CD">
      <w:pPr>
        <w:pStyle w:val="Heading4"/>
      </w:pPr>
      <w:r w:rsidRPr="001E71B4">
        <w:t>Exceptions</w:t>
      </w:r>
    </w:p>
    <w:p w:rsidR="00ED12CD" w:rsidRPr="009C4822" w:rsidRDefault="00ED12CD" w:rsidP="00ED12CD">
      <w:pPr>
        <w:jc w:val="both"/>
        <w:rPr>
          <w:lang w:val="fr-CA"/>
        </w:rPr>
      </w:pPr>
      <w:r>
        <w:rPr>
          <w:lang w:val="fr-CA"/>
        </w:rPr>
        <w:t xml:space="preserve">Le </w:t>
      </w:r>
      <w:r w:rsidRPr="009C4822">
        <w:rPr>
          <w:lang w:val="fr-CA"/>
        </w:rPr>
        <w:t>recours aux exceptions par SP a diminué</w:t>
      </w:r>
      <w:r>
        <w:rPr>
          <w:lang w:val="fr-CA"/>
        </w:rPr>
        <w:t>, passant</w:t>
      </w:r>
      <w:r w:rsidRPr="009C4822">
        <w:rPr>
          <w:lang w:val="fr-CA"/>
        </w:rPr>
        <w:t xml:space="preserve"> de 1 295 exceptions en 2013</w:t>
      </w:r>
      <w:r>
        <w:rPr>
          <w:lang w:val="fr-CA"/>
        </w:rPr>
        <w:t>-</w:t>
      </w:r>
      <w:r w:rsidRPr="009C4822">
        <w:rPr>
          <w:lang w:val="fr-CA"/>
        </w:rPr>
        <w:t>2014 à 810</w:t>
      </w:r>
      <w:r>
        <w:rPr>
          <w:lang w:val="fr-CA"/>
        </w:rPr>
        <w:t xml:space="preserve"> en 2014-2015</w:t>
      </w:r>
      <w:r w:rsidRPr="009C4822">
        <w:rPr>
          <w:lang w:val="fr-CA"/>
        </w:rPr>
        <w:t xml:space="preserve">. Cependant, le nombre moyen d’exceptions par demande </w:t>
      </w:r>
      <w:r>
        <w:rPr>
          <w:lang w:val="fr-CA"/>
        </w:rPr>
        <w:t>complétée</w:t>
      </w:r>
      <w:r w:rsidRPr="009C4822">
        <w:rPr>
          <w:lang w:val="fr-CA"/>
        </w:rPr>
        <w:t xml:space="preserve"> a </w:t>
      </w:r>
      <w:r>
        <w:rPr>
          <w:lang w:val="fr-CA"/>
        </w:rPr>
        <w:t xml:space="preserve">légèrement </w:t>
      </w:r>
      <w:r w:rsidRPr="009C4822">
        <w:rPr>
          <w:lang w:val="fr-CA"/>
        </w:rPr>
        <w:t>augmenté de 2</w:t>
      </w:r>
      <w:r>
        <w:rPr>
          <w:lang w:val="fr-CA"/>
        </w:rPr>
        <w:t>,46 en 2013-2014 à 2,77 en 2014-</w:t>
      </w:r>
      <w:r w:rsidRPr="00D7034B">
        <w:rPr>
          <w:lang w:val="fr-CA"/>
        </w:rPr>
        <w:t>2015 (voir tableau 2).</w:t>
      </w:r>
    </w:p>
    <w:p w:rsidR="00ED12CD" w:rsidRPr="00C70352" w:rsidRDefault="00ED12CD" w:rsidP="00ED12CD">
      <w:pPr>
        <w:jc w:val="both"/>
        <w:rPr>
          <w:lang w:val="fr-CA"/>
        </w:rPr>
      </w:pPr>
      <w:r w:rsidRPr="00C70352">
        <w:rPr>
          <w:lang w:val="fr-CA"/>
        </w:rPr>
        <w:t>Les exceptions les plus fréquemment invoquées étaient l’article 16 (l’application de la loi et les enquêtes) (19,5 %), l’article 21 (les opérations du gouvernement) (19,4 %) et l’article 19 (les renseignements personnels) (15,9 %).</w:t>
      </w:r>
    </w:p>
    <w:p w:rsidR="00ED12CD" w:rsidRPr="009C4822" w:rsidRDefault="00ED12CD" w:rsidP="00ED12CD">
      <w:pPr>
        <w:pStyle w:val="Heading3"/>
      </w:pPr>
      <w:r w:rsidRPr="009C4822">
        <w:t xml:space="preserve">Tableau </w:t>
      </w:r>
      <w:proofErr w:type="gramStart"/>
      <w:r w:rsidRPr="009C4822">
        <w:t>2 :</w:t>
      </w:r>
      <w:proofErr w:type="gramEnd"/>
      <w:r w:rsidRPr="009C4822">
        <w:t xml:space="preserve"> Exceptions</w:t>
      </w:r>
    </w:p>
    <w:tbl>
      <w:tblPr>
        <w:tblW w:w="9541" w:type="dxa"/>
        <w:tblInd w:w="98" w:type="dxa"/>
        <w:tblLook w:val="04A0"/>
      </w:tblPr>
      <w:tblGrid>
        <w:gridCol w:w="5479"/>
        <w:gridCol w:w="1354"/>
        <w:gridCol w:w="1354"/>
        <w:gridCol w:w="1354"/>
      </w:tblGrid>
      <w:tr w:rsidR="00ED12CD" w:rsidRPr="009C4822" w:rsidTr="00B25C51">
        <w:trPr>
          <w:trHeight w:val="362"/>
        </w:trPr>
        <w:tc>
          <w:tcPr>
            <w:tcW w:w="5479" w:type="dxa"/>
            <w:tcBorders>
              <w:top w:val="single" w:sz="8" w:space="0" w:color="auto"/>
              <w:left w:val="single" w:sz="8" w:space="0" w:color="auto"/>
              <w:bottom w:val="single" w:sz="8" w:space="0" w:color="auto"/>
              <w:right w:val="nil"/>
            </w:tcBorders>
            <w:shd w:val="clear" w:color="000000" w:fill="DBE5F1"/>
            <w:noWrap/>
            <w:vAlign w:val="bottom"/>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xml:space="preserve">Exceptions </w:t>
            </w:r>
          </w:p>
        </w:tc>
        <w:tc>
          <w:tcPr>
            <w:tcW w:w="1354" w:type="dxa"/>
            <w:tcBorders>
              <w:top w:val="single" w:sz="8" w:space="0" w:color="auto"/>
              <w:left w:val="nil"/>
              <w:bottom w:val="single" w:sz="8" w:space="0" w:color="auto"/>
              <w:right w:val="nil"/>
            </w:tcBorders>
            <w:shd w:val="clear" w:color="000000" w:fill="DBE5F1"/>
            <w:noWrap/>
            <w:vAlign w:val="bottom"/>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2012-2013</w:t>
            </w:r>
          </w:p>
        </w:tc>
        <w:tc>
          <w:tcPr>
            <w:tcW w:w="1354" w:type="dxa"/>
            <w:tcBorders>
              <w:top w:val="single" w:sz="8" w:space="0" w:color="auto"/>
              <w:left w:val="nil"/>
              <w:bottom w:val="single" w:sz="8" w:space="0" w:color="auto"/>
              <w:right w:val="nil"/>
            </w:tcBorders>
            <w:shd w:val="clear" w:color="000000" w:fill="DBE5F1"/>
            <w:noWrap/>
            <w:vAlign w:val="bottom"/>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2013-2014</w:t>
            </w:r>
          </w:p>
        </w:tc>
        <w:tc>
          <w:tcPr>
            <w:tcW w:w="1354" w:type="dxa"/>
            <w:tcBorders>
              <w:top w:val="single" w:sz="8" w:space="0" w:color="auto"/>
              <w:left w:val="nil"/>
              <w:bottom w:val="single" w:sz="8" w:space="0" w:color="auto"/>
              <w:right w:val="single" w:sz="8" w:space="0" w:color="auto"/>
            </w:tcBorders>
            <w:shd w:val="clear" w:color="000000" w:fill="DBE5F1"/>
            <w:noWrap/>
            <w:vAlign w:val="bottom"/>
            <w:hideMark/>
          </w:tcPr>
          <w:p w:rsidR="00ED12CD" w:rsidRPr="009C4822" w:rsidRDefault="00ED12CD" w:rsidP="00B25C51">
            <w:pPr>
              <w:spacing w:after="0" w:line="240" w:lineRule="auto"/>
              <w:jc w:val="center"/>
              <w:rPr>
                <w:rFonts w:ascii="Calibri" w:eastAsia="Times New Roman" w:hAnsi="Calibri" w:cs="Times New Roman"/>
                <w:b/>
                <w:bCs/>
                <w:color w:val="000000"/>
                <w:lang w:val="fr-CA"/>
              </w:rPr>
            </w:pPr>
            <w:r w:rsidRPr="009C4822">
              <w:rPr>
                <w:rFonts w:ascii="Calibri" w:eastAsia="Times New Roman" w:hAnsi="Calibri" w:cs="Times New Roman"/>
                <w:b/>
                <w:bCs/>
                <w:color w:val="000000"/>
                <w:lang w:val="fr-CA"/>
              </w:rPr>
              <w:t>2014-2015</w:t>
            </w:r>
          </w:p>
        </w:tc>
      </w:tr>
      <w:tr w:rsidR="00ED12CD" w:rsidRPr="009C4822" w:rsidTr="00B25C51">
        <w:trPr>
          <w:trHeight w:val="345"/>
        </w:trPr>
        <w:tc>
          <w:tcPr>
            <w:tcW w:w="5479" w:type="dxa"/>
            <w:tcBorders>
              <w:top w:val="nil"/>
              <w:left w:val="single" w:sz="8" w:space="0" w:color="auto"/>
              <w:bottom w:val="nil"/>
              <w:right w:val="nil"/>
            </w:tcBorders>
            <w:shd w:val="clear" w:color="auto" w:fill="auto"/>
            <w:noWrap/>
            <w:vAlign w:val="bottom"/>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xml:space="preserve">Nombre total </w:t>
            </w:r>
            <w:r>
              <w:rPr>
                <w:rFonts w:ascii="Calibri" w:eastAsia="Times New Roman" w:hAnsi="Calibri" w:cs="Times New Roman"/>
                <w:color w:val="000000"/>
                <w:lang w:val="fr-CA"/>
              </w:rPr>
              <w:t>d’exceptions</w:t>
            </w:r>
          </w:p>
        </w:tc>
        <w:tc>
          <w:tcPr>
            <w:tcW w:w="1354" w:type="dxa"/>
            <w:tcBorders>
              <w:top w:val="nil"/>
              <w:left w:val="nil"/>
              <w:bottom w:val="nil"/>
              <w:right w:val="nil"/>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1 009</w:t>
            </w:r>
          </w:p>
        </w:tc>
        <w:tc>
          <w:tcPr>
            <w:tcW w:w="1354" w:type="dxa"/>
            <w:tcBorders>
              <w:top w:val="nil"/>
              <w:left w:val="nil"/>
              <w:bottom w:val="nil"/>
              <w:right w:val="nil"/>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1 295</w:t>
            </w:r>
          </w:p>
        </w:tc>
        <w:tc>
          <w:tcPr>
            <w:tcW w:w="1354" w:type="dxa"/>
            <w:tcBorders>
              <w:top w:val="nil"/>
              <w:left w:val="nil"/>
              <w:bottom w:val="nil"/>
              <w:right w:val="single" w:sz="8" w:space="0" w:color="auto"/>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810</w:t>
            </w:r>
          </w:p>
        </w:tc>
      </w:tr>
      <w:tr w:rsidR="00ED12CD" w:rsidRPr="009C4822" w:rsidTr="00B25C51">
        <w:trPr>
          <w:trHeight w:val="345"/>
        </w:trPr>
        <w:tc>
          <w:tcPr>
            <w:tcW w:w="5479" w:type="dxa"/>
            <w:tcBorders>
              <w:top w:val="nil"/>
              <w:left w:val="single" w:sz="8" w:space="0" w:color="auto"/>
              <w:bottom w:val="nil"/>
              <w:right w:val="nil"/>
            </w:tcBorders>
            <w:shd w:val="clear" w:color="auto" w:fill="auto"/>
            <w:noWrap/>
            <w:vAlign w:val="bottom"/>
            <w:hideMark/>
          </w:tcPr>
          <w:p w:rsidR="00ED12CD" w:rsidRPr="009C4822" w:rsidRDefault="00ED12CD" w:rsidP="00B25C51">
            <w:pPr>
              <w:spacing w:after="0"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Nombre total de demandes complét</w:t>
            </w:r>
            <w:r w:rsidRPr="009C4822">
              <w:rPr>
                <w:rFonts w:ascii="Calibri" w:eastAsia="Times New Roman" w:hAnsi="Calibri" w:cs="Times New Roman"/>
                <w:color w:val="000000"/>
                <w:lang w:val="fr-CA"/>
              </w:rPr>
              <w:t>ées</w:t>
            </w:r>
          </w:p>
        </w:tc>
        <w:tc>
          <w:tcPr>
            <w:tcW w:w="1354" w:type="dxa"/>
            <w:tcBorders>
              <w:top w:val="nil"/>
              <w:left w:val="nil"/>
              <w:bottom w:val="nil"/>
              <w:right w:val="nil"/>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478</w:t>
            </w:r>
          </w:p>
        </w:tc>
        <w:tc>
          <w:tcPr>
            <w:tcW w:w="1354" w:type="dxa"/>
            <w:tcBorders>
              <w:top w:val="nil"/>
              <w:left w:val="nil"/>
              <w:bottom w:val="nil"/>
              <w:right w:val="nil"/>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527</w:t>
            </w:r>
          </w:p>
        </w:tc>
        <w:tc>
          <w:tcPr>
            <w:tcW w:w="1354" w:type="dxa"/>
            <w:tcBorders>
              <w:top w:val="nil"/>
              <w:left w:val="nil"/>
              <w:bottom w:val="nil"/>
              <w:right w:val="single" w:sz="8" w:space="0" w:color="auto"/>
            </w:tcBorders>
            <w:shd w:val="clear" w:color="auto" w:fill="auto"/>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292</w:t>
            </w:r>
          </w:p>
        </w:tc>
      </w:tr>
      <w:tr w:rsidR="00ED12CD" w:rsidRPr="009C4822" w:rsidTr="00B25C51">
        <w:trPr>
          <w:trHeight w:val="362"/>
        </w:trPr>
        <w:tc>
          <w:tcPr>
            <w:tcW w:w="5479" w:type="dxa"/>
            <w:tcBorders>
              <w:top w:val="nil"/>
              <w:left w:val="single" w:sz="8" w:space="0" w:color="auto"/>
              <w:bottom w:val="single" w:sz="8" w:space="0" w:color="auto"/>
              <w:right w:val="nil"/>
            </w:tcBorders>
            <w:shd w:val="clear" w:color="000000" w:fill="DBE5F1"/>
            <w:noWrap/>
            <w:vAlign w:val="bottom"/>
            <w:hideMark/>
          </w:tcPr>
          <w:p w:rsidR="00ED12CD" w:rsidRPr="009C4822" w:rsidRDefault="00ED12CD" w:rsidP="00B25C51">
            <w:pPr>
              <w:spacing w:after="0" w:line="240" w:lineRule="auto"/>
              <w:rPr>
                <w:rFonts w:ascii="Calibri" w:eastAsia="Times New Roman" w:hAnsi="Calibri" w:cs="Times New Roman"/>
                <w:color w:val="000000"/>
                <w:lang w:val="fr-CA"/>
              </w:rPr>
            </w:pPr>
            <w:r w:rsidRPr="009C4822">
              <w:rPr>
                <w:rFonts w:ascii="Calibri" w:eastAsia="Times New Roman" w:hAnsi="Calibri" w:cs="Times New Roman"/>
                <w:color w:val="000000"/>
                <w:lang w:val="fr-CA"/>
              </w:rPr>
              <w:t xml:space="preserve">Nombre moyen d’exceptions par demande </w:t>
            </w:r>
            <w:r>
              <w:rPr>
                <w:rFonts w:ascii="Calibri" w:eastAsia="Times New Roman" w:hAnsi="Calibri" w:cs="Times New Roman"/>
                <w:color w:val="000000"/>
                <w:lang w:val="fr-CA"/>
              </w:rPr>
              <w:t>complétée</w:t>
            </w:r>
          </w:p>
        </w:tc>
        <w:tc>
          <w:tcPr>
            <w:tcW w:w="1354" w:type="dxa"/>
            <w:tcBorders>
              <w:top w:val="nil"/>
              <w:left w:val="nil"/>
              <w:bottom w:val="single" w:sz="8" w:space="0" w:color="auto"/>
              <w:right w:val="nil"/>
            </w:tcBorders>
            <w:shd w:val="clear" w:color="000000" w:fill="DBE5F1"/>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2,1</w:t>
            </w:r>
            <w:r>
              <w:rPr>
                <w:rFonts w:ascii="Calibri" w:eastAsia="Times New Roman" w:hAnsi="Calibri" w:cs="Times New Roman"/>
                <w:color w:val="000000"/>
                <w:lang w:val="fr-CA"/>
              </w:rPr>
              <w:t>1</w:t>
            </w:r>
          </w:p>
        </w:tc>
        <w:tc>
          <w:tcPr>
            <w:tcW w:w="1354" w:type="dxa"/>
            <w:tcBorders>
              <w:top w:val="nil"/>
              <w:left w:val="nil"/>
              <w:bottom w:val="single" w:sz="8" w:space="0" w:color="auto"/>
              <w:right w:val="nil"/>
            </w:tcBorders>
            <w:shd w:val="clear" w:color="000000" w:fill="DBE5F1"/>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Pr>
                <w:rFonts w:ascii="Calibri" w:eastAsia="Times New Roman" w:hAnsi="Calibri" w:cs="Times New Roman"/>
                <w:color w:val="000000"/>
                <w:lang w:val="fr-CA"/>
              </w:rPr>
              <w:t>2,46</w:t>
            </w:r>
          </w:p>
        </w:tc>
        <w:tc>
          <w:tcPr>
            <w:tcW w:w="1354" w:type="dxa"/>
            <w:tcBorders>
              <w:top w:val="nil"/>
              <w:left w:val="nil"/>
              <w:bottom w:val="single" w:sz="8" w:space="0" w:color="auto"/>
              <w:right w:val="single" w:sz="8" w:space="0" w:color="auto"/>
            </w:tcBorders>
            <w:shd w:val="clear" w:color="000000" w:fill="DBE5F1"/>
            <w:noWrap/>
            <w:vAlign w:val="bottom"/>
            <w:hideMark/>
          </w:tcPr>
          <w:p w:rsidR="00ED12CD" w:rsidRPr="009C4822" w:rsidRDefault="00ED12CD" w:rsidP="00B25C51">
            <w:pPr>
              <w:spacing w:after="0" w:line="240" w:lineRule="auto"/>
              <w:jc w:val="center"/>
              <w:rPr>
                <w:rFonts w:ascii="Calibri" w:eastAsia="Times New Roman" w:hAnsi="Calibri" w:cs="Times New Roman"/>
                <w:color w:val="000000"/>
                <w:lang w:val="fr-CA"/>
              </w:rPr>
            </w:pPr>
            <w:r w:rsidRPr="009C4822">
              <w:rPr>
                <w:rFonts w:ascii="Calibri" w:eastAsia="Times New Roman" w:hAnsi="Calibri" w:cs="Times New Roman"/>
                <w:color w:val="000000"/>
                <w:lang w:val="fr-CA"/>
              </w:rPr>
              <w:t>2,</w:t>
            </w:r>
            <w:r>
              <w:rPr>
                <w:rFonts w:ascii="Calibri" w:eastAsia="Times New Roman" w:hAnsi="Calibri" w:cs="Times New Roman"/>
                <w:color w:val="000000"/>
                <w:lang w:val="fr-CA"/>
              </w:rPr>
              <w:t>77</w:t>
            </w:r>
          </w:p>
        </w:tc>
      </w:tr>
    </w:tbl>
    <w:p w:rsidR="00ED12CD" w:rsidRPr="001E71B4" w:rsidRDefault="00ED12CD" w:rsidP="00ED12CD">
      <w:pPr>
        <w:pStyle w:val="Heading2"/>
        <w:spacing w:before="240"/>
      </w:pPr>
      <w:r w:rsidRPr="001E71B4">
        <w:t>Plaintes au Commissariat à l’information</w:t>
      </w:r>
    </w:p>
    <w:p w:rsidR="00ED12CD" w:rsidRDefault="00ED12CD" w:rsidP="00ED12CD">
      <w:pPr>
        <w:jc w:val="both"/>
        <w:rPr>
          <w:lang w:val="fr-CA"/>
        </w:rPr>
      </w:pPr>
      <w:r w:rsidRPr="009C4822">
        <w:rPr>
          <w:lang w:val="fr-CA"/>
        </w:rPr>
        <w:lastRenderedPageBreak/>
        <w:t>Depuis 2012, le nomb</w:t>
      </w:r>
      <w:r>
        <w:rPr>
          <w:lang w:val="fr-CA"/>
        </w:rPr>
        <w:t>re de plaintes reçues</w:t>
      </w:r>
      <w:r>
        <w:rPr>
          <w:rStyle w:val="FootnoteReference"/>
          <w:lang w:val="fr-CA"/>
        </w:rPr>
        <w:footnoteReference w:id="116"/>
      </w:r>
      <w:r>
        <w:rPr>
          <w:lang w:val="fr-CA"/>
        </w:rPr>
        <w:t xml:space="preserve"> par le Commissariat</w:t>
      </w:r>
      <w:r w:rsidRPr="009C4822">
        <w:rPr>
          <w:lang w:val="fr-CA"/>
        </w:rPr>
        <w:t xml:space="preserve"> a augment</w:t>
      </w:r>
      <w:r>
        <w:rPr>
          <w:lang w:val="fr-CA"/>
        </w:rPr>
        <w:t>é de façon graduelle (5 en 2012-</w:t>
      </w:r>
      <w:r w:rsidRPr="009C4822">
        <w:rPr>
          <w:lang w:val="fr-CA"/>
        </w:rPr>
        <w:t>2013, 14 en</w:t>
      </w:r>
      <w:r>
        <w:rPr>
          <w:lang w:val="fr-CA"/>
        </w:rPr>
        <w:t xml:space="preserve"> 2013-2014 et 25 en 2014-2015).</w:t>
      </w:r>
    </w:p>
    <w:p w:rsidR="00ED12CD" w:rsidRPr="001E71B4" w:rsidRDefault="00ED12CD" w:rsidP="00ED12CD">
      <w:pPr>
        <w:jc w:val="both"/>
        <w:rPr>
          <w:sz w:val="24"/>
          <w:szCs w:val="24"/>
          <w:lang w:val="fr-CA"/>
        </w:rPr>
      </w:pPr>
      <w:r>
        <w:rPr>
          <w:lang w:val="fr-CA"/>
        </w:rPr>
        <w:t>En 2014-</w:t>
      </w:r>
      <w:r w:rsidRPr="009C4822">
        <w:rPr>
          <w:lang w:val="fr-CA"/>
        </w:rPr>
        <w:t>2015, les 25 plaintes étaient</w:t>
      </w:r>
      <w:r>
        <w:rPr>
          <w:lang w:val="fr-CA"/>
        </w:rPr>
        <w:t xml:space="preserve"> toutes attribuables à un refus.</w:t>
      </w:r>
      <w:r w:rsidRPr="009C4822">
        <w:rPr>
          <w:lang w:val="fr-CA"/>
        </w:rPr>
        <w:t xml:space="preserve"> 7 étaient fondées et ont été réglées, 7 n’étaient pas fondées, 2 ont été </w:t>
      </w:r>
      <w:r>
        <w:rPr>
          <w:lang w:val="fr-CA"/>
        </w:rPr>
        <w:t>abandonnées</w:t>
      </w:r>
      <w:r w:rsidRPr="009C4822">
        <w:rPr>
          <w:lang w:val="fr-CA"/>
        </w:rPr>
        <w:t xml:space="preserve"> et 9 </w:t>
      </w:r>
      <w:r>
        <w:rPr>
          <w:lang w:val="fr-CA"/>
        </w:rPr>
        <w:t xml:space="preserve">étaient </w:t>
      </w:r>
      <w:r w:rsidRPr="009C4822">
        <w:rPr>
          <w:lang w:val="fr-CA"/>
        </w:rPr>
        <w:t>en suspens</w:t>
      </w:r>
      <w:r>
        <w:rPr>
          <w:lang w:val="fr-CA"/>
        </w:rPr>
        <w:t>.</w:t>
      </w:r>
    </w:p>
    <w:p w:rsidR="00620117" w:rsidRPr="00CF07A2" w:rsidRDefault="00620117">
      <w:pPr>
        <w:rPr>
          <w:lang w:val="fr-CA"/>
        </w:rPr>
      </w:pPr>
    </w:p>
    <w:sectPr w:rsidR="00620117" w:rsidRPr="00CF07A2" w:rsidSect="00CF07A2">
      <w:footerReference w:type="default" r:id="rId9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51" w:rsidRDefault="00B25C51" w:rsidP="00CF07A2">
      <w:pPr>
        <w:spacing w:after="0" w:line="240" w:lineRule="auto"/>
      </w:pPr>
      <w:r>
        <w:separator/>
      </w:r>
    </w:p>
  </w:endnote>
  <w:endnote w:type="continuationSeparator" w:id="0">
    <w:p w:rsidR="00B25C51" w:rsidRDefault="00B25C51" w:rsidP="00CF0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1663"/>
      <w:docPartObj>
        <w:docPartGallery w:val="Page Numbers (Bottom of Page)"/>
        <w:docPartUnique/>
      </w:docPartObj>
    </w:sdtPr>
    <w:sdtContent>
      <w:p w:rsidR="00B25C51" w:rsidRDefault="00131709" w:rsidP="00CF07A2">
        <w:pPr>
          <w:pStyle w:val="Footer"/>
          <w:jc w:val="right"/>
        </w:pPr>
        <w:r>
          <w:fldChar w:fldCharType="begin"/>
        </w:r>
        <w:r w:rsidR="00B25C51">
          <w:instrText xml:space="preserve"> PAGE   \* MERGEFORMAT </w:instrText>
        </w:r>
        <w:r>
          <w:fldChar w:fldCharType="separate"/>
        </w:r>
        <w:r w:rsidR="007268F5">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51" w:rsidRDefault="00B25C51" w:rsidP="00CF07A2">
      <w:pPr>
        <w:spacing w:after="0" w:line="240" w:lineRule="auto"/>
      </w:pPr>
      <w:r>
        <w:separator/>
      </w:r>
    </w:p>
  </w:footnote>
  <w:footnote w:type="continuationSeparator" w:id="0">
    <w:p w:rsidR="00B25C51" w:rsidRDefault="00B25C51" w:rsidP="00CF07A2">
      <w:pPr>
        <w:spacing w:after="0" w:line="240" w:lineRule="auto"/>
      </w:pPr>
      <w:r>
        <w:continuationSeparator/>
      </w:r>
    </w:p>
  </w:footnote>
  <w:footnote w:id="1">
    <w:p w:rsidR="00B25C51" w:rsidRPr="0043196F" w:rsidRDefault="00B25C51" w:rsidP="00CF07A2">
      <w:pPr>
        <w:pStyle w:val="FootnoteText"/>
        <w:rPr>
          <w:lang w:val="fr-CA"/>
        </w:rPr>
      </w:pPr>
      <w:r>
        <w:rPr>
          <w:rStyle w:val="FootnoteReference"/>
        </w:rPr>
        <w:footnoteRef/>
      </w:r>
      <w:r w:rsidRPr="0043196F">
        <w:rPr>
          <w:lang w:val="fr-CA"/>
        </w:rPr>
        <w:t xml:space="preserve"> </w:t>
      </w:r>
      <w:r w:rsidRPr="0036098B">
        <w:rPr>
          <w:lang w:val="fr-CA"/>
        </w:rPr>
        <w:t xml:space="preserve">Le rendement global repose sur </w:t>
      </w:r>
      <w:r>
        <w:rPr>
          <w:lang w:val="fr-CA"/>
        </w:rPr>
        <w:t xml:space="preserve">deux principaux indicateurs : </w:t>
      </w:r>
      <w:r w:rsidRPr="00371449">
        <w:rPr>
          <w:lang w:val="fr-CA"/>
        </w:rPr>
        <w:t>% de demandes complété</w:t>
      </w:r>
      <w:r>
        <w:rPr>
          <w:lang w:val="fr-CA"/>
        </w:rPr>
        <w:t xml:space="preserve">es en 30 jours ou moins et </w:t>
      </w:r>
      <w:r w:rsidRPr="00371449">
        <w:rPr>
          <w:lang w:val="fr-CA"/>
        </w:rPr>
        <w:t>% de demandes qui ont fait l’objet d’une divulgation complète.</w:t>
      </w:r>
    </w:p>
  </w:footnote>
  <w:footnote w:id="2">
    <w:p w:rsidR="00B25C51" w:rsidRPr="00CE51B8" w:rsidRDefault="00B25C51" w:rsidP="00CF07A2">
      <w:pPr>
        <w:pStyle w:val="FootnoteText"/>
        <w:rPr>
          <w:lang w:val="fr-CA"/>
        </w:rPr>
      </w:pPr>
      <w:r>
        <w:rPr>
          <w:rStyle w:val="FootnoteReference"/>
        </w:rPr>
        <w:footnoteRef/>
      </w:r>
      <w:r w:rsidRPr="00CE51B8">
        <w:rPr>
          <w:lang w:val="fr-CA"/>
        </w:rPr>
        <w:t xml:space="preserve"> Le nom Citoyenneté et Immigration Canada a été changé pour Immigration, Réfugiés et Citoyenneté Canada.</w:t>
      </w:r>
    </w:p>
  </w:footnote>
  <w:footnote w:id="3">
    <w:p w:rsidR="00B25C51" w:rsidRPr="00371449" w:rsidRDefault="00B25C51" w:rsidP="00CF07A2">
      <w:pPr>
        <w:pStyle w:val="FootnoteText"/>
        <w:rPr>
          <w:lang w:val="fr-CA"/>
        </w:rPr>
      </w:pPr>
      <w:r>
        <w:rPr>
          <w:rStyle w:val="FootnoteReference"/>
        </w:rPr>
        <w:footnoteRef/>
      </w:r>
      <w:r w:rsidRPr="00371449">
        <w:rPr>
          <w:lang w:val="fr-CA"/>
        </w:rPr>
        <w:t xml:space="preserve"> </w:t>
      </w:r>
      <w:bookmarkStart w:id="0" w:name="OLE_LINK1"/>
      <w:bookmarkStart w:id="1" w:name="OLE_LINK2"/>
      <w:r>
        <w:rPr>
          <w:lang w:val="fr-FR"/>
        </w:rPr>
        <w:t>Le taux d’achèvement a été calculé en utilisant le nombre de demandes reçues durant cette période et le nombre de demandes transférées de la période précédente.</w:t>
      </w:r>
      <w:bookmarkEnd w:id="0"/>
      <w:bookmarkEnd w:id="1"/>
    </w:p>
  </w:footnote>
  <w:footnote w:id="4">
    <w:p w:rsidR="00B25C51" w:rsidRPr="0043196F" w:rsidRDefault="00B25C51" w:rsidP="00CF07A2">
      <w:pPr>
        <w:pStyle w:val="FootnoteText"/>
        <w:contextualSpacing/>
        <w:rPr>
          <w:lang w:val="fr-CA"/>
        </w:rPr>
      </w:pPr>
      <w:r>
        <w:rPr>
          <w:rStyle w:val="FootnoteReference"/>
        </w:rPr>
        <w:footnoteRef/>
      </w:r>
      <w:r w:rsidRPr="0043196F">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5">
    <w:p w:rsidR="00B25C51" w:rsidRPr="007A233E" w:rsidRDefault="00B25C51" w:rsidP="00CF07A2">
      <w:pPr>
        <w:pStyle w:val="FootnoteText"/>
        <w:rPr>
          <w:lang w:val="fr-FR"/>
        </w:rPr>
      </w:pPr>
      <w:r>
        <w:rPr>
          <w:rStyle w:val="FootnoteReference"/>
        </w:rPr>
        <w:footnoteRef/>
      </w:r>
      <w:r w:rsidRPr="007A233E">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6">
    <w:p w:rsidR="00B25C51" w:rsidRPr="00367EAD" w:rsidRDefault="00B25C51" w:rsidP="00CF07A2">
      <w:pPr>
        <w:pStyle w:val="FootnoteText"/>
        <w:rPr>
          <w:lang w:val="fr-CA"/>
        </w:rPr>
      </w:pPr>
      <w:r>
        <w:rPr>
          <w:rStyle w:val="FootnoteReference"/>
        </w:rPr>
        <w:footnoteRef/>
      </w:r>
      <w:r w:rsidRPr="00367EAD">
        <w:rPr>
          <w:lang w:val="fr-CA"/>
        </w:rPr>
        <w:t xml:space="preserve"> </w:t>
      </w:r>
      <w:r w:rsidRPr="005E7D67">
        <w:rPr>
          <w:lang w:val="fr-CA"/>
        </w:rPr>
        <w:t>1</w:t>
      </w:r>
      <w:r>
        <w:rPr>
          <w:lang w:val="fr-CA"/>
        </w:rPr>
        <w:t xml:space="preserve"> Le rendement global repose sur deux principaux indicateurs: </w:t>
      </w:r>
      <w:r w:rsidRPr="004013F7">
        <w:rPr>
          <w:lang w:val="fr-CA"/>
        </w:rPr>
        <w:t>% de demandes complété</w:t>
      </w:r>
      <w:r>
        <w:rPr>
          <w:lang w:val="fr-CA"/>
        </w:rPr>
        <w:t>es</w:t>
      </w:r>
      <w:r w:rsidRPr="004013F7">
        <w:rPr>
          <w:lang w:val="fr-CA"/>
        </w:rPr>
        <w:t xml:space="preserve"> en 30 jours ou moins et % de demandes qui ont fait l’objet d’une divulgation complète.</w:t>
      </w:r>
    </w:p>
  </w:footnote>
  <w:footnote w:id="7">
    <w:p w:rsidR="00B25C51" w:rsidRPr="0096629A" w:rsidRDefault="00B25C51" w:rsidP="00CF07A2">
      <w:pPr>
        <w:pStyle w:val="FootnoteText"/>
        <w:rPr>
          <w:lang w:val="fr-CA"/>
        </w:rPr>
      </w:pPr>
      <w:r>
        <w:rPr>
          <w:rStyle w:val="FootnoteReference"/>
        </w:rPr>
        <w:footnoteRef/>
      </w:r>
      <w:r w:rsidRPr="0096629A">
        <w:rPr>
          <w:lang w:val="fr-CA"/>
        </w:rPr>
        <w:t xml:space="preserve"> Selon le rapport annuel de l’ASFC sur l’application de la </w:t>
      </w:r>
      <w:r w:rsidRPr="00E06112">
        <w:rPr>
          <w:i/>
          <w:lang w:val="fr-CA"/>
        </w:rPr>
        <w:t>Loi</w:t>
      </w:r>
      <w:r w:rsidRPr="0096629A">
        <w:rPr>
          <w:lang w:val="fr-CA"/>
        </w:rPr>
        <w:t xml:space="preserve">, </w:t>
      </w:r>
      <w:r>
        <w:rPr>
          <w:lang w:val="fr-CA"/>
        </w:rPr>
        <w:t>60,4 </w:t>
      </w:r>
      <w:r w:rsidRPr="0096629A">
        <w:rPr>
          <w:lang w:val="fr-CA"/>
        </w:rPr>
        <w:t xml:space="preserve">% de toutes les demandes </w:t>
      </w:r>
      <w:r>
        <w:rPr>
          <w:lang w:val="fr-CA"/>
        </w:rPr>
        <w:t>provenaient de personnes souhaitant accéder au Rapport sur leurs antécédents de voyage</w:t>
      </w:r>
      <w:r w:rsidRPr="0096629A">
        <w:rPr>
          <w:lang w:val="fr-CA"/>
        </w:rPr>
        <w:t>.</w:t>
      </w:r>
    </w:p>
  </w:footnote>
  <w:footnote w:id="8">
    <w:p w:rsidR="00B25C51" w:rsidRPr="004013F7" w:rsidRDefault="00B25C51" w:rsidP="00CF07A2">
      <w:pPr>
        <w:pStyle w:val="FootnoteText"/>
        <w:rPr>
          <w:lang w:val="fr-CA"/>
        </w:rPr>
      </w:pPr>
      <w:r>
        <w:rPr>
          <w:rStyle w:val="FootnoteReference"/>
        </w:rPr>
        <w:footnoteRef/>
      </w:r>
      <w:r w:rsidRPr="004013F7">
        <w:rPr>
          <w:lang w:val="fr-CA"/>
        </w:rPr>
        <w:t xml:space="preserve"> </w:t>
      </w:r>
      <w:r>
        <w:rPr>
          <w:lang w:val="fr-FR"/>
        </w:rPr>
        <w:t>Le taux d’achèvement a été calculé en utilisant le nombre de demandes reçues durant cette période et le nombre de demandes transférées de la période précédente. Le taux d’achèvement diffère de celui rapporté par l’ASFC puisque ce dernier n’utilise que les demandes reçues.</w:t>
      </w:r>
    </w:p>
  </w:footnote>
  <w:footnote w:id="9">
    <w:p w:rsidR="00B25C51" w:rsidRPr="00B46AD4" w:rsidRDefault="00B25C51" w:rsidP="00CF07A2">
      <w:pPr>
        <w:pStyle w:val="FootnoteText"/>
        <w:rPr>
          <w:lang w:val="fr-FR"/>
        </w:rPr>
      </w:pPr>
      <w:r w:rsidRPr="00B46AD4">
        <w:rPr>
          <w:rStyle w:val="FootnoteReference"/>
        </w:rPr>
        <w:footnoteRef/>
      </w:r>
      <w:r w:rsidRPr="00B46AD4">
        <w:rPr>
          <w:lang w:val="fr-FR"/>
        </w:rPr>
        <w:t xml:space="preserve"> </w:t>
      </w:r>
      <w:r w:rsidRPr="00B46AD4">
        <w:rPr>
          <w:lang w:val="fr-CA"/>
        </w:rPr>
        <w:t xml:space="preserve">Le rapport annuel sur l’application de la </w:t>
      </w:r>
      <w:r w:rsidRPr="00B46AD4">
        <w:rPr>
          <w:i/>
          <w:lang w:val="fr-CA"/>
        </w:rPr>
        <w:t>Loi</w:t>
      </w:r>
      <w:r w:rsidRPr="00B46AD4">
        <w:rPr>
          <w:lang w:val="fr-CA"/>
        </w:rPr>
        <w:t xml:space="preserve"> précise que même si seulement 17,5 % des dossiers ont été communiqués par voie électronique, ces dossiers représentent 86,3 % de toutes les pages divulguées.</w:t>
      </w:r>
    </w:p>
  </w:footnote>
  <w:footnote w:id="10">
    <w:p w:rsidR="00B25C51" w:rsidRPr="00367EAD" w:rsidRDefault="00B25C51" w:rsidP="00CF07A2">
      <w:pPr>
        <w:pStyle w:val="FootnoteText"/>
        <w:contextualSpacing/>
        <w:rPr>
          <w:lang w:val="fr-CA"/>
        </w:rPr>
      </w:pPr>
      <w:r>
        <w:rPr>
          <w:rStyle w:val="FootnoteReference"/>
        </w:rPr>
        <w:footnoteRef/>
      </w:r>
      <w:r w:rsidRPr="00367EAD">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11">
    <w:p w:rsidR="00B25C51" w:rsidRPr="00F23E86" w:rsidRDefault="00B25C51" w:rsidP="00CF07A2">
      <w:pPr>
        <w:pStyle w:val="FootnoteText"/>
        <w:rPr>
          <w:lang w:val="fr-FR"/>
        </w:rPr>
      </w:pPr>
      <w:r>
        <w:rPr>
          <w:rStyle w:val="FootnoteReference"/>
        </w:rPr>
        <w:footnoteRef/>
      </w:r>
      <w:r w:rsidRPr="00F23E86">
        <w:rPr>
          <w:lang w:val="fr-FR"/>
        </w:rPr>
        <w:t xml:space="preserve"> </w:t>
      </w:r>
      <w:r w:rsidRPr="00D81942">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12">
    <w:p w:rsidR="00B25C51" w:rsidRPr="004A6BC2" w:rsidRDefault="00B25C51" w:rsidP="00CF07A2">
      <w:pPr>
        <w:pStyle w:val="FootnoteText"/>
        <w:rPr>
          <w:lang w:val="fr-CA"/>
        </w:rPr>
      </w:pPr>
      <w:r>
        <w:rPr>
          <w:rStyle w:val="FootnoteReference"/>
        </w:rPr>
        <w:footnoteRef/>
      </w:r>
      <w:r w:rsidRPr="004A6BC2">
        <w:rPr>
          <w:lang w:val="fr-CA"/>
        </w:rPr>
        <w:t xml:space="preserve"> </w:t>
      </w:r>
      <w:r>
        <w:rPr>
          <w:lang w:val="fr-CA"/>
        </w:rPr>
        <w:t xml:space="preserve">Le rendement global repose sur deux principaux </w:t>
      </w:r>
      <w:r w:rsidRPr="00A76AB4">
        <w:rPr>
          <w:lang w:val="fr-CA"/>
        </w:rPr>
        <w:t>indicateurs: % de demande</w:t>
      </w:r>
      <w:r>
        <w:rPr>
          <w:lang w:val="fr-CA"/>
        </w:rPr>
        <w:t>s complétées en 30 jours ou moins et</w:t>
      </w:r>
      <w:r w:rsidRPr="00A76AB4">
        <w:rPr>
          <w:lang w:val="fr-CA"/>
        </w:rPr>
        <w:t xml:space="preserve"> % de demandes qui ont fait l’objet d’une divulgation complète.</w:t>
      </w:r>
    </w:p>
  </w:footnote>
  <w:footnote w:id="13">
    <w:p w:rsidR="00B25C51" w:rsidRPr="00A76AB4" w:rsidRDefault="00B25C51" w:rsidP="00CF07A2">
      <w:pPr>
        <w:pStyle w:val="FootnoteText"/>
        <w:rPr>
          <w:lang w:val="fr-FR"/>
        </w:rPr>
      </w:pPr>
      <w:r>
        <w:rPr>
          <w:rStyle w:val="FootnoteReference"/>
        </w:rPr>
        <w:footnoteRef/>
      </w:r>
      <w:r w:rsidRPr="00A76AB4">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14">
    <w:p w:rsidR="00B25C51" w:rsidRPr="004A6BC2" w:rsidRDefault="00B25C51" w:rsidP="00CF07A2">
      <w:pPr>
        <w:pStyle w:val="FootnoteText"/>
        <w:contextualSpacing/>
        <w:rPr>
          <w:lang w:val="fr-CA"/>
        </w:rPr>
      </w:pPr>
      <w:r>
        <w:rPr>
          <w:rStyle w:val="FootnoteReference"/>
        </w:rPr>
        <w:footnoteRef/>
      </w:r>
      <w:r w:rsidRPr="005E228B">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15">
    <w:p w:rsidR="00B25C51" w:rsidRPr="007045A3" w:rsidRDefault="00B25C51" w:rsidP="00CF07A2">
      <w:pPr>
        <w:pStyle w:val="FootnoteText"/>
        <w:rPr>
          <w:lang w:val="fr-FR"/>
        </w:rPr>
      </w:pPr>
      <w:r>
        <w:rPr>
          <w:rStyle w:val="FootnoteReference"/>
        </w:rPr>
        <w:footnoteRef/>
      </w:r>
      <w:r w:rsidRPr="007045A3">
        <w:rPr>
          <w:lang w:val="fr-FR"/>
        </w:rPr>
        <w:t xml:space="preserve"> Les chiffres rapportés dans cette section sont basés sur les statistiques du Commissariat. Des différences peuvent être notées avec l’information rapportée par les institutions, puisque la méthodologie employée diffère.</w:t>
      </w:r>
    </w:p>
  </w:footnote>
  <w:footnote w:id="16">
    <w:p w:rsidR="00B25C51" w:rsidRPr="00175DFE" w:rsidRDefault="00B25C51" w:rsidP="00CF07A2">
      <w:pPr>
        <w:pStyle w:val="FootnoteText"/>
        <w:rPr>
          <w:lang w:val="fr-CA"/>
        </w:rPr>
      </w:pPr>
      <w:r w:rsidRPr="0007010B">
        <w:rPr>
          <w:rStyle w:val="FootnoteReference"/>
        </w:rPr>
        <w:footnoteRef/>
      </w:r>
      <w:r w:rsidRPr="0007010B">
        <w:rPr>
          <w:lang w:val="fr-CA"/>
        </w:rPr>
        <w:t xml:space="preserve"> Le</w:t>
      </w:r>
      <w:r>
        <w:rPr>
          <w:lang w:val="fr-CA"/>
        </w:rPr>
        <w:t xml:space="preserve"> rendement global repose sur</w:t>
      </w:r>
      <w:r w:rsidRPr="0007010B">
        <w:rPr>
          <w:lang w:val="fr-CA"/>
        </w:rPr>
        <w:t xml:space="preserve"> deux principaux indicateurs : % de demandes complétées en 30 jours ou moins et  % de demandes qui ont fait l’objet d’une divulgation complète.</w:t>
      </w:r>
    </w:p>
  </w:footnote>
  <w:footnote w:id="17">
    <w:p w:rsidR="00B25C51" w:rsidRPr="00A150EA" w:rsidRDefault="00B25C51" w:rsidP="00CF07A2">
      <w:pPr>
        <w:pStyle w:val="FootnoteText"/>
        <w:rPr>
          <w:lang w:val="fr-CA"/>
        </w:rPr>
      </w:pPr>
      <w:r>
        <w:rPr>
          <w:rStyle w:val="FootnoteReference"/>
        </w:rPr>
        <w:footnoteRef/>
      </w:r>
      <w:r w:rsidRPr="00A150EA">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18">
    <w:p w:rsidR="00B25C51" w:rsidRPr="00175DFE" w:rsidRDefault="00B25C51" w:rsidP="00CF07A2">
      <w:pPr>
        <w:pStyle w:val="FootnoteText"/>
        <w:contextualSpacing/>
        <w:rPr>
          <w:lang w:val="fr-CA"/>
        </w:rPr>
      </w:pPr>
      <w:r>
        <w:rPr>
          <w:rStyle w:val="FootnoteReference"/>
        </w:rPr>
        <w:footnoteRef/>
      </w:r>
      <w:r>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19">
    <w:p w:rsidR="00B25C51" w:rsidRPr="00840213" w:rsidRDefault="00B25C51" w:rsidP="00CF07A2">
      <w:pPr>
        <w:pStyle w:val="FootnoteText"/>
        <w:rPr>
          <w:lang w:val="fr-FR"/>
        </w:rPr>
      </w:pPr>
      <w:r>
        <w:rPr>
          <w:rStyle w:val="FootnoteReference"/>
        </w:rPr>
        <w:footnoteRef/>
      </w:r>
      <w:r w:rsidRPr="00840213">
        <w:rPr>
          <w:lang w:val="fr-FR"/>
        </w:rPr>
        <w:t xml:space="preserve"> </w:t>
      </w:r>
      <w:r w:rsidRPr="007045A3">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20">
    <w:p w:rsidR="00B25C51" w:rsidRPr="00656776" w:rsidRDefault="00B25C51" w:rsidP="00CF07A2">
      <w:pPr>
        <w:pStyle w:val="FootnoteText"/>
        <w:rPr>
          <w:lang w:val="fr-CA"/>
        </w:rPr>
      </w:pPr>
      <w:r>
        <w:rPr>
          <w:rStyle w:val="FootnoteReference"/>
        </w:rPr>
        <w:footnoteRef/>
      </w:r>
      <w:r w:rsidRPr="00D1662F">
        <w:rPr>
          <w:lang w:val="fr-CA"/>
        </w:rPr>
        <w:t xml:space="preserve"> </w:t>
      </w:r>
      <w:r w:rsidRPr="00933057">
        <w:rPr>
          <w:lang w:val="fr-CA"/>
        </w:rPr>
        <w:t xml:space="preserve">Le rendement global repose </w:t>
      </w:r>
      <w:r>
        <w:rPr>
          <w:lang w:val="fr-CA"/>
        </w:rPr>
        <w:t xml:space="preserve">sur deux principaux </w:t>
      </w:r>
      <w:r w:rsidRPr="00656776">
        <w:rPr>
          <w:lang w:val="fr-CA"/>
        </w:rPr>
        <w:t>indicateurs: % de demandes complété</w:t>
      </w:r>
      <w:r>
        <w:rPr>
          <w:lang w:val="fr-CA"/>
        </w:rPr>
        <w:t>es</w:t>
      </w:r>
      <w:r w:rsidRPr="00656776">
        <w:rPr>
          <w:lang w:val="fr-CA"/>
        </w:rPr>
        <w:t xml:space="preserve"> en 30 jours ou moins et % de demandes qui ont fait l’objet d’une divulgation complète.</w:t>
      </w:r>
    </w:p>
  </w:footnote>
  <w:footnote w:id="21">
    <w:p w:rsidR="00B25C51" w:rsidRPr="002B54A2" w:rsidRDefault="00B25C51" w:rsidP="00CF07A2">
      <w:pPr>
        <w:pStyle w:val="FootnoteText"/>
        <w:rPr>
          <w:lang w:val="fr-CA"/>
        </w:rPr>
      </w:pPr>
      <w:r w:rsidRPr="00656776">
        <w:rPr>
          <w:rStyle w:val="FootnoteReference"/>
        </w:rPr>
        <w:footnoteRef/>
      </w:r>
      <w:r w:rsidRPr="00656776">
        <w:rPr>
          <w:lang w:val="fr-FR"/>
        </w:rPr>
        <w:t xml:space="preserve"> Le taux d’achèvement a été calculé en utilisant le nombre de demandes reçues durant</w:t>
      </w:r>
      <w:r>
        <w:rPr>
          <w:lang w:val="fr-FR"/>
        </w:rPr>
        <w:t xml:space="preserve"> cette période et le nombre de demandes transférées de la période précédente.</w:t>
      </w:r>
    </w:p>
  </w:footnote>
  <w:footnote w:id="22">
    <w:p w:rsidR="00B25C51" w:rsidRPr="00D1662F" w:rsidRDefault="00B25C51" w:rsidP="00CF07A2">
      <w:pPr>
        <w:pStyle w:val="FootnoteText"/>
        <w:contextualSpacing/>
        <w:rPr>
          <w:lang w:val="fr-CA"/>
        </w:rPr>
      </w:pPr>
      <w:r>
        <w:rPr>
          <w:rStyle w:val="FootnoteReference"/>
        </w:rPr>
        <w:footnoteRef/>
      </w:r>
      <w:r>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23">
    <w:p w:rsidR="00B25C51" w:rsidRPr="00EC1D01" w:rsidRDefault="00B25C51" w:rsidP="00CF07A2">
      <w:pPr>
        <w:pStyle w:val="FootnoteText"/>
        <w:rPr>
          <w:lang w:val="fr-FR"/>
        </w:rPr>
      </w:pPr>
      <w:r>
        <w:rPr>
          <w:rStyle w:val="FootnoteReference"/>
        </w:rPr>
        <w:footnoteRef/>
      </w:r>
      <w:r w:rsidRPr="00EC1D01">
        <w:rPr>
          <w:lang w:val="fr-FR"/>
        </w:rPr>
        <w:t xml:space="preserve"> </w:t>
      </w:r>
      <w:r w:rsidRPr="007045A3">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24">
    <w:p w:rsidR="00B25C51" w:rsidRPr="00CB10BA" w:rsidRDefault="00B25C51" w:rsidP="00CF07A2">
      <w:pPr>
        <w:pStyle w:val="FootnoteText"/>
        <w:rPr>
          <w:lang w:val="fr-CA"/>
        </w:rPr>
      </w:pPr>
      <w:r>
        <w:rPr>
          <w:rStyle w:val="FootnoteReference"/>
        </w:rPr>
        <w:footnoteRef/>
      </w:r>
      <w:r w:rsidRPr="00CB10BA">
        <w:rPr>
          <w:lang w:val="fr-CA"/>
        </w:rPr>
        <w:t xml:space="preserve"> </w:t>
      </w:r>
      <w:r w:rsidRPr="00893B29">
        <w:rPr>
          <w:lang w:val="fr-CA"/>
        </w:rPr>
        <w:t xml:space="preserve">Le rendement global repose sur </w:t>
      </w:r>
      <w:r>
        <w:rPr>
          <w:lang w:val="fr-CA"/>
        </w:rPr>
        <w:t xml:space="preserve">deux principaux indicateurs: </w:t>
      </w:r>
      <w:r w:rsidRPr="00447D80">
        <w:rPr>
          <w:lang w:val="fr-CA"/>
        </w:rPr>
        <w:t>% de demandes complétées en 30 jours ou moins et % de demandes qui ont fait l’objet d’une divulgation complète.</w:t>
      </w:r>
    </w:p>
  </w:footnote>
  <w:footnote w:id="25">
    <w:p w:rsidR="00B25C51" w:rsidRPr="001719B4" w:rsidRDefault="00B25C51" w:rsidP="00CF07A2">
      <w:pPr>
        <w:pStyle w:val="FootnoteText"/>
        <w:rPr>
          <w:lang w:val="fr-FR"/>
        </w:rPr>
      </w:pPr>
      <w:r>
        <w:rPr>
          <w:rStyle w:val="FootnoteReference"/>
        </w:rPr>
        <w:footnoteRef/>
      </w:r>
      <w:r w:rsidRPr="001719B4">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26">
    <w:p w:rsidR="00B25C51" w:rsidRPr="00CB10BA" w:rsidRDefault="00B25C51" w:rsidP="00CF07A2">
      <w:pPr>
        <w:pStyle w:val="FootnoteText"/>
        <w:contextualSpacing/>
        <w:rPr>
          <w:lang w:val="fr-CA"/>
        </w:rPr>
      </w:pPr>
      <w:r>
        <w:rPr>
          <w:rStyle w:val="FootnoteReference"/>
        </w:rPr>
        <w:footnoteRef/>
      </w:r>
      <w:r>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27">
    <w:p w:rsidR="00B25C51" w:rsidRPr="00D238C7" w:rsidRDefault="00B25C51" w:rsidP="00CF07A2">
      <w:pPr>
        <w:pStyle w:val="FootnoteText"/>
        <w:rPr>
          <w:lang w:val="fr-FR"/>
        </w:rPr>
      </w:pPr>
      <w:r>
        <w:rPr>
          <w:rStyle w:val="FootnoteReference"/>
        </w:rPr>
        <w:footnoteRef/>
      </w:r>
      <w:r w:rsidRPr="00D238C7">
        <w:rPr>
          <w:lang w:val="fr-FR"/>
        </w:rPr>
        <w:t xml:space="preserve"> </w:t>
      </w:r>
      <w:r w:rsidRPr="00666937">
        <w:rPr>
          <w:lang w:val="fr-CA"/>
        </w:rPr>
        <w:t xml:space="preserve">Dans son rapport annuel sur l’application de la </w:t>
      </w:r>
      <w:r w:rsidRPr="00666937">
        <w:rPr>
          <w:i/>
          <w:lang w:val="fr-CA"/>
        </w:rPr>
        <w:t>Loi</w:t>
      </w:r>
      <w:r w:rsidRPr="00666937">
        <w:rPr>
          <w:lang w:val="fr-CA"/>
        </w:rPr>
        <w:t>, SC explique qu’un grand nombre de demandes requièrent plusieurs consultations complexes auprès de tierces parties afin de dégager les renseignements commerciaux confidentiels à protéger. Ces dossiers comportent souvent une grande quantité d’information technique et scientifique, et prennent donc plus de temps à examiner.</w:t>
      </w:r>
    </w:p>
  </w:footnote>
  <w:footnote w:id="28">
    <w:p w:rsidR="00B25C51" w:rsidRPr="00D238C7" w:rsidRDefault="00B25C51" w:rsidP="00CF07A2">
      <w:pPr>
        <w:pStyle w:val="FootnoteText"/>
        <w:rPr>
          <w:lang w:val="fr-FR"/>
        </w:rPr>
      </w:pPr>
      <w:r>
        <w:rPr>
          <w:rStyle w:val="FootnoteReference"/>
        </w:rPr>
        <w:footnoteRef/>
      </w:r>
      <w:r w:rsidRPr="00D238C7">
        <w:rPr>
          <w:lang w:val="fr-FR"/>
        </w:rPr>
        <w:t xml:space="preserve"> </w:t>
      </w:r>
      <w:r w:rsidRPr="00D81942">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29">
    <w:p w:rsidR="00B25C51" w:rsidRPr="003D12E5" w:rsidRDefault="00B25C51" w:rsidP="005476C3">
      <w:pPr>
        <w:pStyle w:val="FootnoteText"/>
        <w:rPr>
          <w:lang w:val="fr-CA"/>
        </w:rPr>
      </w:pPr>
      <w:r>
        <w:rPr>
          <w:rStyle w:val="FootnoteReference"/>
        </w:rPr>
        <w:footnoteRef/>
      </w:r>
      <w:r w:rsidRPr="00A74075">
        <w:rPr>
          <w:lang w:val="fr-CA"/>
        </w:rPr>
        <w:t xml:space="preserve"> </w:t>
      </w:r>
      <w:r>
        <w:rPr>
          <w:lang w:val="fr-CA"/>
        </w:rPr>
        <w:t xml:space="preserve">Le rendement global repose sur deux principaux </w:t>
      </w:r>
      <w:r w:rsidRPr="003D12E5">
        <w:rPr>
          <w:lang w:val="fr-CA"/>
        </w:rPr>
        <w:t>indicateurs: % de demandes complétées en 30 jours ou moins et  % de demandes qui ont fait l’objet d’une divulgation complète.</w:t>
      </w:r>
    </w:p>
  </w:footnote>
  <w:footnote w:id="30">
    <w:p w:rsidR="00B25C51" w:rsidRPr="00A74075" w:rsidRDefault="00B25C51" w:rsidP="005476C3">
      <w:pPr>
        <w:pStyle w:val="FootnoteText"/>
        <w:rPr>
          <w:lang w:val="fr-CA"/>
        </w:rPr>
      </w:pPr>
      <w:r w:rsidRPr="003D12E5">
        <w:rPr>
          <w:rStyle w:val="FootnoteReference"/>
        </w:rPr>
        <w:footnoteRef/>
      </w:r>
      <w:r w:rsidRPr="003D12E5">
        <w:rPr>
          <w:lang w:val="fr-CA"/>
        </w:rPr>
        <w:t xml:space="preserve"> Le nom Environnement Canada a été changé pour Environnement et</w:t>
      </w:r>
      <w:r w:rsidRPr="00521491">
        <w:rPr>
          <w:lang w:val="fr-CA"/>
        </w:rPr>
        <w:t xml:space="preserve"> Changement climatique Canada</w:t>
      </w:r>
      <w:r>
        <w:rPr>
          <w:lang w:val="fr-CA"/>
        </w:rPr>
        <w:t>.</w:t>
      </w:r>
    </w:p>
  </w:footnote>
  <w:footnote w:id="31">
    <w:p w:rsidR="00B25C51" w:rsidRPr="008F54ED" w:rsidRDefault="00B25C51" w:rsidP="005476C3">
      <w:pPr>
        <w:pStyle w:val="FootnoteText"/>
        <w:rPr>
          <w:lang w:val="fr-CA"/>
        </w:rPr>
      </w:pPr>
      <w:r>
        <w:rPr>
          <w:rStyle w:val="FootnoteReference"/>
        </w:rPr>
        <w:footnoteRef/>
      </w:r>
      <w:r w:rsidRPr="008F54ED">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32">
    <w:p w:rsidR="00B25C51" w:rsidRPr="008E02FD" w:rsidRDefault="00B25C51" w:rsidP="005476C3">
      <w:pPr>
        <w:pStyle w:val="FootnoteText"/>
        <w:rPr>
          <w:lang w:val="fr-FR"/>
        </w:rPr>
      </w:pPr>
      <w:r>
        <w:rPr>
          <w:rStyle w:val="FootnoteReference"/>
        </w:rPr>
        <w:footnoteRef/>
      </w:r>
      <w:r w:rsidRPr="008E02FD">
        <w:rPr>
          <w:lang w:val="fr-FR"/>
        </w:rPr>
        <w:t xml:space="preserve"> </w:t>
      </w:r>
      <w:r>
        <w:rPr>
          <w:lang w:val="fr-FR"/>
        </w:rPr>
        <w:t xml:space="preserve">Selon le rapport annuel </w:t>
      </w:r>
      <w:proofErr w:type="gramStart"/>
      <w:r>
        <w:rPr>
          <w:lang w:val="fr-FR"/>
        </w:rPr>
        <w:t>de ECCC</w:t>
      </w:r>
      <w:proofErr w:type="gramEnd"/>
      <w:r>
        <w:rPr>
          <w:lang w:val="fr-FR"/>
        </w:rPr>
        <w:t>, un total de 74 demandes informelles ont été reçues en 2014-2015.</w:t>
      </w:r>
    </w:p>
  </w:footnote>
  <w:footnote w:id="33">
    <w:p w:rsidR="00B25C51" w:rsidRPr="00A74075" w:rsidRDefault="00B25C51" w:rsidP="005476C3">
      <w:pPr>
        <w:pStyle w:val="FootnoteText"/>
        <w:contextualSpacing/>
        <w:rPr>
          <w:lang w:val="fr-CA"/>
        </w:rPr>
      </w:pPr>
      <w:r>
        <w:rPr>
          <w:rStyle w:val="FootnoteReference"/>
        </w:rPr>
        <w:footnoteRef/>
      </w:r>
      <w:r w:rsidRPr="00A74075">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34">
    <w:p w:rsidR="00B25C51" w:rsidRPr="00066E64" w:rsidRDefault="00B25C51" w:rsidP="005476C3">
      <w:pPr>
        <w:pStyle w:val="FootnoteText"/>
        <w:rPr>
          <w:lang w:val="fr-FR"/>
        </w:rPr>
      </w:pPr>
      <w:r>
        <w:rPr>
          <w:rStyle w:val="FootnoteReference"/>
        </w:rPr>
        <w:footnoteRef/>
      </w:r>
      <w:r w:rsidRPr="00066E64">
        <w:rPr>
          <w:lang w:val="fr-FR"/>
        </w:rPr>
        <w:t xml:space="preserve"> </w:t>
      </w:r>
      <w:r w:rsidRPr="007045A3">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35">
    <w:p w:rsidR="00B25C51" w:rsidRPr="00B22AEE" w:rsidRDefault="00B25C51" w:rsidP="005476C3">
      <w:pPr>
        <w:pStyle w:val="FootnoteText"/>
        <w:rPr>
          <w:lang w:val="fr-CA"/>
        </w:rPr>
      </w:pPr>
      <w:r w:rsidRPr="00E536D8">
        <w:rPr>
          <w:rStyle w:val="FootnoteReference"/>
        </w:rPr>
        <w:footnoteRef/>
      </w:r>
      <w:r w:rsidRPr="00E536D8">
        <w:rPr>
          <w:lang w:val="fr-CA"/>
        </w:rPr>
        <w:t xml:space="preserve"> L</w:t>
      </w:r>
      <w:r>
        <w:rPr>
          <w:lang w:val="fr-CA"/>
        </w:rPr>
        <w:t>e rendement global repose sur</w:t>
      </w:r>
      <w:r w:rsidRPr="00E536D8">
        <w:rPr>
          <w:lang w:val="fr-CA"/>
        </w:rPr>
        <w:t xml:space="preserve"> deux principaux indicateurs: % de demande</w:t>
      </w:r>
      <w:r>
        <w:rPr>
          <w:lang w:val="fr-CA"/>
        </w:rPr>
        <w:t xml:space="preserve">s complétées en 30 jours ou moins et </w:t>
      </w:r>
      <w:r w:rsidRPr="00E536D8">
        <w:rPr>
          <w:lang w:val="fr-CA"/>
        </w:rPr>
        <w:t xml:space="preserve"> % de demandes qui ont fait l’objet d’une divulgation complète.</w:t>
      </w:r>
    </w:p>
  </w:footnote>
  <w:footnote w:id="36">
    <w:p w:rsidR="00B25C51" w:rsidRPr="00363105" w:rsidRDefault="00B25C51" w:rsidP="005476C3">
      <w:pPr>
        <w:pStyle w:val="FootnoteText"/>
        <w:rPr>
          <w:lang w:val="fr-FR"/>
        </w:rPr>
      </w:pPr>
      <w:r>
        <w:rPr>
          <w:rStyle w:val="FootnoteReference"/>
        </w:rPr>
        <w:footnoteRef/>
      </w:r>
      <w:r w:rsidRPr="00363105">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37">
    <w:p w:rsidR="00B25C51" w:rsidRPr="00B22AEE" w:rsidRDefault="00B25C51" w:rsidP="005476C3">
      <w:pPr>
        <w:pStyle w:val="FootnoteText"/>
        <w:contextualSpacing/>
        <w:rPr>
          <w:lang w:val="fr-CA"/>
        </w:rPr>
      </w:pPr>
      <w:r>
        <w:rPr>
          <w:rStyle w:val="FootnoteReference"/>
        </w:rPr>
        <w:footnoteRef/>
      </w:r>
      <w:r w:rsidRPr="00B22AEE">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38">
    <w:p w:rsidR="00B25C51" w:rsidRPr="00925536" w:rsidRDefault="00B25C51" w:rsidP="005476C3">
      <w:pPr>
        <w:pStyle w:val="FootnoteText"/>
        <w:rPr>
          <w:lang w:val="fr-FR"/>
        </w:rPr>
      </w:pPr>
      <w:r>
        <w:rPr>
          <w:rStyle w:val="FootnoteReference"/>
        </w:rPr>
        <w:footnoteRef/>
      </w:r>
      <w:r w:rsidRPr="00925536">
        <w:rPr>
          <w:lang w:val="fr-FR"/>
        </w:rPr>
        <w:t xml:space="preserve"> </w:t>
      </w:r>
      <w:r w:rsidRPr="007045A3">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39">
    <w:p w:rsidR="00B25C51" w:rsidRPr="00C93464" w:rsidRDefault="00B25C51" w:rsidP="005476C3">
      <w:pPr>
        <w:pStyle w:val="FootnoteText"/>
        <w:rPr>
          <w:lang w:val="fr-CA"/>
        </w:rPr>
      </w:pPr>
      <w:r>
        <w:rPr>
          <w:rStyle w:val="FootnoteReference"/>
        </w:rPr>
        <w:footnoteRef/>
      </w:r>
      <w:r w:rsidRPr="00C93464">
        <w:rPr>
          <w:lang w:val="fr-CA"/>
        </w:rPr>
        <w:t xml:space="preserve"> </w:t>
      </w:r>
      <w:r w:rsidRPr="0064697B">
        <w:rPr>
          <w:lang w:val="fr-CA"/>
        </w:rPr>
        <w:t xml:space="preserve">Le rendement global repose sur deux principaux </w:t>
      </w:r>
      <w:r>
        <w:rPr>
          <w:lang w:val="fr-CA"/>
        </w:rPr>
        <w:t>indicateurs:</w:t>
      </w:r>
      <w:r w:rsidRPr="005A72C8">
        <w:rPr>
          <w:lang w:val="fr-CA"/>
        </w:rPr>
        <w:t xml:space="preserve"> </w:t>
      </w:r>
      <w:r w:rsidRPr="00E536D8">
        <w:rPr>
          <w:lang w:val="fr-CA"/>
        </w:rPr>
        <w:t>% de demandes complété en 30 jours ou moins, % de demandes qui ont fait l’objet d’une divulgation complète.</w:t>
      </w:r>
    </w:p>
  </w:footnote>
  <w:footnote w:id="40">
    <w:p w:rsidR="00B25C51" w:rsidRPr="00D50457" w:rsidRDefault="00B25C51" w:rsidP="005476C3">
      <w:pPr>
        <w:pStyle w:val="FootnoteText"/>
        <w:rPr>
          <w:lang w:val="fr-FR"/>
        </w:rPr>
      </w:pPr>
      <w:r>
        <w:rPr>
          <w:rStyle w:val="FootnoteReference"/>
        </w:rPr>
        <w:footnoteRef/>
      </w:r>
      <w:r w:rsidRPr="00D50457">
        <w:rPr>
          <w:lang w:val="fr-FR"/>
        </w:rPr>
        <w:t xml:space="preserve"> </w:t>
      </w:r>
      <w:r>
        <w:rPr>
          <w:lang w:val="fr-FR"/>
        </w:rPr>
        <w:t xml:space="preserve">Le taux d’achèvement a été calculé en utilisant le nombre de demandes reçues durant cette période et le nombre de demandes transférées de la période précédente. </w:t>
      </w:r>
    </w:p>
  </w:footnote>
  <w:footnote w:id="41">
    <w:p w:rsidR="00B25C51" w:rsidRPr="00C93464" w:rsidRDefault="00B25C51" w:rsidP="005476C3">
      <w:pPr>
        <w:pStyle w:val="FootnoteText"/>
        <w:contextualSpacing/>
        <w:rPr>
          <w:lang w:val="fr-CA"/>
        </w:rPr>
      </w:pPr>
      <w:r>
        <w:rPr>
          <w:rStyle w:val="FootnoteReference"/>
        </w:rPr>
        <w:footnoteRef/>
      </w:r>
      <w:r w:rsidRPr="00C93464">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42">
    <w:p w:rsidR="00B25C51" w:rsidRPr="001F29B5" w:rsidRDefault="00B25C51" w:rsidP="005476C3">
      <w:pPr>
        <w:pStyle w:val="FootnoteText"/>
        <w:rPr>
          <w:lang w:val="fr-FR"/>
        </w:rPr>
      </w:pPr>
      <w:r>
        <w:rPr>
          <w:rStyle w:val="FootnoteReference"/>
        </w:rPr>
        <w:footnoteRef/>
      </w:r>
      <w:r w:rsidRPr="001F29B5">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43">
    <w:p w:rsidR="00B25C51" w:rsidRPr="00B959D9" w:rsidRDefault="00B25C51" w:rsidP="005476C3">
      <w:pPr>
        <w:pStyle w:val="FootnoteText"/>
        <w:rPr>
          <w:lang w:val="fr-CA"/>
        </w:rPr>
      </w:pPr>
      <w:r>
        <w:rPr>
          <w:rStyle w:val="FootnoteReference"/>
        </w:rPr>
        <w:footnoteRef/>
      </w:r>
      <w:r w:rsidRPr="00B959D9">
        <w:rPr>
          <w:lang w:val="fr-CA"/>
        </w:rPr>
        <w:t xml:space="preserve"> </w:t>
      </w:r>
      <w:r>
        <w:rPr>
          <w:lang w:val="fr-CA"/>
        </w:rPr>
        <w:t xml:space="preserve">Le rendement global repose sur deux principaux indicateurs: </w:t>
      </w:r>
      <w:r w:rsidRPr="00E536D8">
        <w:rPr>
          <w:lang w:val="fr-CA"/>
        </w:rPr>
        <w:t>% de demandes complété</w:t>
      </w:r>
      <w:r>
        <w:rPr>
          <w:lang w:val="fr-CA"/>
        </w:rPr>
        <w:t>es en 30 jours ou moins et</w:t>
      </w:r>
      <w:r w:rsidRPr="00E536D8">
        <w:rPr>
          <w:lang w:val="fr-CA"/>
        </w:rPr>
        <w:t xml:space="preserve"> % de demandes qui ont fait l’objet d’une divulgation complète.</w:t>
      </w:r>
    </w:p>
  </w:footnote>
  <w:footnote w:id="44">
    <w:p w:rsidR="00B25C51" w:rsidRPr="00FA4705" w:rsidRDefault="00B25C51" w:rsidP="005476C3">
      <w:pPr>
        <w:pStyle w:val="FootnoteText"/>
        <w:rPr>
          <w:lang w:val="fr-FR"/>
        </w:rPr>
      </w:pPr>
      <w:r>
        <w:rPr>
          <w:rStyle w:val="FootnoteReference"/>
        </w:rPr>
        <w:footnoteRef/>
      </w:r>
      <w:r w:rsidRPr="00FA4705">
        <w:rPr>
          <w:lang w:val="fr-FR"/>
        </w:rPr>
        <w:t xml:space="preserve"> </w:t>
      </w:r>
      <w:r>
        <w:rPr>
          <w:lang w:val="fr-FR"/>
        </w:rPr>
        <w:t>Une révision des demandes d’accès complétées disponibles en ligne démontre que plusieurs demandes étaient en lien avec les évènements et circonstances entourant la construction du nouveau pont Champlain.</w:t>
      </w:r>
    </w:p>
  </w:footnote>
  <w:footnote w:id="45">
    <w:p w:rsidR="00B25C51" w:rsidRPr="000F3B5F" w:rsidRDefault="00B25C51" w:rsidP="005476C3">
      <w:pPr>
        <w:pStyle w:val="FootnoteText"/>
        <w:rPr>
          <w:lang w:val="fr-FR"/>
        </w:rPr>
      </w:pPr>
      <w:r>
        <w:rPr>
          <w:rStyle w:val="FootnoteReference"/>
        </w:rPr>
        <w:footnoteRef/>
      </w:r>
      <w:r w:rsidRPr="000F3B5F">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46">
    <w:p w:rsidR="00B25C51" w:rsidRPr="00E06034" w:rsidRDefault="00B25C51" w:rsidP="005476C3">
      <w:pPr>
        <w:pStyle w:val="FootnoteText"/>
        <w:rPr>
          <w:lang w:val="fr-FR"/>
        </w:rPr>
      </w:pPr>
      <w:r>
        <w:rPr>
          <w:rStyle w:val="FootnoteReference"/>
        </w:rPr>
        <w:footnoteRef/>
      </w:r>
      <w:r w:rsidRPr="00E06034">
        <w:rPr>
          <w:lang w:val="fr-FR"/>
        </w:rPr>
        <w:t xml:space="preserve"> </w:t>
      </w:r>
      <w:r>
        <w:rPr>
          <w:lang w:val="fr-CA"/>
        </w:rPr>
        <w:t xml:space="preserve">L’indicateur </w:t>
      </w:r>
      <w:r w:rsidRPr="00AD3491">
        <w:rPr>
          <w:lang w:val="fr-CA"/>
        </w:rPr>
        <w:t>«</w:t>
      </w:r>
      <w:r>
        <w:rPr>
          <w:lang w:val="fr-CA"/>
        </w:rPr>
        <w:t xml:space="preserve"> </w:t>
      </w:r>
      <w:r w:rsidRPr="00AC446C">
        <w:rPr>
          <w:lang w:val="fr-CA"/>
        </w:rPr>
        <w:t>Retards des demandes échues</w:t>
      </w:r>
      <w:r>
        <w:rPr>
          <w:lang w:val="fr-CA"/>
        </w:rPr>
        <w:t xml:space="preserve"> </w:t>
      </w:r>
      <w:r w:rsidRPr="00AD3491">
        <w:rPr>
          <w:lang w:val="fr-CA"/>
        </w:rPr>
        <w:t>»</w:t>
      </w:r>
      <w:r>
        <w:rPr>
          <w:lang w:val="fr-CA"/>
        </w:rPr>
        <w:t xml:space="preserve"> </w:t>
      </w:r>
      <w:r w:rsidRPr="00AC446C">
        <w:rPr>
          <w:lang w:val="fr-CA"/>
        </w:rPr>
        <w:t xml:space="preserve">ne s’applique </w:t>
      </w:r>
      <w:r>
        <w:rPr>
          <w:lang w:val="fr-CA"/>
        </w:rPr>
        <w:t xml:space="preserve">pas aux institutions qui ont 15 demandes </w:t>
      </w:r>
      <w:r w:rsidRPr="00E06034">
        <w:rPr>
          <w:lang w:val="fr-FR"/>
        </w:rPr>
        <w:t>é</w:t>
      </w:r>
      <w:r>
        <w:rPr>
          <w:lang w:val="fr-CA"/>
        </w:rPr>
        <w:t>chues et moins.</w:t>
      </w:r>
    </w:p>
  </w:footnote>
  <w:footnote w:id="47">
    <w:p w:rsidR="00B25C51" w:rsidRPr="00B959D9" w:rsidRDefault="00B25C51" w:rsidP="005476C3">
      <w:pPr>
        <w:pStyle w:val="FootnoteText"/>
        <w:contextualSpacing/>
        <w:rPr>
          <w:lang w:val="fr-CA"/>
        </w:rPr>
      </w:pPr>
      <w:r>
        <w:rPr>
          <w:rStyle w:val="FootnoteReference"/>
        </w:rPr>
        <w:footnoteRef/>
      </w:r>
      <w:r w:rsidRPr="00B959D9">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48">
    <w:p w:rsidR="00B25C51" w:rsidRPr="006D4621" w:rsidRDefault="00B25C51" w:rsidP="005476C3">
      <w:pPr>
        <w:pStyle w:val="FootnoteText"/>
        <w:rPr>
          <w:lang w:val="fr-FR"/>
        </w:rPr>
      </w:pPr>
      <w:r>
        <w:rPr>
          <w:rStyle w:val="FootnoteReference"/>
        </w:rPr>
        <w:footnoteRef/>
      </w:r>
      <w:r w:rsidRPr="006D4621">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49">
    <w:p w:rsidR="00B25C51" w:rsidRPr="00B71A34" w:rsidRDefault="00B25C51" w:rsidP="005476C3">
      <w:pPr>
        <w:pStyle w:val="FootnoteText"/>
        <w:rPr>
          <w:lang w:val="fr-CA"/>
        </w:rPr>
      </w:pPr>
      <w:r>
        <w:rPr>
          <w:rStyle w:val="FootnoteReference"/>
        </w:rPr>
        <w:footnoteRef/>
      </w:r>
      <w:r w:rsidRPr="00B71A34">
        <w:rPr>
          <w:lang w:val="fr-CA"/>
        </w:rPr>
        <w:t xml:space="preserve"> </w:t>
      </w:r>
      <w:r>
        <w:rPr>
          <w:lang w:val="fr-CA"/>
        </w:rPr>
        <w:t>Ce rapport regroupe les données du Ministre des affaires étrangères et du commerce international du Canada, l’Agence canadienne de Développement international et du Ministre des Affaires étrangères, du commerce et du Développement du Canada pour l’année 2013-2014.</w:t>
      </w:r>
    </w:p>
  </w:footnote>
  <w:footnote w:id="50">
    <w:p w:rsidR="00B25C51" w:rsidRPr="00A447B5" w:rsidRDefault="00B25C51" w:rsidP="005476C3">
      <w:pPr>
        <w:pStyle w:val="FootnoteText"/>
        <w:rPr>
          <w:lang w:val="fr-CA"/>
        </w:rPr>
      </w:pPr>
      <w:r>
        <w:rPr>
          <w:rStyle w:val="FootnoteReference"/>
        </w:rPr>
        <w:footnoteRef/>
      </w:r>
      <w:r w:rsidRPr="00A447B5">
        <w:rPr>
          <w:lang w:val="fr-CA"/>
        </w:rPr>
        <w:t xml:space="preserve"> </w:t>
      </w:r>
      <w:r w:rsidRPr="00AD3491">
        <w:rPr>
          <w:lang w:val="fr-CA"/>
        </w:rPr>
        <w:t xml:space="preserve">Le rendement global repose sur </w:t>
      </w:r>
      <w:r>
        <w:rPr>
          <w:lang w:val="fr-CA"/>
        </w:rPr>
        <w:t xml:space="preserve">deux principaux indicateurs: </w:t>
      </w:r>
      <w:r w:rsidRPr="00E536D8">
        <w:rPr>
          <w:lang w:val="fr-CA"/>
        </w:rPr>
        <w:t>% de demandes complété</w:t>
      </w:r>
      <w:r>
        <w:rPr>
          <w:lang w:val="fr-CA"/>
        </w:rPr>
        <w:t>es en 30 jours ou moins et</w:t>
      </w:r>
      <w:r w:rsidRPr="00E536D8">
        <w:rPr>
          <w:lang w:val="fr-CA"/>
        </w:rPr>
        <w:t xml:space="preserve"> % de demandes qui ont fait l’objet d’une divulgation complète.</w:t>
      </w:r>
    </w:p>
  </w:footnote>
  <w:footnote w:id="51">
    <w:p w:rsidR="00B25C51" w:rsidRPr="00A447B5" w:rsidRDefault="00B25C51" w:rsidP="005476C3">
      <w:pPr>
        <w:pStyle w:val="FootnoteText"/>
        <w:rPr>
          <w:lang w:val="fr-CA"/>
        </w:rPr>
      </w:pPr>
      <w:r>
        <w:rPr>
          <w:rStyle w:val="FootnoteReference"/>
        </w:rPr>
        <w:footnoteRef/>
      </w:r>
      <w:r w:rsidRPr="00A447B5">
        <w:rPr>
          <w:lang w:val="fr-CA"/>
        </w:rPr>
        <w:t xml:space="preserve"> </w:t>
      </w:r>
      <w:r>
        <w:rPr>
          <w:lang w:val="fr-CA"/>
        </w:rPr>
        <w:t xml:space="preserve">Le nom du </w:t>
      </w:r>
      <w:r w:rsidRPr="00BF170F">
        <w:rPr>
          <w:lang w:val="fr-CA"/>
        </w:rPr>
        <w:t>ministère des Affaires étrangères, du Commerce et du Développement a été changé pour Affaires mondiales Canada.</w:t>
      </w:r>
      <w:r w:rsidRPr="00A447B5">
        <w:rPr>
          <w:lang w:val="fr-CA"/>
        </w:rPr>
        <w:t xml:space="preserve"> </w:t>
      </w:r>
    </w:p>
  </w:footnote>
  <w:footnote w:id="52">
    <w:p w:rsidR="00B25C51" w:rsidRPr="00871DA6" w:rsidRDefault="00B25C51" w:rsidP="005476C3">
      <w:pPr>
        <w:pStyle w:val="FootnoteText"/>
        <w:rPr>
          <w:lang w:val="fr-CA"/>
        </w:rPr>
      </w:pPr>
      <w:r>
        <w:rPr>
          <w:rStyle w:val="FootnoteReference"/>
        </w:rPr>
        <w:footnoteRef/>
      </w:r>
      <w:r w:rsidRPr="00871DA6">
        <w:rPr>
          <w:lang w:val="fr-CA"/>
        </w:rPr>
        <w:t xml:space="preserve"> </w:t>
      </w:r>
      <w:r>
        <w:rPr>
          <w:lang w:val="fr-FR"/>
        </w:rPr>
        <w:t>Le taux d’achèvement a été calculé en utilisant le nombre de demandes reçues durant cette période et le nombre de demandes transférées de la période précédente.</w:t>
      </w:r>
    </w:p>
  </w:footnote>
  <w:footnote w:id="53">
    <w:p w:rsidR="00B25C51" w:rsidRPr="00A447B5" w:rsidRDefault="00B25C51" w:rsidP="005476C3">
      <w:pPr>
        <w:pStyle w:val="FootnoteText"/>
        <w:contextualSpacing/>
        <w:rPr>
          <w:lang w:val="fr-CA"/>
        </w:rPr>
      </w:pPr>
      <w:r>
        <w:rPr>
          <w:rStyle w:val="FootnoteReference"/>
        </w:rPr>
        <w:footnoteRef/>
      </w:r>
      <w:r w:rsidRPr="00A447B5">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54">
    <w:p w:rsidR="00B25C51" w:rsidRPr="003873D1" w:rsidRDefault="00B25C51" w:rsidP="005476C3">
      <w:pPr>
        <w:pStyle w:val="FootnoteText"/>
        <w:rPr>
          <w:lang w:val="fr-FR"/>
        </w:rPr>
      </w:pPr>
      <w:r>
        <w:rPr>
          <w:rStyle w:val="FootnoteReference"/>
        </w:rPr>
        <w:footnoteRef/>
      </w:r>
      <w:r w:rsidRPr="003873D1">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55">
    <w:p w:rsidR="00B25C51" w:rsidRPr="006B1931" w:rsidRDefault="00B25C51" w:rsidP="005476C3">
      <w:pPr>
        <w:pStyle w:val="FootnoteText"/>
        <w:rPr>
          <w:b/>
          <w:lang w:val="fr-CA"/>
        </w:rPr>
      </w:pPr>
      <w:r>
        <w:rPr>
          <w:rStyle w:val="FootnoteReference"/>
        </w:rPr>
        <w:footnoteRef/>
      </w:r>
      <w:r w:rsidRPr="00891AD8">
        <w:rPr>
          <w:lang w:val="fr-CA"/>
        </w:rPr>
        <w:t xml:space="preserve"> </w:t>
      </w:r>
      <w:r w:rsidRPr="00AD3491">
        <w:rPr>
          <w:lang w:val="fr-CA"/>
        </w:rPr>
        <w:t xml:space="preserve">Le rendement global repose sur </w:t>
      </w:r>
      <w:r>
        <w:rPr>
          <w:lang w:val="fr-CA"/>
        </w:rPr>
        <w:t xml:space="preserve">deux principaux indicateurs: </w:t>
      </w:r>
      <w:r w:rsidRPr="00E536D8">
        <w:rPr>
          <w:lang w:val="fr-CA"/>
        </w:rPr>
        <w:t>% de demandes complété</w:t>
      </w:r>
      <w:r>
        <w:rPr>
          <w:lang w:val="fr-CA"/>
        </w:rPr>
        <w:t>es en 30 jours ou moins et</w:t>
      </w:r>
      <w:r w:rsidRPr="00E536D8">
        <w:rPr>
          <w:lang w:val="fr-CA"/>
        </w:rPr>
        <w:t xml:space="preserve"> % de demandes qui ont fait l’objet d’une divulgation complète.</w:t>
      </w:r>
    </w:p>
  </w:footnote>
  <w:footnote w:id="56">
    <w:p w:rsidR="00B25C51" w:rsidRPr="005319FF" w:rsidRDefault="00B25C51" w:rsidP="005476C3">
      <w:pPr>
        <w:pStyle w:val="FootnoteText"/>
        <w:rPr>
          <w:lang w:val="fr-CA"/>
        </w:rPr>
      </w:pPr>
      <w:r>
        <w:rPr>
          <w:rStyle w:val="FootnoteReference"/>
        </w:rPr>
        <w:footnoteRef/>
      </w:r>
      <w:r w:rsidRPr="005319FF">
        <w:rPr>
          <w:lang w:val="fr-CA"/>
        </w:rPr>
        <w:t xml:space="preserve"> </w:t>
      </w:r>
      <w:r>
        <w:rPr>
          <w:lang w:val="fr-FR"/>
        </w:rPr>
        <w:t>Le taux d’achèvement a été calculé en utilisant le nombre de demandes reçues durant cette période et le nombre de demandes transférées de la période précédente.</w:t>
      </w:r>
    </w:p>
  </w:footnote>
  <w:footnote w:id="57">
    <w:p w:rsidR="00B25C51" w:rsidRPr="00891AD8" w:rsidRDefault="00B25C51" w:rsidP="005476C3">
      <w:pPr>
        <w:pStyle w:val="FootnoteText"/>
        <w:contextualSpacing/>
        <w:rPr>
          <w:lang w:val="fr-CA"/>
        </w:rPr>
      </w:pPr>
      <w:r>
        <w:rPr>
          <w:rStyle w:val="FootnoteReference"/>
        </w:rPr>
        <w:footnoteRef/>
      </w:r>
      <w:r w:rsidRPr="00891AD8">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58">
    <w:p w:rsidR="00B25C51" w:rsidRPr="00697FC4" w:rsidRDefault="00B25C51" w:rsidP="005476C3">
      <w:pPr>
        <w:pStyle w:val="FootnoteText"/>
        <w:rPr>
          <w:lang w:val="fr-FR"/>
        </w:rPr>
      </w:pPr>
      <w:r>
        <w:rPr>
          <w:rStyle w:val="FootnoteReference"/>
        </w:rPr>
        <w:footnoteRef/>
      </w:r>
      <w:r w:rsidRPr="00697FC4">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59">
    <w:p w:rsidR="00B25C51" w:rsidRPr="004E0B95" w:rsidRDefault="00B25C51" w:rsidP="005476C3">
      <w:pPr>
        <w:pStyle w:val="FootnoteText"/>
        <w:rPr>
          <w:lang w:val="fr-CA"/>
        </w:rPr>
      </w:pPr>
      <w:r>
        <w:rPr>
          <w:rStyle w:val="FootnoteReference"/>
        </w:rPr>
        <w:footnoteRef/>
      </w:r>
      <w:r w:rsidRPr="004E0B95">
        <w:rPr>
          <w:lang w:val="fr-CA"/>
        </w:rPr>
        <w:t xml:space="preserve"> </w:t>
      </w:r>
      <w:r w:rsidRPr="000D103A">
        <w:rPr>
          <w:lang w:val="fr-CA"/>
        </w:rPr>
        <w:t>Industrie Canada porte désormais le nom d’Innovation, Sciences et Développement économique Canada.</w:t>
      </w:r>
    </w:p>
  </w:footnote>
  <w:footnote w:id="60">
    <w:p w:rsidR="00B25C51" w:rsidRPr="004E0B95" w:rsidRDefault="00B25C51" w:rsidP="005476C3">
      <w:pPr>
        <w:pStyle w:val="FootnoteText"/>
        <w:rPr>
          <w:lang w:val="fr-CA"/>
        </w:rPr>
      </w:pPr>
      <w:r>
        <w:rPr>
          <w:rStyle w:val="FootnoteReference"/>
        </w:rPr>
        <w:footnoteRef/>
      </w:r>
      <w:r w:rsidRPr="004E0B95">
        <w:rPr>
          <w:lang w:val="fr-CA"/>
        </w:rPr>
        <w:t xml:space="preserve"> </w:t>
      </w:r>
      <w:r w:rsidRPr="00AD3491">
        <w:rPr>
          <w:lang w:val="fr-CA"/>
        </w:rPr>
        <w:t xml:space="preserve">Le rendement global repose sur </w:t>
      </w:r>
      <w:r>
        <w:rPr>
          <w:lang w:val="fr-CA"/>
        </w:rPr>
        <w:t xml:space="preserve">deux principaux indicateurs: </w:t>
      </w:r>
      <w:r w:rsidRPr="00E536D8">
        <w:rPr>
          <w:lang w:val="fr-CA"/>
        </w:rPr>
        <w:t>% de demandes complété</w:t>
      </w:r>
      <w:r>
        <w:rPr>
          <w:lang w:val="fr-CA"/>
        </w:rPr>
        <w:t>es en 30 jours ou moins et</w:t>
      </w:r>
      <w:r w:rsidRPr="00E536D8">
        <w:rPr>
          <w:lang w:val="fr-CA"/>
        </w:rPr>
        <w:t xml:space="preserve"> % de demandes qui ont fait l’objet d’une divulgation complète.</w:t>
      </w:r>
    </w:p>
  </w:footnote>
  <w:footnote w:id="61">
    <w:p w:rsidR="00B25C51" w:rsidRPr="000F6029" w:rsidRDefault="00B25C51" w:rsidP="005476C3">
      <w:pPr>
        <w:pStyle w:val="FootnoteText"/>
        <w:rPr>
          <w:lang w:val="fr-CA"/>
        </w:rPr>
      </w:pPr>
      <w:r>
        <w:rPr>
          <w:rStyle w:val="FootnoteReference"/>
        </w:rPr>
        <w:footnoteRef/>
      </w:r>
      <w:r w:rsidRPr="000F6029">
        <w:rPr>
          <w:lang w:val="fr-CA"/>
        </w:rPr>
        <w:t xml:space="preserve"> </w:t>
      </w:r>
      <w:r>
        <w:rPr>
          <w:lang w:val="fr-FR"/>
        </w:rPr>
        <w:t>Le taux d’achèvement a été calculé en utilisant le nombre de demandes reçues durant cette période et le nombre de demandes transférées de la période précédente.</w:t>
      </w:r>
    </w:p>
  </w:footnote>
  <w:footnote w:id="62">
    <w:p w:rsidR="00B25C51" w:rsidRPr="004E0B95" w:rsidRDefault="00B25C51" w:rsidP="005476C3">
      <w:pPr>
        <w:pStyle w:val="FootnoteText"/>
        <w:contextualSpacing/>
        <w:rPr>
          <w:lang w:val="fr-CA"/>
        </w:rPr>
      </w:pPr>
      <w:r>
        <w:rPr>
          <w:rStyle w:val="FootnoteReference"/>
        </w:rPr>
        <w:footnoteRef/>
      </w:r>
      <w:r w:rsidRPr="004E0B95">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63">
    <w:p w:rsidR="00B25C51" w:rsidRPr="00CE355B" w:rsidRDefault="00B25C51" w:rsidP="005476C3">
      <w:pPr>
        <w:pStyle w:val="FootnoteText"/>
        <w:rPr>
          <w:lang w:val="fr-FR"/>
        </w:rPr>
      </w:pPr>
      <w:r>
        <w:rPr>
          <w:rStyle w:val="FootnoteReference"/>
        </w:rPr>
        <w:footnoteRef/>
      </w:r>
      <w:r w:rsidRPr="00CE355B">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64">
    <w:p w:rsidR="00B25C51" w:rsidRPr="0081151C" w:rsidRDefault="00B25C51" w:rsidP="005476C3">
      <w:pPr>
        <w:pStyle w:val="FootnoteText"/>
        <w:rPr>
          <w:lang w:val="fr-CA"/>
        </w:rPr>
      </w:pPr>
      <w:r>
        <w:rPr>
          <w:rStyle w:val="FootnoteReference"/>
        </w:rPr>
        <w:footnoteRef/>
      </w:r>
      <w:r w:rsidRPr="0081151C">
        <w:rPr>
          <w:lang w:val="fr-CA"/>
        </w:rPr>
        <w:t xml:space="preserve"> </w:t>
      </w:r>
      <w:r>
        <w:rPr>
          <w:lang w:val="fr-CA"/>
        </w:rPr>
        <w:t>TPSGC a changé de nom pour Services publics et Approvisionnement Canada</w:t>
      </w:r>
    </w:p>
  </w:footnote>
  <w:footnote w:id="65">
    <w:p w:rsidR="00B25C51" w:rsidRPr="0081151C" w:rsidRDefault="00B25C51" w:rsidP="005476C3">
      <w:pPr>
        <w:pStyle w:val="FootnoteText"/>
        <w:rPr>
          <w:lang w:val="fr-CA"/>
        </w:rPr>
      </w:pPr>
      <w:r>
        <w:rPr>
          <w:rStyle w:val="FootnoteReference"/>
        </w:rPr>
        <w:footnoteRef/>
      </w:r>
      <w:r w:rsidRPr="0081151C">
        <w:rPr>
          <w:lang w:val="fr-CA"/>
        </w:rPr>
        <w:t xml:space="preserve"> </w:t>
      </w:r>
      <w:r>
        <w:rPr>
          <w:lang w:val="fr-CA"/>
        </w:rPr>
        <w:t>Le rendement global repose sur deux principaux indicateurs :</w:t>
      </w:r>
      <w:r w:rsidRPr="00ED07DD">
        <w:rPr>
          <w:lang w:val="fr-CA"/>
        </w:rPr>
        <w:t xml:space="preserve"> </w:t>
      </w:r>
      <w:r>
        <w:rPr>
          <w:lang w:val="fr-CA"/>
        </w:rPr>
        <w:t>% de demandes complétées en 30 jours ou moins et % de demandes qui ont fait l’objet d’une divulgation complète.</w:t>
      </w:r>
    </w:p>
  </w:footnote>
  <w:footnote w:id="66">
    <w:p w:rsidR="00B25C51" w:rsidRPr="00ED07DD" w:rsidRDefault="00B25C51" w:rsidP="005476C3">
      <w:pPr>
        <w:pStyle w:val="FootnoteText"/>
        <w:rPr>
          <w:lang w:val="fr-FR"/>
        </w:rPr>
      </w:pPr>
      <w:r>
        <w:rPr>
          <w:rStyle w:val="FootnoteReference"/>
        </w:rPr>
        <w:footnoteRef/>
      </w:r>
      <w:r w:rsidRPr="00ED07DD">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67">
    <w:p w:rsidR="00B25C51" w:rsidRPr="0081151C" w:rsidRDefault="00B25C51" w:rsidP="005476C3">
      <w:pPr>
        <w:pStyle w:val="FootnoteText"/>
        <w:contextualSpacing/>
        <w:rPr>
          <w:lang w:val="fr-CA"/>
        </w:rPr>
      </w:pPr>
      <w:r>
        <w:rPr>
          <w:rStyle w:val="FootnoteReference"/>
        </w:rPr>
        <w:footnoteRef/>
      </w:r>
      <w:r w:rsidRPr="0081151C">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68">
    <w:p w:rsidR="00B25C51" w:rsidRPr="00994189" w:rsidRDefault="00B25C51" w:rsidP="005476C3">
      <w:pPr>
        <w:pStyle w:val="FootnoteText"/>
        <w:rPr>
          <w:lang w:val="fr-FR"/>
        </w:rPr>
      </w:pPr>
      <w:r>
        <w:rPr>
          <w:rStyle w:val="FootnoteReference"/>
        </w:rPr>
        <w:footnoteRef/>
      </w:r>
      <w:r w:rsidRPr="00994189">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69">
    <w:p w:rsidR="00B25C51" w:rsidRPr="00EF302A" w:rsidRDefault="00B25C51" w:rsidP="005476C3">
      <w:pPr>
        <w:pStyle w:val="FootnoteText"/>
        <w:rPr>
          <w:lang w:val="fr-CA"/>
        </w:rPr>
      </w:pPr>
      <w:r>
        <w:rPr>
          <w:rStyle w:val="FootnoteReference"/>
        </w:rPr>
        <w:footnoteRef/>
      </w:r>
      <w:r w:rsidRPr="00EF302A">
        <w:rPr>
          <w:lang w:val="fr-CA"/>
        </w:rPr>
        <w:t xml:space="preserve"> </w:t>
      </w:r>
      <w:r>
        <w:rPr>
          <w:lang w:val="fr-CA"/>
        </w:rPr>
        <w:t>Le rendement global repose sur deux principaux indicateurs :</w:t>
      </w:r>
      <w:r w:rsidRPr="00ED07DD">
        <w:rPr>
          <w:lang w:val="fr-CA"/>
        </w:rPr>
        <w:t xml:space="preserve"> </w:t>
      </w:r>
      <w:r>
        <w:rPr>
          <w:lang w:val="fr-CA"/>
        </w:rPr>
        <w:t>% de demandes complétées en 30 jours ou moins et % de demandes qui ont fait l’objet d’une divulgation complète.</w:t>
      </w:r>
    </w:p>
  </w:footnote>
  <w:footnote w:id="70">
    <w:p w:rsidR="00B25C51" w:rsidRPr="00A434B6" w:rsidRDefault="00B25C51" w:rsidP="005476C3">
      <w:pPr>
        <w:pStyle w:val="FootnoteText"/>
        <w:rPr>
          <w:lang w:val="fr-FR"/>
        </w:rPr>
      </w:pPr>
      <w:r>
        <w:rPr>
          <w:rStyle w:val="FootnoteReference"/>
        </w:rPr>
        <w:footnoteRef/>
      </w:r>
      <w:r w:rsidRPr="00A434B6">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71">
    <w:p w:rsidR="00B25C51" w:rsidRPr="00EF302A" w:rsidRDefault="00B25C51" w:rsidP="005476C3">
      <w:pPr>
        <w:pStyle w:val="FootnoteText"/>
        <w:contextualSpacing/>
        <w:rPr>
          <w:lang w:val="fr-CA"/>
        </w:rPr>
      </w:pPr>
      <w:r>
        <w:rPr>
          <w:rStyle w:val="FootnoteReference"/>
        </w:rPr>
        <w:footnoteRef/>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72">
    <w:p w:rsidR="00B25C51" w:rsidRPr="00AE37F4" w:rsidRDefault="00B25C51" w:rsidP="005476C3">
      <w:pPr>
        <w:pStyle w:val="FootnoteText"/>
        <w:rPr>
          <w:lang w:val="fr-FR"/>
        </w:rPr>
      </w:pPr>
      <w:r>
        <w:rPr>
          <w:rStyle w:val="FootnoteReference"/>
        </w:rPr>
        <w:footnoteRef/>
      </w:r>
      <w:r w:rsidRPr="00AE37F4">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73">
    <w:p w:rsidR="00B25C51" w:rsidRPr="00E36553" w:rsidRDefault="00B25C51" w:rsidP="005476C3">
      <w:pPr>
        <w:pStyle w:val="FootnoteText"/>
        <w:rPr>
          <w:lang w:val="fr-CA"/>
        </w:rPr>
      </w:pPr>
      <w:r>
        <w:rPr>
          <w:rStyle w:val="FootnoteReference"/>
        </w:rPr>
        <w:footnoteRef/>
      </w:r>
      <w:r w:rsidRPr="00E36553">
        <w:rPr>
          <w:lang w:val="fr-CA"/>
        </w:rPr>
        <w:t xml:space="preserve"> </w:t>
      </w:r>
      <w:r w:rsidRPr="009C2959">
        <w:rPr>
          <w:lang w:val="fr-CA"/>
        </w:rPr>
        <w:t xml:space="preserve">Le rendement global repose sur </w:t>
      </w:r>
      <w:r>
        <w:rPr>
          <w:lang w:val="fr-CA"/>
        </w:rPr>
        <w:t>deux principaux indicateurs :</w:t>
      </w:r>
      <w:r w:rsidRPr="00ED07DD">
        <w:rPr>
          <w:lang w:val="fr-CA"/>
        </w:rPr>
        <w:t xml:space="preserve"> </w:t>
      </w:r>
      <w:r>
        <w:rPr>
          <w:lang w:val="fr-CA"/>
        </w:rPr>
        <w:t>% de demandes complétées en 30 jours ou moins et % de demandes qui ont fait l’objet d’une divulgation complète.</w:t>
      </w:r>
    </w:p>
  </w:footnote>
  <w:footnote w:id="74">
    <w:p w:rsidR="00B25C51" w:rsidRPr="00D15C85" w:rsidRDefault="00B25C51" w:rsidP="005476C3">
      <w:pPr>
        <w:pStyle w:val="FootnoteText"/>
        <w:rPr>
          <w:lang w:val="fr-FR"/>
        </w:rPr>
      </w:pPr>
      <w:r>
        <w:rPr>
          <w:rStyle w:val="FootnoteReference"/>
        </w:rPr>
        <w:footnoteRef/>
      </w:r>
      <w:r w:rsidRPr="00D15C85">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75">
    <w:p w:rsidR="00B25C51" w:rsidRPr="00E36553" w:rsidRDefault="00B25C51" w:rsidP="005476C3">
      <w:pPr>
        <w:pStyle w:val="FootnoteText"/>
        <w:contextualSpacing/>
        <w:rPr>
          <w:lang w:val="fr-CA"/>
        </w:rPr>
      </w:pPr>
      <w:r>
        <w:rPr>
          <w:rStyle w:val="FootnoteReference"/>
        </w:rPr>
        <w:footnoteRef/>
      </w:r>
      <w:r w:rsidRPr="00E36553">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76">
    <w:p w:rsidR="00B25C51" w:rsidRPr="00827DBD" w:rsidRDefault="00B25C51" w:rsidP="005476C3">
      <w:pPr>
        <w:pStyle w:val="FootnoteText"/>
        <w:rPr>
          <w:lang w:val="fr-FR"/>
        </w:rPr>
      </w:pPr>
      <w:r>
        <w:rPr>
          <w:rStyle w:val="FootnoteReference"/>
        </w:rPr>
        <w:footnoteRef/>
      </w:r>
      <w:r w:rsidRPr="00827DBD">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77">
    <w:p w:rsidR="00B25C51" w:rsidRPr="003B2872" w:rsidRDefault="00B25C51" w:rsidP="00BA2BE8">
      <w:pPr>
        <w:pStyle w:val="FootnoteText"/>
        <w:rPr>
          <w:lang w:val="fr-CA"/>
        </w:rPr>
      </w:pPr>
      <w:r>
        <w:rPr>
          <w:rStyle w:val="FootnoteReference"/>
        </w:rPr>
        <w:footnoteRef/>
      </w:r>
      <w:r w:rsidRPr="003B2872">
        <w:rPr>
          <w:lang w:val="fr-CA"/>
        </w:rPr>
        <w:t xml:space="preserve"> </w:t>
      </w:r>
      <w:r>
        <w:rPr>
          <w:lang w:val="fr-CA"/>
        </w:rPr>
        <w:t>Le rendement global repose sur deux principaux indicateurs :</w:t>
      </w:r>
      <w:r w:rsidRPr="00ED07DD">
        <w:rPr>
          <w:lang w:val="fr-CA"/>
        </w:rPr>
        <w:t xml:space="preserve"> </w:t>
      </w:r>
      <w:r>
        <w:rPr>
          <w:lang w:val="fr-CA"/>
        </w:rPr>
        <w:t>% de demandes complétées en 30 jours ou moins et % de demandes qui ont fait l’objet d’une divulgation complète.</w:t>
      </w:r>
    </w:p>
  </w:footnote>
  <w:footnote w:id="78">
    <w:p w:rsidR="00B25C51" w:rsidRPr="00613566" w:rsidRDefault="00B25C51" w:rsidP="00BA2BE8">
      <w:pPr>
        <w:pStyle w:val="FootnoteText"/>
        <w:rPr>
          <w:lang w:val="fr-FR"/>
        </w:rPr>
      </w:pPr>
      <w:r>
        <w:rPr>
          <w:rStyle w:val="FootnoteReference"/>
        </w:rPr>
        <w:footnoteRef/>
      </w:r>
      <w:r w:rsidRPr="00613566">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79">
    <w:p w:rsidR="00B25C51" w:rsidRPr="003B2872" w:rsidRDefault="00B25C51" w:rsidP="00BA2BE8">
      <w:pPr>
        <w:pStyle w:val="FootnoteText"/>
        <w:contextualSpacing/>
        <w:rPr>
          <w:lang w:val="fr-CA"/>
        </w:rPr>
      </w:pPr>
      <w:r>
        <w:rPr>
          <w:rStyle w:val="FootnoteReference"/>
        </w:rPr>
        <w:footnoteRef/>
      </w:r>
      <w:r>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80">
    <w:p w:rsidR="00B25C51" w:rsidRPr="00BF6CED" w:rsidRDefault="00B25C51" w:rsidP="00BA2BE8">
      <w:pPr>
        <w:pStyle w:val="FootnoteText"/>
        <w:rPr>
          <w:lang w:val="fr-FR"/>
        </w:rPr>
      </w:pPr>
      <w:r>
        <w:rPr>
          <w:rStyle w:val="FootnoteReference"/>
        </w:rPr>
        <w:footnoteRef/>
      </w:r>
      <w:r w:rsidRPr="00BF6CED">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81">
    <w:p w:rsidR="00B25C51" w:rsidRPr="003638E3" w:rsidRDefault="00B25C51" w:rsidP="006B6495">
      <w:pPr>
        <w:pStyle w:val="FootnoteText"/>
        <w:rPr>
          <w:lang w:val="fr-CA"/>
        </w:rPr>
      </w:pPr>
      <w:r>
        <w:rPr>
          <w:rStyle w:val="FootnoteReference"/>
        </w:rPr>
        <w:footnoteRef/>
      </w:r>
      <w:r w:rsidRPr="003638E3">
        <w:rPr>
          <w:lang w:val="fr-CA"/>
        </w:rPr>
        <w:t xml:space="preserve"> </w:t>
      </w:r>
      <w:r w:rsidRPr="009C2959">
        <w:rPr>
          <w:lang w:val="fr-CA"/>
        </w:rPr>
        <w:t xml:space="preserve">Le rendement global repose sur </w:t>
      </w:r>
      <w:r>
        <w:rPr>
          <w:lang w:val="fr-CA"/>
        </w:rPr>
        <w:t>deux principaux indicateurs :</w:t>
      </w:r>
      <w:r w:rsidRPr="00ED07DD">
        <w:rPr>
          <w:lang w:val="fr-CA"/>
        </w:rPr>
        <w:t xml:space="preserve"> </w:t>
      </w:r>
      <w:r>
        <w:rPr>
          <w:lang w:val="fr-CA"/>
        </w:rPr>
        <w:t>% de demandes complétées en 30 jours ou moins et % de demandes qui ont fait l’objet d’une divulgation complète.</w:t>
      </w:r>
    </w:p>
  </w:footnote>
  <w:footnote w:id="82">
    <w:p w:rsidR="00B25C51" w:rsidRPr="00537D3B" w:rsidRDefault="00B25C51" w:rsidP="006B6495">
      <w:pPr>
        <w:pStyle w:val="FootnoteText"/>
        <w:rPr>
          <w:lang w:val="fr-FR"/>
        </w:rPr>
      </w:pPr>
      <w:r>
        <w:rPr>
          <w:rStyle w:val="FootnoteReference"/>
        </w:rPr>
        <w:footnoteRef/>
      </w:r>
      <w:r w:rsidRPr="00537D3B">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83">
    <w:p w:rsidR="00B25C51" w:rsidRPr="003638E3" w:rsidRDefault="00B25C51" w:rsidP="006B6495">
      <w:pPr>
        <w:pStyle w:val="FootnoteText"/>
        <w:contextualSpacing/>
        <w:rPr>
          <w:lang w:val="fr-CA"/>
        </w:rPr>
      </w:pPr>
      <w:r>
        <w:rPr>
          <w:rStyle w:val="FootnoteReference"/>
        </w:rPr>
        <w:footnoteRef/>
      </w:r>
      <w:r w:rsidRPr="003638E3">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84">
    <w:p w:rsidR="00B25C51" w:rsidRPr="00674C37" w:rsidRDefault="00B25C51" w:rsidP="006B6495">
      <w:pPr>
        <w:pStyle w:val="FootnoteText"/>
        <w:rPr>
          <w:lang w:val="fr-FR"/>
        </w:rPr>
      </w:pPr>
      <w:r>
        <w:rPr>
          <w:rStyle w:val="FootnoteReference"/>
        </w:rPr>
        <w:footnoteRef/>
      </w:r>
      <w:r w:rsidRPr="00674C37">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85">
    <w:p w:rsidR="00B25C51" w:rsidRPr="004548BA" w:rsidRDefault="00B25C51" w:rsidP="006B6495">
      <w:pPr>
        <w:pStyle w:val="FootnoteText"/>
        <w:rPr>
          <w:lang w:val="fr-CA"/>
        </w:rPr>
      </w:pPr>
      <w:r>
        <w:rPr>
          <w:rStyle w:val="FootnoteReference"/>
        </w:rPr>
        <w:footnoteRef/>
      </w:r>
      <w:r w:rsidRPr="004548BA">
        <w:rPr>
          <w:lang w:val="fr-CA"/>
        </w:rPr>
        <w:t xml:space="preserve"> </w:t>
      </w:r>
      <w:r>
        <w:rPr>
          <w:lang w:val="fr-CA"/>
        </w:rPr>
        <w:t>Le rendement global repose sur deux principaux indicateurs :</w:t>
      </w:r>
      <w:r w:rsidRPr="00ED07DD">
        <w:rPr>
          <w:lang w:val="fr-CA"/>
        </w:rPr>
        <w:t xml:space="preserve"> </w:t>
      </w:r>
      <w:r>
        <w:rPr>
          <w:lang w:val="fr-CA"/>
        </w:rPr>
        <w:t>% de demandes complétées en 30 jours ou moins et % de demandes qui ont fait l’objet d’une divulgation complète.</w:t>
      </w:r>
    </w:p>
  </w:footnote>
  <w:footnote w:id="86">
    <w:p w:rsidR="00B25C51" w:rsidRPr="00366DAD" w:rsidRDefault="00B25C51" w:rsidP="006B6495">
      <w:pPr>
        <w:pStyle w:val="FootnoteText"/>
        <w:rPr>
          <w:lang w:val="fr-FR"/>
        </w:rPr>
      </w:pPr>
      <w:r>
        <w:rPr>
          <w:rStyle w:val="FootnoteReference"/>
        </w:rPr>
        <w:footnoteRef/>
      </w:r>
      <w:r w:rsidRPr="00366DAD">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87">
    <w:p w:rsidR="00B25C51" w:rsidRPr="004548BA" w:rsidRDefault="00B25C51" w:rsidP="006B6495">
      <w:pPr>
        <w:pStyle w:val="FootnoteText"/>
        <w:contextualSpacing/>
        <w:rPr>
          <w:lang w:val="fr-CA"/>
        </w:rPr>
      </w:pPr>
      <w:r>
        <w:rPr>
          <w:rStyle w:val="FootnoteReference"/>
        </w:rPr>
        <w:footnoteRef/>
      </w:r>
      <w:r>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88">
    <w:p w:rsidR="00B25C51" w:rsidRPr="00527604" w:rsidRDefault="00B25C51" w:rsidP="006B6495">
      <w:pPr>
        <w:pStyle w:val="FootnoteText"/>
        <w:rPr>
          <w:lang w:val="fr-FR"/>
        </w:rPr>
      </w:pPr>
      <w:r>
        <w:rPr>
          <w:rStyle w:val="FootnoteReference"/>
        </w:rPr>
        <w:footnoteRef/>
      </w:r>
      <w:r w:rsidRPr="00527604">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89">
    <w:p w:rsidR="00B25C51" w:rsidRPr="00633384" w:rsidRDefault="00B25C51" w:rsidP="006B6495">
      <w:pPr>
        <w:pStyle w:val="FootnoteText"/>
        <w:rPr>
          <w:lang w:val="fr-CA"/>
        </w:rPr>
      </w:pPr>
      <w:r>
        <w:rPr>
          <w:rStyle w:val="FootnoteReference"/>
        </w:rPr>
        <w:footnoteRef/>
      </w:r>
      <w:r w:rsidRPr="00633384">
        <w:rPr>
          <w:lang w:val="fr-CA"/>
        </w:rPr>
        <w:t xml:space="preserve"> </w:t>
      </w:r>
      <w:r w:rsidRPr="009C2959">
        <w:rPr>
          <w:lang w:val="fr-CA"/>
        </w:rPr>
        <w:t xml:space="preserve">Le rendement global repose sur </w:t>
      </w:r>
      <w:r>
        <w:rPr>
          <w:lang w:val="fr-CA"/>
        </w:rPr>
        <w:t>deux principaux indicateurs :</w:t>
      </w:r>
      <w:r w:rsidRPr="00ED07DD">
        <w:rPr>
          <w:lang w:val="fr-CA"/>
        </w:rPr>
        <w:t xml:space="preserve"> </w:t>
      </w:r>
      <w:r>
        <w:rPr>
          <w:lang w:val="fr-CA"/>
        </w:rPr>
        <w:t>% de demandes complétées en 30 jours ou moins et % de demandes qui ont fait l’objet d’une divulgation complète.</w:t>
      </w:r>
    </w:p>
  </w:footnote>
  <w:footnote w:id="90">
    <w:p w:rsidR="00B25C51" w:rsidRPr="00A33E86" w:rsidRDefault="00B25C51" w:rsidP="006B6495">
      <w:pPr>
        <w:pStyle w:val="FootnoteText"/>
        <w:rPr>
          <w:lang w:val="fr-FR"/>
        </w:rPr>
      </w:pPr>
      <w:r>
        <w:rPr>
          <w:rStyle w:val="FootnoteReference"/>
        </w:rPr>
        <w:footnoteRef/>
      </w:r>
      <w:r w:rsidRPr="00A33E86">
        <w:rPr>
          <w:lang w:val="fr-FR"/>
        </w:rPr>
        <w:t xml:space="preserve"> </w:t>
      </w:r>
      <w:r>
        <w:rPr>
          <w:lang w:val="fr-FR"/>
        </w:rPr>
        <w:t>Le taux d’achèvement a été calculé en utilisant le nombre de demandes reçues durant cette période et le nombre de demandes transférées de la période précédente.</w:t>
      </w:r>
    </w:p>
  </w:footnote>
  <w:footnote w:id="91">
    <w:p w:rsidR="00B25C51" w:rsidRPr="00633384" w:rsidRDefault="00B25C51" w:rsidP="006B6495">
      <w:pPr>
        <w:pStyle w:val="FootnoteText"/>
        <w:contextualSpacing/>
        <w:rPr>
          <w:lang w:val="fr-CA"/>
        </w:rPr>
      </w:pPr>
      <w:r>
        <w:rPr>
          <w:rStyle w:val="FootnoteReference"/>
        </w:rPr>
        <w:footnoteRef/>
      </w:r>
      <w:r w:rsidRPr="00633384">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92">
    <w:p w:rsidR="00B25C51" w:rsidRPr="00136D93" w:rsidRDefault="00B25C51" w:rsidP="006B6495">
      <w:pPr>
        <w:pStyle w:val="FootnoteText"/>
        <w:rPr>
          <w:lang w:val="fr-FR"/>
        </w:rPr>
      </w:pPr>
      <w:r>
        <w:rPr>
          <w:rStyle w:val="FootnoteReference"/>
        </w:rPr>
        <w:footnoteRef/>
      </w:r>
      <w:r w:rsidRPr="00136D93">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93">
    <w:p w:rsidR="00B25C51" w:rsidRPr="002405BA" w:rsidRDefault="00B25C51" w:rsidP="006B6495">
      <w:pPr>
        <w:pStyle w:val="FootnoteText"/>
        <w:rPr>
          <w:lang w:val="fr-CA"/>
        </w:rPr>
      </w:pPr>
      <w:r>
        <w:rPr>
          <w:rStyle w:val="FootnoteReference"/>
        </w:rPr>
        <w:footnoteRef/>
      </w:r>
      <w:r w:rsidRPr="00D3622B">
        <w:rPr>
          <w:lang w:val="fr-CA"/>
        </w:rPr>
        <w:t xml:space="preserve"> </w:t>
      </w:r>
      <w:r w:rsidRPr="0036098B">
        <w:rPr>
          <w:lang w:val="fr-CA"/>
        </w:rPr>
        <w:t xml:space="preserve">Le rendement global repose sur </w:t>
      </w:r>
      <w:r>
        <w:rPr>
          <w:lang w:val="fr-CA"/>
        </w:rPr>
        <w:t xml:space="preserve">deux principaux indicateurs : </w:t>
      </w:r>
      <w:r w:rsidRPr="00371449">
        <w:rPr>
          <w:lang w:val="fr-CA"/>
        </w:rPr>
        <w:t>% de demandes complété</w:t>
      </w:r>
      <w:r>
        <w:rPr>
          <w:lang w:val="fr-CA"/>
        </w:rPr>
        <w:t xml:space="preserve">es en 30 jours ou moins et </w:t>
      </w:r>
      <w:r w:rsidRPr="00371449">
        <w:rPr>
          <w:lang w:val="fr-CA"/>
        </w:rPr>
        <w:t>% de demandes qui ont fait l’objet d’une divulgation complète.</w:t>
      </w:r>
    </w:p>
  </w:footnote>
  <w:footnote w:id="94">
    <w:p w:rsidR="00B25C51" w:rsidRPr="00147A3D" w:rsidRDefault="00B25C51" w:rsidP="006B6495">
      <w:pPr>
        <w:pStyle w:val="FootnoteText"/>
        <w:rPr>
          <w:lang w:val="fr-CA"/>
        </w:rPr>
      </w:pPr>
      <w:r>
        <w:rPr>
          <w:rStyle w:val="FootnoteReference"/>
        </w:rPr>
        <w:footnoteRef/>
      </w:r>
      <w:r w:rsidRPr="00147A3D">
        <w:rPr>
          <w:lang w:val="fr-CA"/>
        </w:rPr>
        <w:t xml:space="preserve"> </w:t>
      </w:r>
      <w:r>
        <w:rPr>
          <w:lang w:val="fr-FR"/>
        </w:rPr>
        <w:t>Le taux d’achèvement a été calculé en utilisant le nombre de demandes reçues durant cette période et le nombre de demandes transférées de la période précédente.</w:t>
      </w:r>
    </w:p>
  </w:footnote>
  <w:footnote w:id="95">
    <w:p w:rsidR="00B25C51" w:rsidRPr="00864C38" w:rsidRDefault="00B25C51" w:rsidP="006B6495">
      <w:pPr>
        <w:pStyle w:val="FootnoteText"/>
        <w:rPr>
          <w:lang w:val="fr-FR"/>
        </w:rPr>
      </w:pPr>
      <w:r>
        <w:rPr>
          <w:rStyle w:val="FootnoteReference"/>
        </w:rPr>
        <w:footnoteRef/>
      </w:r>
      <w:r w:rsidRPr="00864C38">
        <w:rPr>
          <w:lang w:val="fr-FR"/>
        </w:rPr>
        <w:t xml:space="preserve"> </w:t>
      </w:r>
      <w:r>
        <w:rPr>
          <w:lang w:val="fr-CA"/>
        </w:rPr>
        <w:t xml:space="preserve">L’indicateur </w:t>
      </w:r>
      <w:r w:rsidRPr="00AD3491">
        <w:rPr>
          <w:lang w:val="fr-CA"/>
        </w:rPr>
        <w:t>«</w:t>
      </w:r>
      <w:r>
        <w:rPr>
          <w:lang w:val="fr-CA"/>
        </w:rPr>
        <w:t xml:space="preserve"> </w:t>
      </w:r>
      <w:r w:rsidRPr="00AC446C">
        <w:rPr>
          <w:lang w:val="fr-CA"/>
        </w:rPr>
        <w:t>Retards des demandes échues</w:t>
      </w:r>
      <w:r>
        <w:rPr>
          <w:lang w:val="fr-CA"/>
        </w:rPr>
        <w:t xml:space="preserve"> </w:t>
      </w:r>
      <w:r w:rsidRPr="00AD3491">
        <w:rPr>
          <w:lang w:val="fr-CA"/>
        </w:rPr>
        <w:t>»</w:t>
      </w:r>
      <w:r>
        <w:rPr>
          <w:lang w:val="fr-CA"/>
        </w:rPr>
        <w:t xml:space="preserve"> </w:t>
      </w:r>
      <w:r w:rsidRPr="00AC446C">
        <w:rPr>
          <w:lang w:val="fr-CA"/>
        </w:rPr>
        <w:t xml:space="preserve">ne s’applique </w:t>
      </w:r>
      <w:r>
        <w:rPr>
          <w:lang w:val="fr-CA"/>
        </w:rPr>
        <w:t xml:space="preserve">pas aux institutions qui ont 15 demandes </w:t>
      </w:r>
      <w:r w:rsidRPr="00E06034">
        <w:rPr>
          <w:lang w:val="fr-FR"/>
        </w:rPr>
        <w:t>é</w:t>
      </w:r>
      <w:r>
        <w:rPr>
          <w:lang w:val="fr-CA"/>
        </w:rPr>
        <w:t>chues et moins.</w:t>
      </w:r>
    </w:p>
  </w:footnote>
  <w:footnote w:id="96">
    <w:p w:rsidR="00B25C51" w:rsidRPr="0028746A" w:rsidRDefault="00B25C51" w:rsidP="006B6495">
      <w:pPr>
        <w:pStyle w:val="FootnoteText"/>
        <w:contextualSpacing/>
        <w:rPr>
          <w:lang w:val="fr-CA"/>
        </w:rPr>
      </w:pPr>
      <w:r>
        <w:rPr>
          <w:rStyle w:val="FootnoteReference"/>
        </w:rPr>
        <w:footnoteRef/>
      </w:r>
      <w:r w:rsidRPr="0028746A">
        <w:rPr>
          <w:lang w:val="fr-CA"/>
        </w:rPr>
        <w:t xml:space="preserve"> Le système de </w:t>
      </w:r>
      <w:r>
        <w:rPr>
          <w:lang w:val="fr-CA"/>
        </w:rPr>
        <w:t xml:space="preserve">notes de la fiche de rendement du Commissariat </w:t>
      </w:r>
      <w:r w:rsidRPr="0028746A">
        <w:rPr>
          <w:lang w:val="fr-CA"/>
        </w:rPr>
        <w:t>pour 2007</w:t>
      </w:r>
      <w:r w:rsidRPr="0028746A">
        <w:rPr>
          <w:lang w:val="fr-CA"/>
        </w:rPr>
        <w:noBreakHyphen/>
      </w:r>
      <w:r>
        <w:rPr>
          <w:lang w:val="fr-CA"/>
        </w:rPr>
        <w:t>2008 a été utilisé pour déterminer les notes</w:t>
      </w:r>
      <w:r w:rsidRPr="0028746A">
        <w:rPr>
          <w:lang w:val="fr-CA"/>
        </w:rPr>
        <w:t xml:space="preserve"> : A= 0 </w:t>
      </w:r>
      <w:r>
        <w:rPr>
          <w:lang w:val="fr-CA"/>
        </w:rPr>
        <w:t>à 5 </w:t>
      </w:r>
      <w:r w:rsidRPr="0028746A">
        <w:rPr>
          <w:lang w:val="fr-CA"/>
        </w:rPr>
        <w:t xml:space="preserve">%; B= 5 </w:t>
      </w:r>
      <w:r>
        <w:rPr>
          <w:lang w:val="fr-CA"/>
        </w:rPr>
        <w:t>à 10 </w:t>
      </w:r>
      <w:r w:rsidRPr="0028746A">
        <w:rPr>
          <w:lang w:val="fr-CA"/>
        </w:rPr>
        <w:t xml:space="preserve">%; C=10 </w:t>
      </w:r>
      <w:r>
        <w:rPr>
          <w:lang w:val="fr-CA"/>
        </w:rPr>
        <w:t>à 15 </w:t>
      </w:r>
      <w:r w:rsidRPr="0028746A">
        <w:rPr>
          <w:lang w:val="fr-CA"/>
        </w:rPr>
        <w:t xml:space="preserve">%, D= 15 </w:t>
      </w:r>
      <w:r>
        <w:rPr>
          <w:lang w:val="fr-CA"/>
        </w:rPr>
        <w:t>à 20 </w:t>
      </w:r>
      <w:r w:rsidRPr="0028746A">
        <w:rPr>
          <w:lang w:val="fr-CA"/>
        </w:rPr>
        <w:t>%, F=20</w:t>
      </w:r>
      <w:r>
        <w:rPr>
          <w:lang w:val="fr-CA"/>
        </w:rPr>
        <w:t> </w:t>
      </w:r>
      <w:r w:rsidRPr="0028746A">
        <w:rPr>
          <w:lang w:val="fr-CA"/>
        </w:rPr>
        <w:t xml:space="preserve">% </w:t>
      </w:r>
      <w:r>
        <w:rPr>
          <w:lang w:val="fr-CA"/>
        </w:rPr>
        <w:t>et plus</w:t>
      </w:r>
      <w:r w:rsidRPr="0028746A">
        <w:rPr>
          <w:lang w:val="fr-CA"/>
        </w:rPr>
        <w:t>.</w:t>
      </w:r>
    </w:p>
  </w:footnote>
  <w:footnote w:id="97">
    <w:p w:rsidR="00B25C51" w:rsidRPr="005A700D" w:rsidRDefault="00B25C51" w:rsidP="006B6495">
      <w:pPr>
        <w:pStyle w:val="FootnoteText"/>
        <w:rPr>
          <w:lang w:val="fr-FR"/>
        </w:rPr>
      </w:pPr>
      <w:r>
        <w:rPr>
          <w:rStyle w:val="FootnoteReference"/>
        </w:rPr>
        <w:footnoteRef/>
      </w:r>
      <w:r w:rsidRPr="005A700D">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98">
    <w:p w:rsidR="00B25C51" w:rsidRPr="0007354D" w:rsidRDefault="00B25C51" w:rsidP="006B6495">
      <w:pPr>
        <w:pStyle w:val="FootnoteText"/>
        <w:rPr>
          <w:lang w:val="fr-CA"/>
        </w:rPr>
      </w:pPr>
      <w:r>
        <w:rPr>
          <w:rStyle w:val="FootnoteReference"/>
        </w:rPr>
        <w:footnoteRef/>
      </w:r>
      <w:r w:rsidRPr="0007354D">
        <w:rPr>
          <w:lang w:val="fr-CA"/>
        </w:rPr>
        <w:t xml:space="preserve"> </w:t>
      </w:r>
      <w:r w:rsidRPr="0036098B">
        <w:rPr>
          <w:lang w:val="fr-CA"/>
        </w:rPr>
        <w:t xml:space="preserve">Le rendement global repose sur </w:t>
      </w:r>
      <w:r>
        <w:rPr>
          <w:lang w:val="fr-CA"/>
        </w:rPr>
        <w:t xml:space="preserve">deux principaux indicateurs : </w:t>
      </w:r>
      <w:r w:rsidRPr="00371449">
        <w:rPr>
          <w:lang w:val="fr-CA"/>
        </w:rPr>
        <w:t>% de demandes complété</w:t>
      </w:r>
      <w:r>
        <w:rPr>
          <w:lang w:val="fr-CA"/>
        </w:rPr>
        <w:t xml:space="preserve">es en 30 jours ou moins et </w:t>
      </w:r>
      <w:r w:rsidRPr="00371449">
        <w:rPr>
          <w:lang w:val="fr-CA"/>
        </w:rPr>
        <w:t>% de demandes qui ont fait l’objet d’une divulgation complète.</w:t>
      </w:r>
    </w:p>
  </w:footnote>
  <w:footnote w:id="99">
    <w:p w:rsidR="00B25C51" w:rsidRPr="00CE2FEB" w:rsidRDefault="00B25C51" w:rsidP="006B6495">
      <w:pPr>
        <w:pStyle w:val="FootnoteText"/>
        <w:rPr>
          <w:lang w:val="fr-CA"/>
        </w:rPr>
      </w:pPr>
      <w:r>
        <w:rPr>
          <w:rStyle w:val="FootnoteReference"/>
        </w:rPr>
        <w:footnoteRef/>
      </w:r>
      <w:r w:rsidRPr="00CE2FEB">
        <w:rPr>
          <w:lang w:val="fr-CA"/>
        </w:rPr>
        <w:t xml:space="preserve"> </w:t>
      </w:r>
      <w:r>
        <w:rPr>
          <w:lang w:val="fr-FR"/>
        </w:rPr>
        <w:t>Le taux d’achèvement a été calculé en utilisant le nombre de demandes reçues durant cette période et le nombre de demandes transférées de la période précédente.</w:t>
      </w:r>
    </w:p>
  </w:footnote>
  <w:footnote w:id="100">
    <w:p w:rsidR="00B25C51" w:rsidRPr="0018692D" w:rsidRDefault="00B25C51" w:rsidP="006B6495">
      <w:pPr>
        <w:pStyle w:val="FootnoteText"/>
        <w:rPr>
          <w:lang w:val="fr-CA"/>
        </w:rPr>
      </w:pPr>
      <w:r>
        <w:rPr>
          <w:rStyle w:val="FootnoteReference"/>
        </w:rPr>
        <w:footnoteRef/>
      </w:r>
      <w:r w:rsidRPr="0018692D">
        <w:rPr>
          <w:lang w:val="fr-CA"/>
        </w:rPr>
        <w:t xml:space="preserve"> Dans son rapport sur la </w:t>
      </w:r>
      <w:r w:rsidRPr="0018692D">
        <w:rPr>
          <w:i/>
          <w:lang w:val="fr-CA"/>
        </w:rPr>
        <w:t>Loi sur l’accès à l’information</w:t>
      </w:r>
      <w:r>
        <w:rPr>
          <w:lang w:val="fr-CA"/>
        </w:rPr>
        <w:t>, la SCP a indiqué avoir répondu à 19 demandes informelles. Les données statistiques fournies dans Info Source indiquent plutôt 14 demandes.</w:t>
      </w:r>
    </w:p>
  </w:footnote>
  <w:footnote w:id="101">
    <w:p w:rsidR="00B25C51" w:rsidRPr="000326CB" w:rsidRDefault="00B25C51" w:rsidP="006B6495">
      <w:pPr>
        <w:pStyle w:val="FootnoteText"/>
        <w:rPr>
          <w:lang w:val="fr-FR"/>
        </w:rPr>
      </w:pPr>
      <w:r>
        <w:rPr>
          <w:rStyle w:val="FootnoteReference"/>
        </w:rPr>
        <w:footnoteRef/>
      </w:r>
      <w:r w:rsidRPr="000326CB">
        <w:rPr>
          <w:lang w:val="fr-FR"/>
        </w:rPr>
        <w:t xml:space="preserve"> </w:t>
      </w:r>
      <w:r>
        <w:rPr>
          <w:lang w:val="fr-CA"/>
        </w:rPr>
        <w:t xml:space="preserve">L’indicateur </w:t>
      </w:r>
      <w:r w:rsidRPr="00AD3491">
        <w:rPr>
          <w:lang w:val="fr-CA"/>
        </w:rPr>
        <w:t>«</w:t>
      </w:r>
      <w:r>
        <w:rPr>
          <w:lang w:val="fr-CA"/>
        </w:rPr>
        <w:t xml:space="preserve"> </w:t>
      </w:r>
      <w:r w:rsidRPr="00AC446C">
        <w:rPr>
          <w:lang w:val="fr-CA"/>
        </w:rPr>
        <w:t>Retards des demandes échues</w:t>
      </w:r>
      <w:r>
        <w:rPr>
          <w:lang w:val="fr-CA"/>
        </w:rPr>
        <w:t xml:space="preserve"> </w:t>
      </w:r>
      <w:r w:rsidRPr="00AD3491">
        <w:rPr>
          <w:lang w:val="fr-CA"/>
        </w:rPr>
        <w:t>»</w:t>
      </w:r>
      <w:r>
        <w:rPr>
          <w:lang w:val="fr-CA"/>
        </w:rPr>
        <w:t xml:space="preserve"> </w:t>
      </w:r>
      <w:r w:rsidRPr="00AC446C">
        <w:rPr>
          <w:lang w:val="fr-CA"/>
        </w:rPr>
        <w:t xml:space="preserve">ne s’applique </w:t>
      </w:r>
      <w:r>
        <w:rPr>
          <w:lang w:val="fr-CA"/>
        </w:rPr>
        <w:t xml:space="preserve">pas aux institutions qui ont 15 demandes </w:t>
      </w:r>
      <w:r w:rsidRPr="00E06034">
        <w:rPr>
          <w:lang w:val="fr-FR"/>
        </w:rPr>
        <w:t>é</w:t>
      </w:r>
      <w:r>
        <w:rPr>
          <w:lang w:val="fr-CA"/>
        </w:rPr>
        <w:t>chues et moins.</w:t>
      </w:r>
    </w:p>
  </w:footnote>
  <w:footnote w:id="102">
    <w:p w:rsidR="00B25C51" w:rsidRPr="0007354D" w:rsidRDefault="00B25C51" w:rsidP="006B6495">
      <w:pPr>
        <w:pStyle w:val="FootnoteText"/>
        <w:contextualSpacing/>
        <w:rPr>
          <w:lang w:val="fr-CA"/>
        </w:rPr>
      </w:pPr>
      <w:r>
        <w:rPr>
          <w:rStyle w:val="FootnoteReference"/>
        </w:rPr>
        <w:footnoteRef/>
      </w:r>
      <w:r w:rsidRPr="0007354D">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103">
    <w:p w:rsidR="00B25C51" w:rsidRPr="00FE738F" w:rsidRDefault="00B25C51" w:rsidP="006B6495">
      <w:pPr>
        <w:pStyle w:val="FootnoteText"/>
        <w:rPr>
          <w:lang w:val="fr-FR"/>
        </w:rPr>
      </w:pPr>
      <w:r>
        <w:rPr>
          <w:rStyle w:val="FootnoteReference"/>
        </w:rPr>
        <w:footnoteRef/>
      </w:r>
      <w:r w:rsidRPr="00FE738F">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104">
    <w:p w:rsidR="00B25C51" w:rsidRPr="009E6E6D" w:rsidRDefault="00B25C51" w:rsidP="006B6495">
      <w:pPr>
        <w:pStyle w:val="FootnoteText"/>
        <w:rPr>
          <w:lang w:val="fr-CA"/>
        </w:rPr>
      </w:pPr>
      <w:r>
        <w:rPr>
          <w:rStyle w:val="FootnoteReference"/>
        </w:rPr>
        <w:footnoteRef/>
      </w:r>
      <w:r w:rsidRPr="009E6E6D">
        <w:rPr>
          <w:lang w:val="fr-CA"/>
        </w:rPr>
        <w:t xml:space="preserve"> </w:t>
      </w:r>
      <w:r w:rsidRPr="0036098B">
        <w:rPr>
          <w:lang w:val="fr-CA"/>
        </w:rPr>
        <w:t xml:space="preserve">Le rendement global repose sur </w:t>
      </w:r>
      <w:r>
        <w:rPr>
          <w:lang w:val="fr-CA"/>
        </w:rPr>
        <w:t xml:space="preserve">deux principaux indicateurs : </w:t>
      </w:r>
      <w:r w:rsidRPr="00371449">
        <w:rPr>
          <w:lang w:val="fr-CA"/>
        </w:rPr>
        <w:t>% de demandes complété</w:t>
      </w:r>
      <w:r>
        <w:rPr>
          <w:lang w:val="fr-CA"/>
        </w:rPr>
        <w:t xml:space="preserve">es en 30 jours ou moins et </w:t>
      </w:r>
      <w:r w:rsidRPr="00371449">
        <w:rPr>
          <w:lang w:val="fr-CA"/>
        </w:rPr>
        <w:t>% de demandes qui ont fait l’objet d’une divulgation complète.</w:t>
      </w:r>
    </w:p>
  </w:footnote>
  <w:footnote w:id="105">
    <w:p w:rsidR="00B25C51" w:rsidRPr="00D04773" w:rsidRDefault="00B25C51" w:rsidP="006B6495">
      <w:pPr>
        <w:pStyle w:val="NoSpacing"/>
        <w:rPr>
          <w:lang w:val="fr-CA"/>
        </w:rPr>
      </w:pPr>
      <w:r w:rsidRPr="00D04773">
        <w:rPr>
          <w:rStyle w:val="FootnoteReference"/>
        </w:rPr>
        <w:footnoteRef/>
      </w:r>
      <w:r w:rsidRPr="00800AE1">
        <w:rPr>
          <w:lang w:val="fr-FR"/>
        </w:rPr>
        <w:t xml:space="preserve"> </w:t>
      </w:r>
      <w:r w:rsidRPr="009567D8">
        <w:rPr>
          <w:sz w:val="20"/>
          <w:szCs w:val="20"/>
          <w:lang w:val="fr-FR"/>
        </w:rPr>
        <w:t xml:space="preserve">En 2014,2015, le SCT a ajouté un tableau séparé pour les demandes informelles dans le rapport statistique. </w:t>
      </w:r>
      <w:r w:rsidRPr="009567D8">
        <w:rPr>
          <w:sz w:val="20"/>
          <w:szCs w:val="20"/>
          <w:lang w:val="fr-CA"/>
        </w:rPr>
        <w:t>Avant 2014-2015, les demandes informe</w:t>
      </w:r>
      <w:r>
        <w:rPr>
          <w:sz w:val="20"/>
          <w:szCs w:val="20"/>
          <w:lang w:val="fr-CA"/>
        </w:rPr>
        <w:t>lles reçues et complétées par le SCRS</w:t>
      </w:r>
      <w:r w:rsidRPr="009567D8">
        <w:rPr>
          <w:sz w:val="20"/>
          <w:szCs w:val="20"/>
          <w:lang w:val="fr-CA"/>
        </w:rPr>
        <w:t xml:space="preserve"> étaient inclus</w:t>
      </w:r>
      <w:r>
        <w:rPr>
          <w:sz w:val="20"/>
          <w:szCs w:val="20"/>
          <w:lang w:val="fr-CA"/>
        </w:rPr>
        <w:t xml:space="preserve">es dans le rapport statistique. </w:t>
      </w:r>
      <w:r w:rsidRPr="009567D8">
        <w:rPr>
          <w:sz w:val="20"/>
          <w:szCs w:val="20"/>
          <w:lang w:val="fr-CA"/>
        </w:rPr>
        <w:t>Avec les nouveaux changements, ces demandes sont maintenant séparées des demandes formelles, ce qui rend la comparaison avec les années précédentes difficiles. La présente analyse devrait être utilisée avec précaution.</w:t>
      </w:r>
    </w:p>
  </w:footnote>
  <w:footnote w:id="106">
    <w:p w:rsidR="00B25C51" w:rsidRPr="008234D6" w:rsidRDefault="00B25C51" w:rsidP="006B6495">
      <w:pPr>
        <w:pStyle w:val="FootnoteText"/>
        <w:rPr>
          <w:lang w:val="fr-CA"/>
        </w:rPr>
      </w:pPr>
      <w:r>
        <w:rPr>
          <w:rStyle w:val="FootnoteReference"/>
        </w:rPr>
        <w:footnoteRef/>
      </w:r>
      <w:r>
        <w:rPr>
          <w:lang w:val="fr-CA"/>
        </w:rPr>
        <w:t xml:space="preserve"> Cette augmentation soudaine </w:t>
      </w:r>
      <w:r w:rsidRPr="008234D6">
        <w:rPr>
          <w:lang w:val="fr-CA"/>
        </w:rPr>
        <w:t xml:space="preserve">du nombre de demandes </w:t>
      </w:r>
      <w:r>
        <w:rPr>
          <w:lang w:val="fr-CA"/>
        </w:rPr>
        <w:t xml:space="preserve">en 2013-2014 </w:t>
      </w:r>
      <w:r w:rsidRPr="008234D6">
        <w:rPr>
          <w:lang w:val="fr-CA"/>
        </w:rPr>
        <w:t xml:space="preserve">était attribuable au fort volume de demandes informelles relatives </w:t>
      </w:r>
      <w:r>
        <w:rPr>
          <w:lang w:val="fr-CA"/>
        </w:rPr>
        <w:t>à des demandes d’accès à l’information auxquelles le SCRS avait déjà répondu et qui ont été intégrées au nombre de demandes complétées de façon formelle.</w:t>
      </w:r>
    </w:p>
  </w:footnote>
  <w:footnote w:id="107">
    <w:p w:rsidR="00B25C51" w:rsidRPr="00E71211" w:rsidRDefault="00B25C51" w:rsidP="006B6495">
      <w:pPr>
        <w:pStyle w:val="CommentText"/>
        <w:rPr>
          <w:lang w:val="fr-CA"/>
        </w:rPr>
      </w:pPr>
      <w:r>
        <w:rPr>
          <w:rStyle w:val="FootnoteReference"/>
        </w:rPr>
        <w:footnoteRef/>
      </w:r>
      <w:r>
        <w:rPr>
          <w:lang w:val="fr-CA"/>
        </w:rPr>
        <w:t xml:space="preserve"> </w:t>
      </w:r>
      <w:r>
        <w:rPr>
          <w:lang w:val="fr-FR"/>
        </w:rPr>
        <w:t>Le taux d’achèvement a été calculé en utilisant le nombre de demandes reçues durant cette période et le nombre de demandes transférées de la période précédente. Le taux d’achèvement diffère de celui rapporté par le SCRS dû à une différence méthodologique.</w:t>
      </w:r>
    </w:p>
  </w:footnote>
  <w:footnote w:id="108">
    <w:p w:rsidR="00B25C51" w:rsidRPr="009E6E6D" w:rsidRDefault="00B25C51" w:rsidP="006B6495">
      <w:pPr>
        <w:pStyle w:val="FootnoteText"/>
        <w:rPr>
          <w:lang w:val="fr-CA"/>
        </w:rPr>
      </w:pPr>
      <w:r>
        <w:rPr>
          <w:rStyle w:val="FootnoteReference"/>
        </w:rPr>
        <w:footnoteRef/>
      </w:r>
      <w:r w:rsidRPr="009E6E6D">
        <w:rPr>
          <w:lang w:val="fr-CA"/>
        </w:rPr>
        <w:t xml:space="preserve"> </w:t>
      </w:r>
      <w:r>
        <w:rPr>
          <w:lang w:val="fr-CA"/>
        </w:rPr>
        <w:t xml:space="preserve">L’indicateur </w:t>
      </w:r>
      <w:r w:rsidRPr="00AD3491">
        <w:rPr>
          <w:lang w:val="fr-CA"/>
        </w:rPr>
        <w:t>«</w:t>
      </w:r>
      <w:r>
        <w:rPr>
          <w:lang w:val="fr-CA"/>
        </w:rPr>
        <w:t xml:space="preserve"> </w:t>
      </w:r>
      <w:r w:rsidRPr="00AC446C">
        <w:rPr>
          <w:lang w:val="fr-CA"/>
        </w:rPr>
        <w:t>Retards des demandes échues</w:t>
      </w:r>
      <w:r>
        <w:rPr>
          <w:lang w:val="fr-CA"/>
        </w:rPr>
        <w:t xml:space="preserve"> </w:t>
      </w:r>
      <w:r w:rsidRPr="00AD3491">
        <w:rPr>
          <w:lang w:val="fr-CA"/>
        </w:rPr>
        <w:t>»</w:t>
      </w:r>
      <w:r>
        <w:rPr>
          <w:lang w:val="fr-CA"/>
        </w:rPr>
        <w:t xml:space="preserve"> </w:t>
      </w:r>
      <w:r w:rsidRPr="00AC446C">
        <w:rPr>
          <w:lang w:val="fr-CA"/>
        </w:rPr>
        <w:t xml:space="preserve">ne s’applique </w:t>
      </w:r>
      <w:r>
        <w:rPr>
          <w:lang w:val="fr-CA"/>
        </w:rPr>
        <w:t xml:space="preserve">pas aux institutions qui ont 15 demandes </w:t>
      </w:r>
      <w:r w:rsidRPr="00E06034">
        <w:rPr>
          <w:lang w:val="fr-FR"/>
        </w:rPr>
        <w:t>é</w:t>
      </w:r>
      <w:r>
        <w:rPr>
          <w:lang w:val="fr-CA"/>
        </w:rPr>
        <w:t>chues et moins.</w:t>
      </w:r>
    </w:p>
  </w:footnote>
  <w:footnote w:id="109">
    <w:p w:rsidR="00B25C51" w:rsidRPr="009E6E6D" w:rsidRDefault="00B25C51" w:rsidP="006B6495">
      <w:pPr>
        <w:pStyle w:val="FootnoteText"/>
        <w:contextualSpacing/>
        <w:rPr>
          <w:lang w:val="fr-CA"/>
        </w:rPr>
      </w:pPr>
      <w:r>
        <w:rPr>
          <w:rStyle w:val="FootnoteReference"/>
        </w:rPr>
        <w:footnoteRef/>
      </w:r>
      <w:r w:rsidRPr="009E6E6D">
        <w:rPr>
          <w:lang w:val="fr-CA"/>
        </w:rPr>
        <w:t xml:space="preserve"> </w:t>
      </w:r>
      <w:r w:rsidRPr="00AC446C">
        <w:rPr>
          <w:lang w:val="fr-CA"/>
        </w:rPr>
        <w:t xml:space="preserve">Le </w:t>
      </w:r>
      <w:r w:rsidRPr="0028746A">
        <w:rPr>
          <w:lang w:val="fr-CA"/>
        </w:rPr>
        <w:t xml:space="preserve">système de </w:t>
      </w:r>
      <w:r>
        <w:rPr>
          <w:lang w:val="fr-CA"/>
        </w:rPr>
        <w:t>notes de la fiche de rendement du Commissariat à l’information du Canada</w:t>
      </w:r>
      <w:r w:rsidRPr="0028746A">
        <w:rPr>
          <w:lang w:val="fr-CA"/>
        </w:rPr>
        <w:t xml:space="preserve"> pour 2007</w:t>
      </w:r>
      <w:r w:rsidRPr="0028746A">
        <w:rPr>
          <w:lang w:val="fr-CA"/>
        </w:rPr>
        <w:noBreakHyphen/>
      </w:r>
      <w:r>
        <w:rPr>
          <w:lang w:val="fr-CA"/>
        </w:rPr>
        <w:t>2008 a été utilisé pour déterminer les notes </w:t>
      </w:r>
      <w:r w:rsidRPr="0028746A">
        <w:rPr>
          <w:lang w:val="fr-CA"/>
        </w:rPr>
        <w:t xml:space="preserve">: A= 0 </w:t>
      </w:r>
      <w:r>
        <w:rPr>
          <w:lang w:val="fr-CA"/>
        </w:rPr>
        <w:t>à 5 </w:t>
      </w:r>
      <w:r w:rsidRPr="0028746A">
        <w:rPr>
          <w:lang w:val="fr-CA"/>
        </w:rPr>
        <w:t xml:space="preserve">%; B= 5 </w:t>
      </w:r>
      <w:r>
        <w:rPr>
          <w:lang w:val="fr-CA"/>
        </w:rPr>
        <w:t>à 10 </w:t>
      </w:r>
      <w:r w:rsidRPr="0028746A">
        <w:rPr>
          <w:lang w:val="fr-CA"/>
        </w:rPr>
        <w:t xml:space="preserve">%; C=10 </w:t>
      </w:r>
      <w:r>
        <w:rPr>
          <w:lang w:val="fr-CA"/>
        </w:rPr>
        <w:t>à 15 </w:t>
      </w:r>
      <w:r w:rsidRPr="0028746A">
        <w:rPr>
          <w:lang w:val="fr-CA"/>
        </w:rPr>
        <w:t xml:space="preserve">%, D= 15 </w:t>
      </w:r>
      <w:r>
        <w:rPr>
          <w:lang w:val="fr-CA"/>
        </w:rPr>
        <w:t>à 20 </w:t>
      </w:r>
      <w:r w:rsidRPr="0028746A">
        <w:rPr>
          <w:lang w:val="fr-CA"/>
        </w:rPr>
        <w:t>%, F=20</w:t>
      </w:r>
      <w:r>
        <w:rPr>
          <w:lang w:val="fr-CA"/>
        </w:rPr>
        <w:t> </w:t>
      </w:r>
      <w:r w:rsidRPr="0028746A">
        <w:rPr>
          <w:lang w:val="fr-CA"/>
        </w:rPr>
        <w:t xml:space="preserve">% </w:t>
      </w:r>
      <w:r>
        <w:rPr>
          <w:lang w:val="fr-CA"/>
        </w:rPr>
        <w:t>et plus</w:t>
      </w:r>
      <w:r w:rsidRPr="00AC446C">
        <w:rPr>
          <w:lang w:val="fr-CA"/>
        </w:rPr>
        <w:t>.</w:t>
      </w:r>
    </w:p>
  </w:footnote>
  <w:footnote w:id="110">
    <w:p w:rsidR="00B25C51" w:rsidRPr="00F31694" w:rsidRDefault="00B25C51" w:rsidP="006B6495">
      <w:pPr>
        <w:pStyle w:val="FootnoteText"/>
        <w:rPr>
          <w:lang w:val="fr-FR"/>
        </w:rPr>
      </w:pPr>
      <w:r>
        <w:rPr>
          <w:rStyle w:val="FootnoteReference"/>
        </w:rPr>
        <w:footnoteRef/>
      </w:r>
      <w:r w:rsidRPr="00F31694">
        <w:rPr>
          <w:lang w:val="fr-FR"/>
        </w:rPr>
        <w:t xml:space="preserve"> </w:t>
      </w:r>
      <w:r>
        <w:rPr>
          <w:lang w:val="fr-FR"/>
        </w:rPr>
        <w:t>Les chiffres rapportés dans cette section sont basés sur les statistiques du Commissariat. Des différences peuvent être notées avec l’information rapportée par les institutions, puisque la méthodologie employée diffère.</w:t>
      </w:r>
    </w:p>
  </w:footnote>
  <w:footnote w:id="111">
    <w:p w:rsidR="00B25C51" w:rsidRPr="00A07995" w:rsidRDefault="00B25C51" w:rsidP="00ED12CD">
      <w:pPr>
        <w:pStyle w:val="FootnoteText"/>
        <w:rPr>
          <w:lang w:val="fr-CA"/>
        </w:rPr>
      </w:pPr>
      <w:r>
        <w:rPr>
          <w:rStyle w:val="FootnoteReference"/>
        </w:rPr>
        <w:footnoteRef/>
      </w:r>
      <w:r w:rsidRPr="00A07995">
        <w:rPr>
          <w:lang w:val="fr-CA"/>
        </w:rPr>
        <w:t xml:space="preserve"> </w:t>
      </w:r>
      <w:r w:rsidRPr="0036098B">
        <w:rPr>
          <w:lang w:val="fr-CA"/>
        </w:rPr>
        <w:t xml:space="preserve">Le rendement global repose sur </w:t>
      </w:r>
      <w:r>
        <w:rPr>
          <w:lang w:val="fr-CA"/>
        </w:rPr>
        <w:t xml:space="preserve">deux principaux indicateurs : </w:t>
      </w:r>
      <w:r w:rsidRPr="00371449">
        <w:rPr>
          <w:lang w:val="fr-CA"/>
        </w:rPr>
        <w:t>% de demandes complété</w:t>
      </w:r>
      <w:r>
        <w:rPr>
          <w:lang w:val="fr-CA"/>
        </w:rPr>
        <w:t xml:space="preserve">es en 30 jours ou moins et </w:t>
      </w:r>
      <w:r w:rsidRPr="00371449">
        <w:rPr>
          <w:lang w:val="fr-CA"/>
        </w:rPr>
        <w:t>% de demandes qui ont fait l’objet d’une divulgation complète.</w:t>
      </w:r>
    </w:p>
  </w:footnote>
  <w:footnote w:id="112">
    <w:p w:rsidR="00B25C51" w:rsidRPr="009567D8" w:rsidRDefault="00B25C51" w:rsidP="00ED12CD">
      <w:pPr>
        <w:pStyle w:val="NoSpacing"/>
        <w:rPr>
          <w:lang w:val="fr-CA"/>
        </w:rPr>
      </w:pPr>
      <w:r>
        <w:rPr>
          <w:rStyle w:val="FootnoteReference"/>
        </w:rPr>
        <w:footnoteRef/>
      </w:r>
      <w:r w:rsidRPr="00432F01">
        <w:rPr>
          <w:lang w:val="fr-FR"/>
        </w:rPr>
        <w:t xml:space="preserve"> </w:t>
      </w:r>
      <w:r w:rsidRPr="009567D8">
        <w:rPr>
          <w:sz w:val="20"/>
          <w:szCs w:val="20"/>
          <w:lang w:val="fr-FR"/>
        </w:rPr>
        <w:t xml:space="preserve">En 2014,2015, le SCT a ajouté un tableau séparé pour les demandes informelles dans le rapport statistique. </w:t>
      </w:r>
      <w:r w:rsidRPr="009567D8">
        <w:rPr>
          <w:sz w:val="20"/>
          <w:szCs w:val="20"/>
          <w:lang w:val="fr-CA"/>
        </w:rPr>
        <w:t>Avant 2014-2015, les demandes informelles reçues et complétées par SP étaient inclus</w:t>
      </w:r>
      <w:r>
        <w:rPr>
          <w:sz w:val="20"/>
          <w:szCs w:val="20"/>
          <w:lang w:val="fr-CA"/>
        </w:rPr>
        <w:t xml:space="preserve">es dans le rapport statistique. </w:t>
      </w:r>
      <w:r w:rsidRPr="009567D8">
        <w:rPr>
          <w:sz w:val="20"/>
          <w:szCs w:val="20"/>
          <w:lang w:val="fr-CA"/>
        </w:rPr>
        <w:t>Avec les nouveaux changements, ces demandes sont maintenant séparées des demandes formelles, ce qui rend la comparaison avec les années précédentes difficiles. La présente analyse devrait être utilisée avec précaution.</w:t>
      </w:r>
    </w:p>
  </w:footnote>
  <w:footnote w:id="113">
    <w:p w:rsidR="00B25C51" w:rsidRPr="00DD67DF" w:rsidRDefault="00B25C51" w:rsidP="00ED12CD">
      <w:pPr>
        <w:pStyle w:val="FootnoteText"/>
        <w:rPr>
          <w:lang w:val="fr-CA"/>
        </w:rPr>
      </w:pPr>
      <w:r>
        <w:rPr>
          <w:rStyle w:val="FootnoteReference"/>
        </w:rPr>
        <w:footnoteRef/>
      </w:r>
      <w:r w:rsidRPr="00DD67DF">
        <w:rPr>
          <w:lang w:val="fr-CA"/>
        </w:rPr>
        <w:t xml:space="preserve"> </w:t>
      </w:r>
      <w:r>
        <w:rPr>
          <w:lang w:val="fr-FR"/>
        </w:rPr>
        <w:t>Le taux d’achèvement a été calculé en utilisant le nombre de demandes reçues durant cette période et le nombre de demandes transférées de la période précédente.</w:t>
      </w:r>
    </w:p>
  </w:footnote>
  <w:footnote w:id="114">
    <w:p w:rsidR="00B25C51" w:rsidRPr="00432F01" w:rsidRDefault="00B25C51" w:rsidP="00ED12CD">
      <w:pPr>
        <w:pStyle w:val="FootnoteText"/>
        <w:rPr>
          <w:lang w:val="fr-FR"/>
        </w:rPr>
      </w:pPr>
      <w:r>
        <w:rPr>
          <w:rStyle w:val="FootnoteReference"/>
        </w:rPr>
        <w:footnoteRef/>
      </w:r>
      <w:r w:rsidRPr="00432F01">
        <w:rPr>
          <w:lang w:val="fr-FR"/>
        </w:rPr>
        <w:t xml:space="preserve"> </w:t>
      </w:r>
      <w:r>
        <w:rPr>
          <w:lang w:val="fr-FR"/>
        </w:rPr>
        <w:t>En incluant les demandes informelles, la proportion des demandes complétées dans un délai de 30 jours en 2014-2015 est de 73,9 %, ce qui représente une augmentation de 5,4 % comparativement à la proportion en 2013-2014.</w:t>
      </w:r>
    </w:p>
  </w:footnote>
  <w:footnote w:id="115">
    <w:p w:rsidR="00B25C51" w:rsidRPr="00A07995" w:rsidRDefault="00B25C51" w:rsidP="00ED12CD">
      <w:pPr>
        <w:pStyle w:val="FootnoteText"/>
        <w:contextualSpacing/>
        <w:rPr>
          <w:lang w:val="fr-CA"/>
        </w:rPr>
      </w:pPr>
      <w:r>
        <w:rPr>
          <w:rStyle w:val="FootnoteReference"/>
        </w:rPr>
        <w:footnoteRef/>
      </w:r>
      <w:r w:rsidRPr="00A07995">
        <w:rPr>
          <w:lang w:val="fr-CA"/>
        </w:rPr>
        <w:t xml:space="preserve"> </w:t>
      </w:r>
      <w:r w:rsidRPr="0064697B">
        <w:rPr>
          <w:lang w:val="fr-CA"/>
        </w:rPr>
        <w:t>Le système de cotation de la fiche de rendement du C</w:t>
      </w:r>
      <w:r>
        <w:rPr>
          <w:lang w:val="fr-CA"/>
        </w:rPr>
        <w:t xml:space="preserve">ommissariat </w:t>
      </w:r>
      <w:r w:rsidRPr="0064697B">
        <w:rPr>
          <w:lang w:val="fr-CA"/>
        </w:rPr>
        <w:t xml:space="preserve">pour 2007-2008 a été employé pour accorder les différentes </w:t>
      </w:r>
      <w:r>
        <w:rPr>
          <w:lang w:val="fr-CA"/>
        </w:rPr>
        <w:t>n</w:t>
      </w:r>
      <w:r w:rsidRPr="0064697B">
        <w:rPr>
          <w:lang w:val="fr-CA"/>
        </w:rPr>
        <w:t>otes : A= 0 à 5 %; B= 5 à 10 %; C=10 à 15 %, D= 15 à 20 %, F=20 % et plus.</w:t>
      </w:r>
    </w:p>
  </w:footnote>
  <w:footnote w:id="116">
    <w:p w:rsidR="00B25C51" w:rsidRPr="000C2567" w:rsidRDefault="00B25C51" w:rsidP="00ED12CD">
      <w:pPr>
        <w:pStyle w:val="FootnoteText"/>
        <w:rPr>
          <w:lang w:val="fr-FR"/>
        </w:rPr>
      </w:pPr>
      <w:r>
        <w:rPr>
          <w:rStyle w:val="FootnoteReference"/>
        </w:rPr>
        <w:footnoteRef/>
      </w:r>
      <w:r w:rsidRPr="000C2567">
        <w:rPr>
          <w:lang w:val="fr-FR"/>
        </w:rPr>
        <w:t xml:space="preserve"> Les chiffres rapportés dans cette section sont basés sur les statistiques du Commissariat. Des différences peuvent être notées avec l’information rapportée par les institutions, puisque la méthodologie employée diffère.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CF07A2"/>
    <w:rsid w:val="00131709"/>
    <w:rsid w:val="00431648"/>
    <w:rsid w:val="005476C3"/>
    <w:rsid w:val="00620117"/>
    <w:rsid w:val="006B6495"/>
    <w:rsid w:val="007268F5"/>
    <w:rsid w:val="008303C9"/>
    <w:rsid w:val="00957E09"/>
    <w:rsid w:val="00B25C51"/>
    <w:rsid w:val="00BA2BE8"/>
    <w:rsid w:val="00CF07A2"/>
    <w:rsid w:val="00ED12CD"/>
    <w:rsid w:val="00F238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09"/>
  </w:style>
  <w:style w:type="paragraph" w:styleId="Heading1">
    <w:name w:val="heading 1"/>
    <w:basedOn w:val="Normal"/>
    <w:next w:val="Normal"/>
    <w:link w:val="Heading1Char"/>
    <w:uiPriority w:val="9"/>
    <w:qFormat/>
    <w:rsid w:val="00CF07A2"/>
    <w:pPr>
      <w:outlineLvl w:val="0"/>
    </w:pPr>
    <w:rPr>
      <w:b/>
      <w:sz w:val="24"/>
      <w:lang w:val="fr-CA"/>
    </w:rPr>
  </w:style>
  <w:style w:type="paragraph" w:styleId="Heading2">
    <w:name w:val="heading 2"/>
    <w:basedOn w:val="Normal"/>
    <w:next w:val="Normal"/>
    <w:link w:val="Heading2Char"/>
    <w:uiPriority w:val="9"/>
    <w:unhideWhenUsed/>
    <w:qFormat/>
    <w:rsid w:val="00CF07A2"/>
    <w:pPr>
      <w:jc w:val="both"/>
      <w:outlineLvl w:val="1"/>
    </w:pPr>
    <w:rPr>
      <w:b/>
      <w:lang w:val="fr-CA"/>
    </w:rPr>
  </w:style>
  <w:style w:type="paragraph" w:styleId="Heading3">
    <w:name w:val="heading 3"/>
    <w:basedOn w:val="Normal"/>
    <w:next w:val="Normal"/>
    <w:link w:val="Heading3Char"/>
    <w:uiPriority w:val="9"/>
    <w:unhideWhenUsed/>
    <w:qFormat/>
    <w:rsid w:val="00BA2BE8"/>
    <w:pPr>
      <w:spacing w:line="240" w:lineRule="auto"/>
      <w:outlineLvl w:val="2"/>
    </w:pPr>
    <w:rPr>
      <w:b/>
    </w:rPr>
  </w:style>
  <w:style w:type="paragraph" w:styleId="Heading4">
    <w:name w:val="heading 4"/>
    <w:basedOn w:val="Normal"/>
    <w:next w:val="Normal"/>
    <w:link w:val="Heading4Char"/>
    <w:uiPriority w:val="9"/>
    <w:unhideWhenUsed/>
    <w:qFormat/>
    <w:rsid w:val="00CF07A2"/>
    <w:pPr>
      <w:jc w:val="both"/>
      <w:outlineLvl w:val="3"/>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7A2"/>
    <w:rPr>
      <w:rFonts w:eastAsiaTheme="minorEastAsia"/>
      <w:b/>
      <w:sz w:val="24"/>
      <w:lang w:val="fr-CA" w:eastAsia="en-CA"/>
    </w:rPr>
  </w:style>
  <w:style w:type="character" w:customStyle="1" w:styleId="Heading2Char">
    <w:name w:val="Heading 2 Char"/>
    <w:basedOn w:val="DefaultParagraphFont"/>
    <w:link w:val="Heading2"/>
    <w:uiPriority w:val="9"/>
    <w:rsid w:val="00CF07A2"/>
    <w:rPr>
      <w:rFonts w:eastAsiaTheme="minorEastAsia"/>
      <w:b/>
      <w:lang w:val="fr-CA" w:eastAsia="en-CA"/>
    </w:rPr>
  </w:style>
  <w:style w:type="character" w:customStyle="1" w:styleId="Heading3Char">
    <w:name w:val="Heading 3 Char"/>
    <w:basedOn w:val="DefaultParagraphFont"/>
    <w:link w:val="Heading3"/>
    <w:uiPriority w:val="9"/>
    <w:rsid w:val="00BA2BE8"/>
    <w:rPr>
      <w:rFonts w:eastAsiaTheme="minorEastAsia"/>
      <w:b/>
      <w:lang w:eastAsia="en-CA"/>
    </w:rPr>
  </w:style>
  <w:style w:type="character" w:customStyle="1" w:styleId="Heading4Char">
    <w:name w:val="Heading 4 Char"/>
    <w:basedOn w:val="DefaultParagraphFont"/>
    <w:link w:val="Heading4"/>
    <w:uiPriority w:val="9"/>
    <w:rsid w:val="00CF07A2"/>
    <w:rPr>
      <w:rFonts w:eastAsiaTheme="minorEastAsia"/>
      <w:lang w:val="fr-CA" w:eastAsia="en-CA"/>
    </w:rPr>
  </w:style>
  <w:style w:type="paragraph" w:styleId="Footer">
    <w:name w:val="footer"/>
    <w:basedOn w:val="Normal"/>
    <w:link w:val="FooterChar"/>
    <w:uiPriority w:val="99"/>
    <w:unhideWhenUsed/>
    <w:rsid w:val="00CF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A2"/>
    <w:rPr>
      <w:rFonts w:eastAsiaTheme="minorEastAsia"/>
      <w:lang w:eastAsia="en-CA"/>
    </w:rPr>
  </w:style>
  <w:style w:type="paragraph" w:styleId="FootnoteText">
    <w:name w:val="footnote text"/>
    <w:basedOn w:val="Normal"/>
    <w:link w:val="FootnoteTextChar"/>
    <w:uiPriority w:val="99"/>
    <w:unhideWhenUsed/>
    <w:rsid w:val="00CF07A2"/>
    <w:pPr>
      <w:spacing w:after="0" w:line="240" w:lineRule="auto"/>
    </w:pPr>
    <w:rPr>
      <w:sz w:val="20"/>
      <w:szCs w:val="20"/>
    </w:rPr>
  </w:style>
  <w:style w:type="character" w:customStyle="1" w:styleId="FootnoteTextChar">
    <w:name w:val="Footnote Text Char"/>
    <w:basedOn w:val="DefaultParagraphFont"/>
    <w:link w:val="FootnoteText"/>
    <w:uiPriority w:val="99"/>
    <w:rsid w:val="00CF07A2"/>
    <w:rPr>
      <w:rFonts w:eastAsiaTheme="minorEastAsia"/>
      <w:sz w:val="20"/>
      <w:szCs w:val="20"/>
      <w:lang w:eastAsia="en-CA"/>
    </w:rPr>
  </w:style>
  <w:style w:type="character" w:styleId="FootnoteReference">
    <w:name w:val="footnote reference"/>
    <w:basedOn w:val="DefaultParagraphFont"/>
    <w:uiPriority w:val="99"/>
    <w:semiHidden/>
    <w:unhideWhenUsed/>
    <w:rsid w:val="00CF07A2"/>
    <w:rPr>
      <w:vertAlign w:val="superscript"/>
    </w:rPr>
  </w:style>
  <w:style w:type="paragraph" w:styleId="NoSpacing">
    <w:name w:val="No Spacing"/>
    <w:uiPriority w:val="1"/>
    <w:qFormat/>
    <w:rsid w:val="00CF07A2"/>
    <w:pPr>
      <w:spacing w:after="0" w:line="240" w:lineRule="auto"/>
    </w:pPr>
  </w:style>
  <w:style w:type="paragraph" w:styleId="BalloonText">
    <w:name w:val="Balloon Text"/>
    <w:basedOn w:val="Normal"/>
    <w:link w:val="BalloonTextChar"/>
    <w:uiPriority w:val="99"/>
    <w:semiHidden/>
    <w:unhideWhenUsed/>
    <w:rsid w:val="00CF0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A2"/>
    <w:rPr>
      <w:rFonts w:ascii="Tahoma" w:eastAsiaTheme="minorEastAsia" w:hAnsi="Tahoma" w:cs="Tahoma"/>
      <w:sz w:val="16"/>
      <w:szCs w:val="16"/>
      <w:lang w:eastAsia="en-CA"/>
    </w:rPr>
  </w:style>
  <w:style w:type="paragraph" w:styleId="CommentText">
    <w:name w:val="annotation text"/>
    <w:basedOn w:val="Normal"/>
    <w:link w:val="CommentTextChar"/>
    <w:uiPriority w:val="99"/>
    <w:unhideWhenUsed/>
    <w:rsid w:val="006B6495"/>
    <w:pPr>
      <w:spacing w:line="240" w:lineRule="auto"/>
    </w:pPr>
    <w:rPr>
      <w:sz w:val="20"/>
      <w:szCs w:val="20"/>
    </w:rPr>
  </w:style>
  <w:style w:type="character" w:customStyle="1" w:styleId="CommentTextChar">
    <w:name w:val="Comment Text Char"/>
    <w:basedOn w:val="DefaultParagraphFont"/>
    <w:link w:val="CommentText"/>
    <w:uiPriority w:val="99"/>
    <w:rsid w:val="006B6495"/>
    <w:rPr>
      <w:rFonts w:eastAsiaTheme="minorEastAsia"/>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F07A2"/>
    <w:pPr>
      <w:outlineLvl w:val="0"/>
    </w:pPr>
    <w:rPr>
      <w:b/>
      <w:sz w:val="24"/>
      <w:lang w:val="fr-CA"/>
    </w:rPr>
  </w:style>
  <w:style w:type="paragraph" w:styleId="Titre2">
    <w:name w:val="heading 2"/>
    <w:basedOn w:val="Normal"/>
    <w:next w:val="Normal"/>
    <w:link w:val="Titre2Car"/>
    <w:uiPriority w:val="9"/>
    <w:unhideWhenUsed/>
    <w:qFormat/>
    <w:rsid w:val="00CF07A2"/>
    <w:pPr>
      <w:jc w:val="both"/>
      <w:outlineLvl w:val="1"/>
    </w:pPr>
    <w:rPr>
      <w:b/>
      <w:lang w:val="fr-CA"/>
    </w:rPr>
  </w:style>
  <w:style w:type="paragraph" w:styleId="Titre3">
    <w:name w:val="heading 3"/>
    <w:basedOn w:val="Normal"/>
    <w:next w:val="Normal"/>
    <w:link w:val="Titre3Car"/>
    <w:uiPriority w:val="9"/>
    <w:unhideWhenUsed/>
    <w:qFormat/>
    <w:rsid w:val="00BA2BE8"/>
    <w:pPr>
      <w:spacing w:line="240" w:lineRule="auto"/>
      <w:outlineLvl w:val="2"/>
    </w:pPr>
    <w:rPr>
      <w:b/>
    </w:rPr>
  </w:style>
  <w:style w:type="paragraph" w:styleId="Titre4">
    <w:name w:val="heading 4"/>
    <w:basedOn w:val="Normal"/>
    <w:next w:val="Normal"/>
    <w:link w:val="Titre4Car"/>
    <w:uiPriority w:val="9"/>
    <w:unhideWhenUsed/>
    <w:qFormat/>
    <w:rsid w:val="00CF07A2"/>
    <w:pPr>
      <w:jc w:val="both"/>
      <w:outlineLvl w:val="3"/>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7A2"/>
    <w:rPr>
      <w:rFonts w:eastAsiaTheme="minorEastAsia"/>
      <w:b/>
      <w:sz w:val="24"/>
      <w:lang w:val="fr-CA" w:eastAsia="en-CA"/>
    </w:rPr>
  </w:style>
  <w:style w:type="character" w:customStyle="1" w:styleId="Titre2Car">
    <w:name w:val="Titre 2 Car"/>
    <w:basedOn w:val="Policepardfaut"/>
    <w:link w:val="Titre2"/>
    <w:uiPriority w:val="9"/>
    <w:rsid w:val="00CF07A2"/>
    <w:rPr>
      <w:rFonts w:eastAsiaTheme="minorEastAsia"/>
      <w:b/>
      <w:lang w:val="fr-CA" w:eastAsia="en-CA"/>
    </w:rPr>
  </w:style>
  <w:style w:type="character" w:customStyle="1" w:styleId="Titre3Car">
    <w:name w:val="Titre 3 Car"/>
    <w:basedOn w:val="Policepardfaut"/>
    <w:link w:val="Titre3"/>
    <w:uiPriority w:val="9"/>
    <w:rsid w:val="00BA2BE8"/>
    <w:rPr>
      <w:rFonts w:eastAsiaTheme="minorEastAsia"/>
      <w:b/>
      <w:lang w:eastAsia="en-CA"/>
    </w:rPr>
  </w:style>
  <w:style w:type="character" w:customStyle="1" w:styleId="Titre4Car">
    <w:name w:val="Titre 4 Car"/>
    <w:basedOn w:val="Policepardfaut"/>
    <w:link w:val="Titre4"/>
    <w:uiPriority w:val="9"/>
    <w:rsid w:val="00CF07A2"/>
    <w:rPr>
      <w:rFonts w:eastAsiaTheme="minorEastAsia"/>
      <w:lang w:val="fr-CA" w:eastAsia="en-CA"/>
    </w:rPr>
  </w:style>
  <w:style w:type="paragraph" w:styleId="Pieddepage">
    <w:name w:val="footer"/>
    <w:basedOn w:val="Normal"/>
    <w:link w:val="PieddepageCar"/>
    <w:uiPriority w:val="99"/>
    <w:unhideWhenUsed/>
    <w:rsid w:val="00CF07A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07A2"/>
    <w:rPr>
      <w:rFonts w:eastAsiaTheme="minorEastAsia"/>
      <w:lang w:eastAsia="en-CA"/>
    </w:rPr>
  </w:style>
  <w:style w:type="paragraph" w:styleId="Notedebasdepage">
    <w:name w:val="footnote text"/>
    <w:basedOn w:val="Normal"/>
    <w:link w:val="NotedebasdepageCar"/>
    <w:uiPriority w:val="99"/>
    <w:unhideWhenUsed/>
    <w:rsid w:val="00CF07A2"/>
    <w:pPr>
      <w:spacing w:after="0" w:line="240" w:lineRule="auto"/>
    </w:pPr>
    <w:rPr>
      <w:sz w:val="20"/>
      <w:szCs w:val="20"/>
    </w:rPr>
  </w:style>
  <w:style w:type="character" w:customStyle="1" w:styleId="NotedebasdepageCar">
    <w:name w:val="Note de bas de page Car"/>
    <w:basedOn w:val="Policepardfaut"/>
    <w:link w:val="Notedebasdepage"/>
    <w:uiPriority w:val="99"/>
    <w:rsid w:val="00CF07A2"/>
    <w:rPr>
      <w:rFonts w:eastAsiaTheme="minorEastAsia"/>
      <w:sz w:val="20"/>
      <w:szCs w:val="20"/>
      <w:lang w:eastAsia="en-CA"/>
    </w:rPr>
  </w:style>
  <w:style w:type="character" w:styleId="Appelnotedebasdep">
    <w:name w:val="footnote reference"/>
    <w:basedOn w:val="Policepardfaut"/>
    <w:uiPriority w:val="99"/>
    <w:semiHidden/>
    <w:unhideWhenUsed/>
    <w:rsid w:val="00CF07A2"/>
    <w:rPr>
      <w:vertAlign w:val="superscript"/>
    </w:rPr>
  </w:style>
  <w:style w:type="paragraph" w:styleId="Sansinterligne">
    <w:name w:val="No Spacing"/>
    <w:uiPriority w:val="1"/>
    <w:qFormat/>
    <w:rsid w:val="00CF07A2"/>
    <w:pPr>
      <w:spacing w:after="0" w:line="240" w:lineRule="auto"/>
    </w:pPr>
  </w:style>
  <w:style w:type="paragraph" w:styleId="Textedebulles">
    <w:name w:val="Balloon Text"/>
    <w:basedOn w:val="Normal"/>
    <w:link w:val="TextedebullesCar"/>
    <w:uiPriority w:val="99"/>
    <w:semiHidden/>
    <w:unhideWhenUsed/>
    <w:rsid w:val="00CF0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07A2"/>
    <w:rPr>
      <w:rFonts w:ascii="Tahoma" w:eastAsiaTheme="minorEastAsia" w:hAnsi="Tahoma" w:cs="Tahoma"/>
      <w:sz w:val="16"/>
      <w:szCs w:val="16"/>
      <w:lang w:eastAsia="en-CA"/>
    </w:rPr>
  </w:style>
  <w:style w:type="paragraph" w:styleId="Commentaire">
    <w:name w:val="annotation text"/>
    <w:basedOn w:val="Normal"/>
    <w:link w:val="CommentaireCar"/>
    <w:uiPriority w:val="99"/>
    <w:unhideWhenUsed/>
    <w:rsid w:val="006B6495"/>
    <w:pPr>
      <w:spacing w:line="240" w:lineRule="auto"/>
    </w:pPr>
    <w:rPr>
      <w:sz w:val="20"/>
      <w:szCs w:val="20"/>
    </w:rPr>
  </w:style>
  <w:style w:type="character" w:customStyle="1" w:styleId="CommentaireCar">
    <w:name w:val="Commentaire Car"/>
    <w:basedOn w:val="Policepardfaut"/>
    <w:link w:val="Commentaire"/>
    <w:uiPriority w:val="99"/>
    <w:rsid w:val="006B6495"/>
    <w:rPr>
      <w:rFonts w:eastAsiaTheme="minorEastAsia"/>
      <w:sz w:val="20"/>
      <w:szCs w:val="20"/>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0.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84" Type="http://schemas.openxmlformats.org/officeDocument/2006/relationships/chart" Target="charts/chart78.xml"/><Relationship Id="rId89" Type="http://schemas.openxmlformats.org/officeDocument/2006/relationships/chart" Target="charts/chart83.xml"/><Relationship Id="rId97" Type="http://schemas.openxmlformats.org/officeDocument/2006/relationships/chart" Target="charts/chart91.xml"/><Relationship Id="rId7" Type="http://schemas.openxmlformats.org/officeDocument/2006/relationships/chart" Target="charts/chart1.xml"/><Relationship Id="rId71" Type="http://schemas.openxmlformats.org/officeDocument/2006/relationships/chart" Target="charts/chart65.xml"/><Relationship Id="rId92" Type="http://schemas.openxmlformats.org/officeDocument/2006/relationships/chart" Target="charts/chart86.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87" Type="http://schemas.openxmlformats.org/officeDocument/2006/relationships/chart" Target="charts/chart81.xml"/><Relationship Id="rId5" Type="http://schemas.openxmlformats.org/officeDocument/2006/relationships/footnotes" Target="footnotes.xml"/><Relationship Id="rId61" Type="http://schemas.openxmlformats.org/officeDocument/2006/relationships/chart" Target="charts/chart55.xml"/><Relationship Id="rId82" Type="http://schemas.openxmlformats.org/officeDocument/2006/relationships/chart" Target="charts/chart76.xml"/><Relationship Id="rId90" Type="http://schemas.openxmlformats.org/officeDocument/2006/relationships/chart" Target="charts/chart84.xml"/><Relationship Id="rId95" Type="http://schemas.openxmlformats.org/officeDocument/2006/relationships/chart" Target="charts/chart89.xml"/><Relationship Id="rId19" Type="http://schemas.openxmlformats.org/officeDocument/2006/relationships/chart" Target="charts/chart1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100" Type="http://schemas.openxmlformats.org/officeDocument/2006/relationships/theme" Target="theme/theme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85" Type="http://schemas.openxmlformats.org/officeDocument/2006/relationships/chart" Target="charts/chart79.xml"/><Relationship Id="rId93" Type="http://schemas.openxmlformats.org/officeDocument/2006/relationships/chart" Target="charts/chart87.xm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83" Type="http://schemas.openxmlformats.org/officeDocument/2006/relationships/chart" Target="charts/chart77.xml"/><Relationship Id="rId88" Type="http://schemas.openxmlformats.org/officeDocument/2006/relationships/chart" Target="charts/chart82.xml"/><Relationship Id="rId91" Type="http://schemas.openxmlformats.org/officeDocument/2006/relationships/chart" Target="charts/chart85.xml"/><Relationship Id="rId96" Type="http://schemas.openxmlformats.org/officeDocument/2006/relationships/chart" Target="charts/chart90.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 Id="rId10" Type="http://schemas.openxmlformats.org/officeDocument/2006/relationships/chart" Target="charts/chart4.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chart" Target="charts/chart75.xml"/><Relationship Id="rId86" Type="http://schemas.openxmlformats.org/officeDocument/2006/relationships/chart" Target="charts/chart80.xml"/><Relationship Id="rId94" Type="http://schemas.openxmlformats.org/officeDocument/2006/relationships/chart" Target="charts/chart88.xm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chart" Target="charts/chart12.xml"/><Relationship Id="rId39" Type="http://schemas.openxmlformats.org/officeDocument/2006/relationships/chart" Target="charts/chart3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Kbriere\AppData\Roaming\OpenText\DM\Temp\ACCESS-%23357317-v2-2014-2015_Report_Cards_-_Revised_Graphs_(E&amp;F).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Kbriere\AppData\Roaming\OpenText\DM\Temp\ACCESS-%23357317-v2-2014-2015_Report_Cards_-_Revised_Graphs_(E&amp;F).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Kbriere\AppData\Roaming\OpenText\DM\Temp\ACCESS-%23357317-v2-2014-2015_Report_Cards_-_Revised_Graphs_(E&amp;F).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kbriere\AppData\Roaming\OpenText\DM\Temp\ACCESS-%23357317-v2-2014-2015_Report_Cards_-_Revised_Graphs_(E&amp;F).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IRCC!$G$2</c:f>
              <c:strCache>
                <c:ptCount val="1"/>
                <c:pt idx="0">
                  <c:v>2012-2013</c:v>
                </c:pt>
              </c:strCache>
            </c:strRef>
          </c:tx>
          <c:spPr>
            <a:solidFill>
              <a:schemeClr val="bg1">
                <a:lumMod val="50000"/>
              </a:schemeClr>
            </a:solidFill>
          </c:spPr>
          <c:cat>
            <c:strRef>
              <c:f>IRCC!$F$3:$F$8</c:f>
              <c:strCache>
                <c:ptCount val="6"/>
                <c:pt idx="0">
                  <c:v>30 jours ou moins</c:v>
                </c:pt>
                <c:pt idx="1">
                  <c:v>31 à 60 jours</c:v>
                </c:pt>
                <c:pt idx="2">
                  <c:v>61 à 120 jours</c:v>
                </c:pt>
                <c:pt idx="3">
                  <c:v>121 à 180 jours</c:v>
                </c:pt>
                <c:pt idx="4">
                  <c:v>181 à 365 jours</c:v>
                </c:pt>
                <c:pt idx="5">
                  <c:v>Plus de 365 jours</c:v>
                </c:pt>
              </c:strCache>
            </c:strRef>
          </c:cat>
          <c:val>
            <c:numRef>
              <c:f>IRCC!$G$3:$G$8</c:f>
              <c:numCache>
                <c:formatCode>0.00%</c:formatCode>
                <c:ptCount val="6"/>
                <c:pt idx="0">
                  <c:v>0.74623366641045363</c:v>
                </c:pt>
                <c:pt idx="1">
                  <c:v>0.19761721752498104</c:v>
                </c:pt>
                <c:pt idx="2">
                  <c:v>4.2467332820907332E-2</c:v>
                </c:pt>
                <c:pt idx="3">
                  <c:v>9.0315142198309686E-3</c:v>
                </c:pt>
                <c:pt idx="4">
                  <c:v>4.3043812451959845E-3</c:v>
                </c:pt>
                <c:pt idx="5">
                  <c:v>3.4588777863182277E-4</c:v>
                </c:pt>
              </c:numCache>
            </c:numRef>
          </c:val>
        </c:ser>
        <c:ser>
          <c:idx val="1"/>
          <c:order val="1"/>
          <c:tx>
            <c:strRef>
              <c:f>IRCC!$H$2</c:f>
              <c:strCache>
                <c:ptCount val="1"/>
                <c:pt idx="0">
                  <c:v>2013-2014</c:v>
                </c:pt>
              </c:strCache>
            </c:strRef>
          </c:tx>
          <c:spPr>
            <a:solidFill>
              <a:srgbClr val="FFC000"/>
            </a:solidFill>
          </c:spPr>
          <c:cat>
            <c:strRef>
              <c:f>IRCC!$F$3:$F$8</c:f>
              <c:strCache>
                <c:ptCount val="6"/>
                <c:pt idx="0">
                  <c:v>30 jours ou moins</c:v>
                </c:pt>
                <c:pt idx="1">
                  <c:v>31 à 60 jours</c:v>
                </c:pt>
                <c:pt idx="2">
                  <c:v>61 à 120 jours</c:v>
                </c:pt>
                <c:pt idx="3">
                  <c:v>121 à 180 jours</c:v>
                </c:pt>
                <c:pt idx="4">
                  <c:v>181 à 365 jours</c:v>
                </c:pt>
                <c:pt idx="5">
                  <c:v>Plus de 365 jours</c:v>
                </c:pt>
              </c:strCache>
            </c:strRef>
          </c:cat>
          <c:val>
            <c:numRef>
              <c:f>IRCC!$H$3:$H$8</c:f>
              <c:numCache>
                <c:formatCode>0.00%</c:formatCode>
                <c:ptCount val="6"/>
                <c:pt idx="0">
                  <c:v>0.67198161053745853</c:v>
                </c:pt>
                <c:pt idx="1">
                  <c:v>0.23723866165578136</c:v>
                </c:pt>
                <c:pt idx="2">
                  <c:v>6.3998248622614662E-2</c:v>
                </c:pt>
                <c:pt idx="3">
                  <c:v>1.2478563870543956E-2</c:v>
                </c:pt>
                <c:pt idx="4">
                  <c:v>1.3062356332323865E-2</c:v>
                </c:pt>
                <c:pt idx="5">
                  <c:v>1.2405589812821609E-3</c:v>
                </c:pt>
              </c:numCache>
            </c:numRef>
          </c:val>
        </c:ser>
        <c:ser>
          <c:idx val="2"/>
          <c:order val="2"/>
          <c:tx>
            <c:strRef>
              <c:f>IRCC!$I$2</c:f>
              <c:strCache>
                <c:ptCount val="1"/>
                <c:pt idx="0">
                  <c:v>2014-2015</c:v>
                </c:pt>
              </c:strCache>
            </c:strRef>
          </c:tx>
          <c:spPr>
            <a:solidFill>
              <a:schemeClr val="accent5">
                <a:lumMod val="75000"/>
              </a:schemeClr>
            </a:solidFill>
          </c:spPr>
          <c:cat>
            <c:strRef>
              <c:f>IRCC!$F$3:$F$8</c:f>
              <c:strCache>
                <c:ptCount val="6"/>
                <c:pt idx="0">
                  <c:v>30 jours ou moins</c:v>
                </c:pt>
                <c:pt idx="1">
                  <c:v>31 à 60 jours</c:v>
                </c:pt>
                <c:pt idx="2">
                  <c:v>61 à 120 jours</c:v>
                </c:pt>
                <c:pt idx="3">
                  <c:v>121 à 180 jours</c:v>
                </c:pt>
                <c:pt idx="4">
                  <c:v>181 à 365 jours</c:v>
                </c:pt>
                <c:pt idx="5">
                  <c:v>Plus de 365 jours</c:v>
                </c:pt>
              </c:strCache>
            </c:strRef>
          </c:cat>
          <c:val>
            <c:numRef>
              <c:f>IRCC!$I$3:$I$8</c:f>
              <c:numCache>
                <c:formatCode>0.00%</c:formatCode>
                <c:ptCount val="6"/>
                <c:pt idx="0">
                  <c:v>0.69326452690609752</c:v>
                </c:pt>
                <c:pt idx="1">
                  <c:v>0.24510798234100944</c:v>
                </c:pt>
                <c:pt idx="2">
                  <c:v>3.7346378713757504E-2</c:v>
                </c:pt>
                <c:pt idx="3">
                  <c:v>8.3820546474168388E-3</c:v>
                </c:pt>
                <c:pt idx="4">
                  <c:v>1.0828063476912083E-2</c:v>
                </c:pt>
                <c:pt idx="5">
                  <c:v>5.0709939148073403E-3</c:v>
                </c:pt>
              </c:numCache>
            </c:numRef>
          </c:val>
        </c:ser>
        <c:dLbls/>
        <c:axId val="212753024"/>
        <c:axId val="216293760"/>
      </c:barChart>
      <c:catAx>
        <c:axId val="212753024"/>
        <c:scaling>
          <c:orientation val="minMax"/>
        </c:scaling>
        <c:axPos val="b"/>
        <c:numFmt formatCode="General" sourceLinked="0"/>
        <c:tickLblPos val="nextTo"/>
        <c:crossAx val="216293760"/>
        <c:crosses val="autoZero"/>
        <c:auto val="1"/>
        <c:lblAlgn val="ctr"/>
        <c:lblOffset val="100"/>
      </c:catAx>
      <c:valAx>
        <c:axId val="216293760"/>
        <c:scaling>
          <c:orientation val="minMax"/>
        </c:scaling>
        <c:axPos val="l"/>
        <c:majorGridlines/>
        <c:numFmt formatCode="0%" sourceLinked="0"/>
        <c:tickLblPos val="nextTo"/>
        <c:crossAx val="212753024"/>
        <c:crosses val="autoZero"/>
        <c:crossBetween val="between"/>
      </c:valAx>
    </c:plotArea>
    <c:legend>
      <c:legendPos val="b"/>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RCMP!$O$28</c:f>
              <c:strCache>
                <c:ptCount val="1"/>
                <c:pt idx="0">
                  <c:v>2012-2013</c:v>
                </c:pt>
              </c:strCache>
            </c:strRef>
          </c:tx>
          <c:spPr>
            <a:solidFill>
              <a:schemeClr val="bg1">
                <a:lumMod val="65000"/>
              </a:schemeClr>
            </a:solidFill>
          </c:spPr>
          <c:cat>
            <c:strRef>
              <c:f>RCMP!$N$29:$N$34</c:f>
              <c:strCache>
                <c:ptCount val="6"/>
                <c:pt idx="0">
                  <c:v>30 jours ou moins</c:v>
                </c:pt>
                <c:pt idx="1">
                  <c:v>31 à 60 jours</c:v>
                </c:pt>
                <c:pt idx="2">
                  <c:v>61 à 120 jours</c:v>
                </c:pt>
                <c:pt idx="3">
                  <c:v>121 à 180 jours</c:v>
                </c:pt>
                <c:pt idx="4">
                  <c:v>181 à 365 jours</c:v>
                </c:pt>
                <c:pt idx="5">
                  <c:v>Plus de 365 jours</c:v>
                </c:pt>
              </c:strCache>
            </c:strRef>
          </c:cat>
          <c:val>
            <c:numRef>
              <c:f>RCMP!$O$29:$O$34</c:f>
              <c:numCache>
                <c:formatCode>0.00%</c:formatCode>
                <c:ptCount val="6"/>
                <c:pt idx="0">
                  <c:v>0.36470588235294255</c:v>
                </c:pt>
                <c:pt idx="1">
                  <c:v>0.14117647058823529</c:v>
                </c:pt>
                <c:pt idx="2">
                  <c:v>0.30588235294117688</c:v>
                </c:pt>
                <c:pt idx="3">
                  <c:v>0.12941176470588239</c:v>
                </c:pt>
                <c:pt idx="4">
                  <c:v>3.5294117647058851E-2</c:v>
                </c:pt>
                <c:pt idx="5">
                  <c:v>2.3529411764705879E-2</c:v>
                </c:pt>
              </c:numCache>
            </c:numRef>
          </c:val>
        </c:ser>
        <c:ser>
          <c:idx val="1"/>
          <c:order val="1"/>
          <c:tx>
            <c:strRef>
              <c:f>RCMP!$P$28</c:f>
              <c:strCache>
                <c:ptCount val="1"/>
                <c:pt idx="0">
                  <c:v>2013-2014</c:v>
                </c:pt>
              </c:strCache>
            </c:strRef>
          </c:tx>
          <c:spPr>
            <a:solidFill>
              <a:srgbClr val="FFC000"/>
            </a:solidFill>
          </c:spPr>
          <c:cat>
            <c:strRef>
              <c:f>RCMP!$N$29:$N$34</c:f>
              <c:strCache>
                <c:ptCount val="6"/>
                <c:pt idx="0">
                  <c:v>30 jours ou moins</c:v>
                </c:pt>
                <c:pt idx="1">
                  <c:v>31 à 60 jours</c:v>
                </c:pt>
                <c:pt idx="2">
                  <c:v>61 à 120 jours</c:v>
                </c:pt>
                <c:pt idx="3">
                  <c:v>121 à 180 jours</c:v>
                </c:pt>
                <c:pt idx="4">
                  <c:v>181 à 365 jours</c:v>
                </c:pt>
                <c:pt idx="5">
                  <c:v>Plus de 365 jours</c:v>
                </c:pt>
              </c:strCache>
            </c:strRef>
          </c:cat>
          <c:val>
            <c:numRef>
              <c:f>RCMP!$P$29:$P$34</c:f>
              <c:numCache>
                <c:formatCode>0.00%</c:formatCode>
                <c:ptCount val="6"/>
                <c:pt idx="0">
                  <c:v>0.23577235772357719</c:v>
                </c:pt>
                <c:pt idx="1">
                  <c:v>0.31707317073170732</c:v>
                </c:pt>
                <c:pt idx="2">
                  <c:v>0.23577235772357719</c:v>
                </c:pt>
                <c:pt idx="3">
                  <c:v>0.17886178861788621</c:v>
                </c:pt>
                <c:pt idx="4">
                  <c:v>3.2520325203252036E-2</c:v>
                </c:pt>
                <c:pt idx="5">
                  <c:v>0</c:v>
                </c:pt>
              </c:numCache>
            </c:numRef>
          </c:val>
        </c:ser>
        <c:ser>
          <c:idx val="2"/>
          <c:order val="2"/>
          <c:tx>
            <c:strRef>
              <c:f>RCMP!$Q$28</c:f>
              <c:strCache>
                <c:ptCount val="1"/>
                <c:pt idx="0">
                  <c:v>2014-2015</c:v>
                </c:pt>
              </c:strCache>
            </c:strRef>
          </c:tx>
          <c:spPr>
            <a:solidFill>
              <a:schemeClr val="accent5">
                <a:lumMod val="75000"/>
              </a:schemeClr>
            </a:solidFill>
          </c:spPr>
          <c:cat>
            <c:strRef>
              <c:f>RCMP!$N$29:$N$34</c:f>
              <c:strCache>
                <c:ptCount val="6"/>
                <c:pt idx="0">
                  <c:v>30 jours ou moins</c:v>
                </c:pt>
                <c:pt idx="1">
                  <c:v>31 à 60 jours</c:v>
                </c:pt>
                <c:pt idx="2">
                  <c:v>61 à 120 jours</c:v>
                </c:pt>
                <c:pt idx="3">
                  <c:v>121 à 180 jours</c:v>
                </c:pt>
                <c:pt idx="4">
                  <c:v>181 à 365 jours</c:v>
                </c:pt>
                <c:pt idx="5">
                  <c:v>Plus de 365 jours</c:v>
                </c:pt>
              </c:strCache>
            </c:strRef>
          </c:cat>
          <c:val>
            <c:numRef>
              <c:f>RCMP!$Q$29:$Q$34</c:f>
              <c:numCache>
                <c:formatCode>0.00%</c:formatCode>
                <c:ptCount val="6"/>
                <c:pt idx="0">
                  <c:v>0.32313575525812621</c:v>
                </c:pt>
                <c:pt idx="1">
                  <c:v>0.34416826003824197</c:v>
                </c:pt>
                <c:pt idx="2">
                  <c:v>0.15487571701720843</c:v>
                </c:pt>
                <c:pt idx="3">
                  <c:v>0.14531548757170265</c:v>
                </c:pt>
                <c:pt idx="4">
                  <c:v>2.8680688336520075E-2</c:v>
                </c:pt>
                <c:pt idx="5">
                  <c:v>3.8240917782026967E-3</c:v>
                </c:pt>
              </c:numCache>
            </c:numRef>
          </c:val>
        </c:ser>
        <c:dLbls/>
        <c:axId val="244834304"/>
        <c:axId val="244835840"/>
      </c:barChart>
      <c:catAx>
        <c:axId val="244834304"/>
        <c:scaling>
          <c:orientation val="minMax"/>
        </c:scaling>
        <c:axPos val="b"/>
        <c:numFmt formatCode="General" sourceLinked="0"/>
        <c:tickLblPos val="nextTo"/>
        <c:crossAx val="244835840"/>
        <c:crosses val="autoZero"/>
        <c:auto val="1"/>
        <c:lblAlgn val="ctr"/>
        <c:lblOffset val="100"/>
      </c:catAx>
      <c:valAx>
        <c:axId val="244835840"/>
        <c:scaling>
          <c:orientation val="minMax"/>
        </c:scaling>
        <c:axPos val="l"/>
        <c:majorGridlines/>
        <c:numFmt formatCode="0%" sourceLinked="0"/>
        <c:tickLblPos val="nextTo"/>
        <c:crossAx val="244834304"/>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RCMP!$L$56</c:f>
              <c:strCache>
                <c:ptCount val="1"/>
                <c:pt idx="0">
                  <c:v>2014-2015</c:v>
                </c:pt>
              </c:strCache>
            </c:strRef>
          </c:tx>
          <c:dPt>
            <c:idx val="0"/>
            <c:spPr>
              <a:solidFill>
                <a:schemeClr val="accent5">
                  <a:lumMod val="75000"/>
                </a:schemeClr>
              </a:solidFill>
            </c:spPr>
          </c:dPt>
          <c:dPt>
            <c:idx val="1"/>
            <c:spPr>
              <a:solidFill>
                <a:schemeClr val="bg1">
                  <a:lumMod val="50000"/>
                </a:schemeClr>
              </a:solidFill>
            </c:spPr>
          </c:dPt>
          <c:dPt>
            <c:idx val="2"/>
            <c:spPr>
              <a:solidFill>
                <a:schemeClr val="accent5">
                  <a:lumMod val="60000"/>
                  <a:lumOff val="40000"/>
                </a:schemeClr>
              </a:solidFill>
            </c:spPr>
          </c:dPt>
          <c:dPt>
            <c:idx val="3"/>
            <c:spPr>
              <a:solidFill>
                <a:schemeClr val="accent5">
                  <a:lumMod val="50000"/>
                </a:schemeClr>
              </a:solidFill>
            </c:spPr>
          </c:dPt>
          <c:dPt>
            <c:idx val="4"/>
            <c:spPr>
              <a:solidFill>
                <a:schemeClr val="accent6">
                  <a:lumMod val="50000"/>
                </a:schemeClr>
              </a:solidFill>
            </c:spPr>
          </c:dPt>
          <c:dPt>
            <c:idx val="6"/>
            <c:spPr>
              <a:solidFill>
                <a:schemeClr val="accent3">
                  <a:lumMod val="50000"/>
                </a:schemeClr>
              </a:solidFill>
            </c:spPr>
          </c:dPt>
          <c:dLbls>
            <c:dLbl>
              <c:idx val="0"/>
              <c:layout>
                <c:manualLayout>
                  <c:x val="8.8917491082845471E-3"/>
                  <c:y val="3.1279821566676559E-2"/>
                </c:manualLayout>
              </c:layout>
              <c:tx>
                <c:rich>
                  <a:bodyPr/>
                  <a:lstStyle/>
                  <a:p>
                    <a:r>
                      <a:rPr lang="en-US"/>
                      <a:t>19,58 %</a:t>
                    </a:r>
                  </a:p>
                </c:rich>
              </c:tx>
              <c:showPercent val="1"/>
              <c:extLst>
                <c:ext xmlns:c15="http://schemas.microsoft.com/office/drawing/2012/chart" uri="{CE6537A1-D6FC-4f65-9D91-7224C49458BB}">
                  <c15:layout/>
                </c:ext>
              </c:extLst>
            </c:dLbl>
            <c:dLbl>
              <c:idx val="1"/>
              <c:layout>
                <c:manualLayout>
                  <c:x val="-5.5688233323961797E-3"/>
                  <c:y val="5.6968654446246591E-4"/>
                </c:manualLayout>
              </c:layout>
              <c:tx>
                <c:rich>
                  <a:bodyPr/>
                  <a:lstStyle/>
                  <a:p>
                    <a:r>
                      <a:rPr lang="en-US"/>
                      <a:t>10,95 %</a:t>
                    </a:r>
                  </a:p>
                </c:rich>
              </c:tx>
              <c:showPercent val="1"/>
              <c:extLst>
                <c:ext xmlns:c15="http://schemas.microsoft.com/office/drawing/2012/chart" uri="{CE6537A1-D6FC-4f65-9D91-7224C49458BB}">
                  <c15:layout/>
                </c:ext>
              </c:extLst>
            </c:dLbl>
            <c:dLbl>
              <c:idx val="2"/>
              <c:layout>
                <c:manualLayout>
                  <c:x val="9.4547761978997866E-3"/>
                  <c:y val="-8.3531496544827014E-3"/>
                </c:manualLayout>
              </c:layout>
              <c:tx>
                <c:rich>
                  <a:bodyPr/>
                  <a:lstStyle/>
                  <a:p>
                    <a:r>
                      <a:rPr lang="en-US"/>
                      <a:t>14,53 %</a:t>
                    </a:r>
                  </a:p>
                </c:rich>
              </c:tx>
              <c:showPercent val="1"/>
              <c:extLst>
                <c:ext xmlns:c15="http://schemas.microsoft.com/office/drawing/2012/chart" uri="{CE6537A1-D6FC-4f65-9D91-7224C49458BB}">
                  <c15:layout/>
                </c:ext>
              </c:extLst>
            </c:dLbl>
            <c:dLbl>
              <c:idx val="3"/>
              <c:layout>
                <c:manualLayout>
                  <c:x val="2.4468335688808138E-3"/>
                  <c:y val="5.7215337917572067E-3"/>
                </c:manualLayout>
              </c:layout>
              <c:tx>
                <c:rich>
                  <a:bodyPr/>
                  <a:lstStyle/>
                  <a:p>
                    <a:r>
                      <a:rPr lang="en-US"/>
                      <a:t>12,63 %</a:t>
                    </a:r>
                  </a:p>
                </c:rich>
              </c:tx>
              <c:showPercent val="1"/>
              <c:extLst>
                <c:ext xmlns:c15="http://schemas.microsoft.com/office/drawing/2012/chart" uri="{CE6537A1-D6FC-4f65-9D91-7224C49458BB}">
                  <c15:layout/>
                </c:ext>
              </c:extLst>
            </c:dLbl>
            <c:dLbl>
              <c:idx val="4"/>
              <c:layout>
                <c:manualLayout>
                  <c:x val="4.1746419045338825E-3"/>
                  <c:y val="2.5104830772922223E-4"/>
                </c:manualLayout>
              </c:layout>
              <c:tx>
                <c:rich>
                  <a:bodyPr/>
                  <a:lstStyle/>
                  <a:p>
                    <a:r>
                      <a:rPr lang="en-US"/>
                      <a:t>7,26 %</a:t>
                    </a:r>
                  </a:p>
                </c:rich>
              </c:tx>
              <c:showPercent val="1"/>
              <c:extLst>
                <c:ext xmlns:c15="http://schemas.microsoft.com/office/drawing/2012/chart" uri="{CE6537A1-D6FC-4f65-9D91-7224C49458BB}">
                  <c15:layout/>
                </c:ext>
              </c:extLst>
            </c:dLbl>
            <c:dLbl>
              <c:idx val="5"/>
              <c:layout>
                <c:manualLayout>
                  <c:x val="1.0913017336810835E-2"/>
                  <c:y val="-7.1384137947182832E-2"/>
                </c:manualLayout>
              </c:layout>
              <c:tx>
                <c:rich>
                  <a:bodyPr/>
                  <a:lstStyle/>
                  <a:p>
                    <a:r>
                      <a:rPr lang="en-US"/>
                      <a:t>22,00 %</a:t>
                    </a:r>
                  </a:p>
                </c:rich>
              </c:tx>
              <c:showPercent val="1"/>
              <c:extLst>
                <c:ext xmlns:c15="http://schemas.microsoft.com/office/drawing/2012/chart" uri="{CE6537A1-D6FC-4f65-9D91-7224C49458BB}">
                  <c15:layout/>
                </c:ext>
              </c:extLst>
            </c:dLbl>
            <c:dLbl>
              <c:idx val="6"/>
              <c:layout>
                <c:manualLayout>
                  <c:x val="2.4204186015209643E-3"/>
                  <c:y val="1.3956756142760684E-2"/>
                </c:manualLayout>
              </c:layout>
              <c:tx>
                <c:rich>
                  <a:bodyPr/>
                  <a:lstStyle/>
                  <a:p>
                    <a:r>
                      <a:rPr lang="en-US"/>
                      <a:t>13,05 %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RCMP!$K$57:$K$63</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RCMP!$L$57:$L$63</c:f>
              <c:numCache>
                <c:formatCode>General</c:formatCode>
                <c:ptCount val="7"/>
                <c:pt idx="0">
                  <c:v>186</c:v>
                </c:pt>
                <c:pt idx="1">
                  <c:v>104</c:v>
                </c:pt>
                <c:pt idx="2">
                  <c:v>138</c:v>
                </c:pt>
                <c:pt idx="3">
                  <c:v>120</c:v>
                </c:pt>
                <c:pt idx="4">
                  <c:v>69</c:v>
                </c:pt>
                <c:pt idx="5">
                  <c:v>209</c:v>
                </c:pt>
                <c:pt idx="6">
                  <c:v>124</c:v>
                </c:pt>
              </c:numCache>
            </c:numRef>
          </c:val>
        </c:ser>
        <c:dLbls/>
        <c:firstSliceAng val="0"/>
      </c:pieChart>
    </c:plotArea>
    <c:legend>
      <c:legendPos val="r"/>
    </c:legend>
    <c:plotVisOnly val="1"/>
    <c:dispBlanksAs val="zero"/>
  </c:chart>
  <c:txPr>
    <a:bodyPr/>
    <a:lstStyle/>
    <a:p>
      <a:pPr>
        <a:defRPr sz="110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RCMP!$N$85</c:f>
              <c:strCache>
                <c:ptCount val="1"/>
                <c:pt idx="0">
                  <c:v>2012-2013</c:v>
                </c:pt>
              </c:strCache>
            </c:strRef>
          </c:tx>
          <c:spPr>
            <a:solidFill>
              <a:schemeClr val="bg1">
                <a:lumMod val="65000"/>
              </a:schemeClr>
            </a:solidFill>
          </c:spPr>
          <c:cat>
            <c:strRef>
              <c:f>RCMP!$M$86:$M$87</c:f>
              <c:strCache>
                <c:ptCount val="2"/>
                <c:pt idx="0">
                  <c:v>Divulgation complète </c:v>
                </c:pt>
                <c:pt idx="1">
                  <c:v>Divulgation partielle </c:v>
                </c:pt>
              </c:strCache>
            </c:strRef>
          </c:cat>
          <c:val>
            <c:numRef>
              <c:f>RCMP!$N$86:$N$87</c:f>
              <c:numCache>
                <c:formatCode>0.00%</c:formatCode>
                <c:ptCount val="2"/>
                <c:pt idx="0">
                  <c:v>0.1335372069317024</c:v>
                </c:pt>
                <c:pt idx="1">
                  <c:v>0.39755351681957285</c:v>
                </c:pt>
              </c:numCache>
            </c:numRef>
          </c:val>
        </c:ser>
        <c:ser>
          <c:idx val="1"/>
          <c:order val="1"/>
          <c:tx>
            <c:strRef>
              <c:f>RCMP!$O$85</c:f>
              <c:strCache>
                <c:ptCount val="1"/>
                <c:pt idx="0">
                  <c:v>2013-2014</c:v>
                </c:pt>
              </c:strCache>
            </c:strRef>
          </c:tx>
          <c:spPr>
            <a:solidFill>
              <a:srgbClr val="FFC000"/>
            </a:solidFill>
          </c:spPr>
          <c:cat>
            <c:strRef>
              <c:f>RCMP!$M$86:$M$87</c:f>
              <c:strCache>
                <c:ptCount val="2"/>
                <c:pt idx="0">
                  <c:v>Divulgation complète </c:v>
                </c:pt>
                <c:pt idx="1">
                  <c:v>Divulgation partielle </c:v>
                </c:pt>
              </c:strCache>
            </c:strRef>
          </c:cat>
          <c:val>
            <c:numRef>
              <c:f>RCMP!$O$86:$O$87</c:f>
              <c:numCache>
                <c:formatCode>0.00%</c:formatCode>
                <c:ptCount val="2"/>
                <c:pt idx="0">
                  <c:v>0.12016412661195815</c:v>
                </c:pt>
                <c:pt idx="1">
                  <c:v>0.44783118405627176</c:v>
                </c:pt>
              </c:numCache>
            </c:numRef>
          </c:val>
        </c:ser>
        <c:ser>
          <c:idx val="2"/>
          <c:order val="2"/>
          <c:tx>
            <c:strRef>
              <c:f>RCMP!$P$85</c:f>
              <c:strCache>
                <c:ptCount val="1"/>
                <c:pt idx="0">
                  <c:v>2014-2015</c:v>
                </c:pt>
              </c:strCache>
            </c:strRef>
          </c:tx>
          <c:spPr>
            <a:solidFill>
              <a:schemeClr val="accent5">
                <a:lumMod val="75000"/>
              </a:schemeClr>
            </a:solidFill>
          </c:spPr>
          <c:cat>
            <c:strRef>
              <c:f>RCMP!$M$86:$M$87</c:f>
              <c:strCache>
                <c:ptCount val="2"/>
                <c:pt idx="0">
                  <c:v>Divulgation complète </c:v>
                </c:pt>
                <c:pt idx="1">
                  <c:v>Divulgation partielle </c:v>
                </c:pt>
              </c:strCache>
            </c:strRef>
          </c:cat>
          <c:val>
            <c:numRef>
              <c:f>RCMP!$P$86:$P$87</c:f>
              <c:numCache>
                <c:formatCode>0.0%</c:formatCode>
                <c:ptCount val="2"/>
                <c:pt idx="0" formatCode="0.00%">
                  <c:v>9.028605482717518E-2</c:v>
                </c:pt>
                <c:pt idx="1">
                  <c:v>0.48688915375447139</c:v>
                </c:pt>
              </c:numCache>
            </c:numRef>
          </c:val>
        </c:ser>
        <c:dLbls/>
        <c:axId val="244985216"/>
        <c:axId val="244999296"/>
      </c:barChart>
      <c:catAx>
        <c:axId val="244985216"/>
        <c:scaling>
          <c:orientation val="minMax"/>
        </c:scaling>
        <c:axPos val="b"/>
        <c:numFmt formatCode="General" sourceLinked="0"/>
        <c:tickLblPos val="nextTo"/>
        <c:crossAx val="244999296"/>
        <c:crosses val="autoZero"/>
        <c:auto val="1"/>
        <c:lblAlgn val="ctr"/>
        <c:lblOffset val="100"/>
      </c:catAx>
      <c:valAx>
        <c:axId val="244999296"/>
        <c:scaling>
          <c:orientation val="minMax"/>
        </c:scaling>
        <c:axPos val="l"/>
        <c:majorGridlines/>
        <c:numFmt formatCode="0%" sourceLinked="0"/>
        <c:tickLblPos val="nextTo"/>
        <c:crossAx val="244985216"/>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CRA!$K$2</c:f>
              <c:strCache>
                <c:ptCount val="1"/>
                <c:pt idx="0">
                  <c:v>2012-2013</c:v>
                </c:pt>
              </c:strCache>
            </c:strRef>
          </c:tx>
          <c:spPr>
            <a:solidFill>
              <a:schemeClr val="bg1">
                <a:lumMod val="65000"/>
              </a:schemeClr>
            </a:solidFill>
          </c:spPr>
          <c:cat>
            <c:strRef>
              <c:f>CRA!$J$3:$J$8</c:f>
              <c:strCache>
                <c:ptCount val="6"/>
                <c:pt idx="0">
                  <c:v>30 jours ou moins</c:v>
                </c:pt>
                <c:pt idx="1">
                  <c:v>31 à 60 jours</c:v>
                </c:pt>
                <c:pt idx="2">
                  <c:v>61 à 120 jours</c:v>
                </c:pt>
                <c:pt idx="3">
                  <c:v>121 à 180 jours</c:v>
                </c:pt>
                <c:pt idx="4">
                  <c:v>181 à 365 jours</c:v>
                </c:pt>
                <c:pt idx="5">
                  <c:v>Plus de 365 jours</c:v>
                </c:pt>
              </c:strCache>
            </c:strRef>
          </c:cat>
          <c:val>
            <c:numRef>
              <c:f>CRA!$K$3:$K$8</c:f>
              <c:numCache>
                <c:formatCode>0.00%</c:formatCode>
                <c:ptCount val="6"/>
                <c:pt idx="0">
                  <c:v>0.48520000000000002</c:v>
                </c:pt>
                <c:pt idx="1">
                  <c:v>0.2601</c:v>
                </c:pt>
                <c:pt idx="2">
                  <c:v>0.13489999999999999</c:v>
                </c:pt>
                <c:pt idx="3">
                  <c:v>3.9200000000000082E-2</c:v>
                </c:pt>
                <c:pt idx="4">
                  <c:v>3.6700000000000052E-2</c:v>
                </c:pt>
                <c:pt idx="5">
                  <c:v>4.3800000000000033E-2</c:v>
                </c:pt>
              </c:numCache>
            </c:numRef>
          </c:val>
        </c:ser>
        <c:ser>
          <c:idx val="1"/>
          <c:order val="1"/>
          <c:tx>
            <c:strRef>
              <c:f>CRA!$L$2</c:f>
              <c:strCache>
                <c:ptCount val="1"/>
                <c:pt idx="0">
                  <c:v>2013-2014</c:v>
                </c:pt>
              </c:strCache>
            </c:strRef>
          </c:tx>
          <c:spPr>
            <a:solidFill>
              <a:srgbClr val="FFC000"/>
            </a:solidFill>
          </c:spPr>
          <c:cat>
            <c:strRef>
              <c:f>CRA!$J$3:$J$8</c:f>
              <c:strCache>
                <c:ptCount val="6"/>
                <c:pt idx="0">
                  <c:v>30 jours ou moins</c:v>
                </c:pt>
                <c:pt idx="1">
                  <c:v>31 à 60 jours</c:v>
                </c:pt>
                <c:pt idx="2">
                  <c:v>61 à 120 jours</c:v>
                </c:pt>
                <c:pt idx="3">
                  <c:v>121 à 180 jours</c:v>
                </c:pt>
                <c:pt idx="4">
                  <c:v>181 à 365 jours</c:v>
                </c:pt>
                <c:pt idx="5">
                  <c:v>Plus de 365 jours</c:v>
                </c:pt>
              </c:strCache>
            </c:strRef>
          </c:cat>
          <c:val>
            <c:numRef>
              <c:f>CRA!$L$3:$L$8</c:f>
              <c:numCache>
                <c:formatCode>0.00%</c:formatCode>
                <c:ptCount val="6"/>
                <c:pt idx="0">
                  <c:v>0.48050000000000032</c:v>
                </c:pt>
                <c:pt idx="1">
                  <c:v>0.22250000000000014</c:v>
                </c:pt>
                <c:pt idx="2">
                  <c:v>0.20569999999999999</c:v>
                </c:pt>
                <c:pt idx="3">
                  <c:v>4.4000000000000095E-2</c:v>
                </c:pt>
                <c:pt idx="4">
                  <c:v>2.8600000000000042E-2</c:v>
                </c:pt>
                <c:pt idx="5">
                  <c:v>1.8599999999999998E-2</c:v>
                </c:pt>
              </c:numCache>
            </c:numRef>
          </c:val>
        </c:ser>
        <c:ser>
          <c:idx val="2"/>
          <c:order val="2"/>
          <c:tx>
            <c:strRef>
              <c:f>CRA!$M$2</c:f>
              <c:strCache>
                <c:ptCount val="1"/>
                <c:pt idx="0">
                  <c:v>2014-2015</c:v>
                </c:pt>
              </c:strCache>
            </c:strRef>
          </c:tx>
          <c:spPr>
            <a:solidFill>
              <a:schemeClr val="accent5">
                <a:lumMod val="75000"/>
              </a:schemeClr>
            </a:solidFill>
          </c:spPr>
          <c:cat>
            <c:strRef>
              <c:f>CRA!$J$3:$J$8</c:f>
              <c:strCache>
                <c:ptCount val="6"/>
                <c:pt idx="0">
                  <c:v>30 jours ou moins</c:v>
                </c:pt>
                <c:pt idx="1">
                  <c:v>31 à 60 jours</c:v>
                </c:pt>
                <c:pt idx="2">
                  <c:v>61 à 120 jours</c:v>
                </c:pt>
                <c:pt idx="3">
                  <c:v>121 à 180 jours</c:v>
                </c:pt>
                <c:pt idx="4">
                  <c:v>181 à 365 jours</c:v>
                </c:pt>
                <c:pt idx="5">
                  <c:v>Plus de 365 jours</c:v>
                </c:pt>
              </c:strCache>
            </c:strRef>
          </c:cat>
          <c:val>
            <c:numRef>
              <c:f>CRA!$M$3:$M$8</c:f>
              <c:numCache>
                <c:formatCode>0.00%</c:formatCode>
                <c:ptCount val="6"/>
                <c:pt idx="0">
                  <c:v>0.52810999999999997</c:v>
                </c:pt>
                <c:pt idx="1">
                  <c:v>0.20727000000000001</c:v>
                </c:pt>
                <c:pt idx="2">
                  <c:v>0.15670000000000045</c:v>
                </c:pt>
                <c:pt idx="3">
                  <c:v>5.9600000000000077E-2</c:v>
                </c:pt>
                <c:pt idx="4">
                  <c:v>3.4900000000000014E-2</c:v>
                </c:pt>
                <c:pt idx="5">
                  <c:v>1.3500000000000043E-2</c:v>
                </c:pt>
              </c:numCache>
            </c:numRef>
          </c:val>
        </c:ser>
        <c:dLbls/>
        <c:axId val="246089216"/>
        <c:axId val="246090752"/>
      </c:barChart>
      <c:catAx>
        <c:axId val="246089216"/>
        <c:scaling>
          <c:orientation val="minMax"/>
        </c:scaling>
        <c:axPos val="b"/>
        <c:numFmt formatCode="General" sourceLinked="0"/>
        <c:tickLblPos val="nextTo"/>
        <c:crossAx val="246090752"/>
        <c:crosses val="autoZero"/>
        <c:auto val="1"/>
        <c:lblAlgn val="ctr"/>
        <c:lblOffset val="100"/>
      </c:catAx>
      <c:valAx>
        <c:axId val="246090752"/>
        <c:scaling>
          <c:orientation val="minMax"/>
        </c:scaling>
        <c:axPos val="l"/>
        <c:majorGridlines/>
        <c:numFmt formatCode="0%" sourceLinked="0"/>
        <c:tickLblPos val="nextTo"/>
        <c:crossAx val="246089216"/>
        <c:crosses val="autoZero"/>
        <c:crossBetween val="between"/>
      </c:valAx>
    </c:plotArea>
    <c:legend>
      <c:legendPos val="b"/>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CRA!$K$29</c:f>
              <c:strCache>
                <c:ptCount val="1"/>
                <c:pt idx="0">
                  <c:v>2012-2013</c:v>
                </c:pt>
              </c:strCache>
            </c:strRef>
          </c:tx>
          <c:spPr>
            <a:solidFill>
              <a:schemeClr val="bg1">
                <a:lumMod val="65000"/>
              </a:schemeClr>
            </a:solidFill>
          </c:spPr>
          <c:cat>
            <c:strRef>
              <c:f>CRA!$J$30:$J$35</c:f>
              <c:strCache>
                <c:ptCount val="6"/>
                <c:pt idx="0">
                  <c:v>30 jours ou moins</c:v>
                </c:pt>
                <c:pt idx="1">
                  <c:v>31 à 60 jours</c:v>
                </c:pt>
                <c:pt idx="2">
                  <c:v>61 à 120 jours</c:v>
                </c:pt>
                <c:pt idx="3">
                  <c:v>121 à 180 jours</c:v>
                </c:pt>
                <c:pt idx="4">
                  <c:v>181 à 365 jours</c:v>
                </c:pt>
                <c:pt idx="5">
                  <c:v>Plus de 365 jours</c:v>
                </c:pt>
              </c:strCache>
            </c:strRef>
          </c:cat>
          <c:val>
            <c:numRef>
              <c:f>CRA!$K$30:$K$35</c:f>
              <c:numCache>
                <c:formatCode>0.00%</c:formatCode>
                <c:ptCount val="6"/>
                <c:pt idx="0">
                  <c:v>0.5948</c:v>
                </c:pt>
                <c:pt idx="1">
                  <c:v>0.21560000000000001</c:v>
                </c:pt>
                <c:pt idx="2">
                  <c:v>0.14850000000000024</c:v>
                </c:pt>
                <c:pt idx="3">
                  <c:v>2.8799999999999999E-2</c:v>
                </c:pt>
                <c:pt idx="4">
                  <c:v>1.1500000000000038E-2</c:v>
                </c:pt>
                <c:pt idx="5">
                  <c:v>7.0000000000000184E-4</c:v>
                </c:pt>
              </c:numCache>
            </c:numRef>
          </c:val>
        </c:ser>
        <c:ser>
          <c:idx val="1"/>
          <c:order val="1"/>
          <c:tx>
            <c:strRef>
              <c:f>CRA!$L$29</c:f>
              <c:strCache>
                <c:ptCount val="1"/>
                <c:pt idx="0">
                  <c:v>2013-2014</c:v>
                </c:pt>
              </c:strCache>
            </c:strRef>
          </c:tx>
          <c:spPr>
            <a:solidFill>
              <a:srgbClr val="FFC000"/>
            </a:solidFill>
          </c:spPr>
          <c:cat>
            <c:strRef>
              <c:f>CRA!$J$30:$J$35</c:f>
              <c:strCache>
                <c:ptCount val="6"/>
                <c:pt idx="0">
                  <c:v>30 jours ou moins</c:v>
                </c:pt>
                <c:pt idx="1">
                  <c:v>31 à 60 jours</c:v>
                </c:pt>
                <c:pt idx="2">
                  <c:v>61 à 120 jours</c:v>
                </c:pt>
                <c:pt idx="3">
                  <c:v>121 à 180 jours</c:v>
                </c:pt>
                <c:pt idx="4">
                  <c:v>181 à 365 jours</c:v>
                </c:pt>
                <c:pt idx="5">
                  <c:v>Plus de 365 jours</c:v>
                </c:pt>
              </c:strCache>
            </c:strRef>
          </c:cat>
          <c:val>
            <c:numRef>
              <c:f>CRA!$L$30:$L$35</c:f>
              <c:numCache>
                <c:formatCode>0.00%</c:formatCode>
                <c:ptCount val="6"/>
                <c:pt idx="0">
                  <c:v>0.39870000000000072</c:v>
                </c:pt>
                <c:pt idx="1">
                  <c:v>0.34660000000000002</c:v>
                </c:pt>
                <c:pt idx="2">
                  <c:v>0.20419999999999999</c:v>
                </c:pt>
                <c:pt idx="3">
                  <c:v>3.6600000000000042E-2</c:v>
                </c:pt>
                <c:pt idx="4">
                  <c:v>1.2200000000000001E-2</c:v>
                </c:pt>
                <c:pt idx="5">
                  <c:v>1.6000000000000048E-3</c:v>
                </c:pt>
              </c:numCache>
            </c:numRef>
          </c:val>
        </c:ser>
        <c:ser>
          <c:idx val="2"/>
          <c:order val="2"/>
          <c:tx>
            <c:strRef>
              <c:f>CRA!$M$29</c:f>
              <c:strCache>
                <c:ptCount val="1"/>
                <c:pt idx="0">
                  <c:v>2014-2015</c:v>
                </c:pt>
              </c:strCache>
            </c:strRef>
          </c:tx>
          <c:spPr>
            <a:solidFill>
              <a:schemeClr val="accent5">
                <a:lumMod val="75000"/>
              </a:schemeClr>
            </a:solidFill>
            <a:ln>
              <a:solidFill>
                <a:schemeClr val="accent5">
                  <a:lumMod val="75000"/>
                </a:schemeClr>
              </a:solidFill>
            </a:ln>
          </c:spPr>
          <c:cat>
            <c:strRef>
              <c:f>CRA!$J$30:$J$35</c:f>
              <c:strCache>
                <c:ptCount val="6"/>
                <c:pt idx="0">
                  <c:v>30 jours ou moins</c:v>
                </c:pt>
                <c:pt idx="1">
                  <c:v>31 à 60 jours</c:v>
                </c:pt>
                <c:pt idx="2">
                  <c:v>61 à 120 jours</c:v>
                </c:pt>
                <c:pt idx="3">
                  <c:v>121 à 180 jours</c:v>
                </c:pt>
                <c:pt idx="4">
                  <c:v>181 à 365 jours</c:v>
                </c:pt>
                <c:pt idx="5">
                  <c:v>Plus de 365 jours</c:v>
                </c:pt>
              </c:strCache>
            </c:strRef>
          </c:cat>
          <c:val>
            <c:numRef>
              <c:f>CRA!$M$30:$M$35</c:f>
              <c:numCache>
                <c:formatCode>0.00%</c:formatCode>
                <c:ptCount val="6"/>
                <c:pt idx="0">
                  <c:v>0.50139999999999996</c:v>
                </c:pt>
                <c:pt idx="1">
                  <c:v>0.26929999999999998</c:v>
                </c:pt>
                <c:pt idx="2">
                  <c:v>0.17680000000000001</c:v>
                </c:pt>
                <c:pt idx="3">
                  <c:v>3.5400000000000001E-2</c:v>
                </c:pt>
                <c:pt idx="4">
                  <c:v>1.72E-2</c:v>
                </c:pt>
                <c:pt idx="5">
                  <c:v>9.0000000000000247E-4</c:v>
                </c:pt>
              </c:numCache>
            </c:numRef>
          </c:val>
        </c:ser>
        <c:dLbls/>
        <c:axId val="246129792"/>
        <c:axId val="246131328"/>
      </c:barChart>
      <c:catAx>
        <c:axId val="246129792"/>
        <c:scaling>
          <c:orientation val="minMax"/>
        </c:scaling>
        <c:axPos val="b"/>
        <c:numFmt formatCode="General" sourceLinked="0"/>
        <c:tickLblPos val="nextTo"/>
        <c:crossAx val="246131328"/>
        <c:crosses val="autoZero"/>
        <c:auto val="1"/>
        <c:lblAlgn val="ctr"/>
        <c:lblOffset val="100"/>
      </c:catAx>
      <c:valAx>
        <c:axId val="246131328"/>
        <c:scaling>
          <c:orientation val="minMax"/>
        </c:scaling>
        <c:axPos val="l"/>
        <c:majorGridlines/>
        <c:numFmt formatCode="0%" sourceLinked="0"/>
        <c:tickLblPos val="nextTo"/>
        <c:crossAx val="246129792"/>
        <c:crosses val="autoZero"/>
        <c:crossBetween val="between"/>
      </c:valAx>
    </c:plotArea>
    <c:legend>
      <c:legendPos val="b"/>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CRA!$K$56</c:f>
              <c:strCache>
                <c:ptCount val="1"/>
                <c:pt idx="0">
                  <c:v>2014-2015</c:v>
                </c:pt>
              </c:strCache>
            </c:strRef>
          </c:tx>
          <c:dPt>
            <c:idx val="0"/>
            <c:spPr>
              <a:solidFill>
                <a:schemeClr val="accent5">
                  <a:lumMod val="75000"/>
                </a:schemeClr>
              </a:solidFill>
            </c:spPr>
          </c:dPt>
          <c:dPt>
            <c:idx val="1"/>
            <c:spPr>
              <a:solidFill>
                <a:schemeClr val="accent5">
                  <a:lumMod val="50000"/>
                </a:schemeClr>
              </a:solidFill>
            </c:spPr>
          </c:dPt>
          <c:dPt>
            <c:idx val="3"/>
            <c:spPr>
              <a:solidFill>
                <a:schemeClr val="tx1">
                  <a:lumMod val="75000"/>
                  <a:lumOff val="25000"/>
                </a:schemeClr>
              </a:solidFill>
            </c:spPr>
          </c:dPt>
          <c:dPt>
            <c:idx val="4"/>
            <c:spPr>
              <a:solidFill>
                <a:schemeClr val="accent6">
                  <a:lumMod val="50000"/>
                </a:schemeClr>
              </a:solidFill>
            </c:spPr>
          </c:dPt>
          <c:dPt>
            <c:idx val="6"/>
            <c:spPr>
              <a:solidFill>
                <a:schemeClr val="accent5">
                  <a:lumMod val="60000"/>
                  <a:lumOff val="40000"/>
                </a:schemeClr>
              </a:solidFill>
            </c:spPr>
          </c:dPt>
          <c:dLbls>
            <c:dLbl>
              <c:idx val="0"/>
              <c:layout>
                <c:manualLayout>
                  <c:x val="1.200203042881188E-2"/>
                  <c:y val="3.8175519491019917E-2"/>
                </c:manualLayout>
              </c:layout>
              <c:tx>
                <c:rich>
                  <a:bodyPr/>
                  <a:lstStyle/>
                  <a:p>
                    <a:r>
                      <a:rPr lang="en-US"/>
                      <a:t>27,30 %</a:t>
                    </a:r>
                  </a:p>
                </c:rich>
              </c:tx>
              <c:showPercent val="1"/>
              <c:extLst>
                <c:ext xmlns:c15="http://schemas.microsoft.com/office/drawing/2012/chart" uri="{CE6537A1-D6FC-4f65-9D91-7224C49458BB}">
                  <c15:layout/>
                </c:ext>
              </c:extLst>
            </c:dLbl>
            <c:dLbl>
              <c:idx val="1"/>
              <c:layout>
                <c:manualLayout>
                  <c:x val="1.5534565625325259E-2"/>
                  <c:y val="-3.450189317564363E-2"/>
                </c:manualLayout>
              </c:layout>
              <c:tx>
                <c:rich>
                  <a:bodyPr/>
                  <a:lstStyle/>
                  <a:p>
                    <a:r>
                      <a:rPr lang="en-US"/>
                      <a:t>16,67 %</a:t>
                    </a:r>
                  </a:p>
                </c:rich>
              </c:tx>
              <c:showPercent val="1"/>
              <c:extLst>
                <c:ext xmlns:c15="http://schemas.microsoft.com/office/drawing/2012/chart" uri="{CE6537A1-D6FC-4f65-9D91-7224C49458BB}">
                  <c15:layout/>
                </c:ext>
              </c:extLst>
            </c:dLbl>
            <c:dLbl>
              <c:idx val="2"/>
              <c:layout>
                <c:manualLayout>
                  <c:x val="-3.1995505975247494E-2"/>
                  <c:y val="5.6067253865359412E-3"/>
                </c:manualLayout>
              </c:layout>
              <c:tx>
                <c:rich>
                  <a:bodyPr/>
                  <a:lstStyle/>
                  <a:p>
                    <a:r>
                      <a:rPr lang="en-US"/>
                      <a:t>12,64 %</a:t>
                    </a:r>
                  </a:p>
                </c:rich>
              </c:tx>
              <c:showPercent val="1"/>
              <c:extLst>
                <c:ext xmlns:c15="http://schemas.microsoft.com/office/drawing/2012/chart" uri="{CE6537A1-D6FC-4f65-9D91-7224C49458BB}">
                  <c15:layout/>
                </c:ext>
              </c:extLst>
            </c:dLbl>
            <c:dLbl>
              <c:idx val="3"/>
              <c:layout>
                <c:manualLayout>
                  <c:x val="-8.8816945120823703E-3"/>
                  <c:y val="-2.7821932119437481E-2"/>
                </c:manualLayout>
              </c:layout>
              <c:tx>
                <c:rich>
                  <a:bodyPr/>
                  <a:lstStyle/>
                  <a:p>
                    <a:r>
                      <a:rPr lang="en-US"/>
                      <a:t>18,39 %</a:t>
                    </a:r>
                  </a:p>
                </c:rich>
              </c:tx>
              <c:showPercent val="1"/>
              <c:extLst>
                <c:ext xmlns:c15="http://schemas.microsoft.com/office/drawing/2012/chart" uri="{CE6537A1-D6FC-4f65-9D91-7224C49458BB}">
                  <c15:layout/>
                </c:ext>
              </c:extLst>
            </c:dLbl>
            <c:dLbl>
              <c:idx val="4"/>
              <c:layout>
                <c:manualLayout>
                  <c:x val="-7.3251054034399405E-3"/>
                  <c:y val="6.0743998233975458E-3"/>
                </c:manualLayout>
              </c:layout>
              <c:tx>
                <c:rich>
                  <a:bodyPr/>
                  <a:lstStyle/>
                  <a:p>
                    <a:r>
                      <a:rPr lang="en-US"/>
                      <a:t>11,21 %</a:t>
                    </a:r>
                  </a:p>
                </c:rich>
              </c:tx>
              <c:showPercent val="1"/>
              <c:extLst>
                <c:ext xmlns:c15="http://schemas.microsoft.com/office/drawing/2012/chart" uri="{CE6537A1-D6FC-4f65-9D91-7224C49458BB}">
                  <c15:layout/>
                </c:ext>
              </c:extLst>
            </c:dLbl>
            <c:dLbl>
              <c:idx val="5"/>
              <c:layout>
                <c:manualLayout>
                  <c:x val="-1.7542258215439011E-3"/>
                  <c:y val="7.6475170647490884E-3"/>
                </c:manualLayout>
              </c:layout>
              <c:tx>
                <c:rich>
                  <a:bodyPr/>
                  <a:lstStyle/>
                  <a:p>
                    <a:r>
                      <a:rPr lang="en-US"/>
                      <a:t>8,05 %</a:t>
                    </a:r>
                  </a:p>
                </c:rich>
              </c:tx>
              <c:showPercent val="1"/>
              <c:extLst>
                <c:ext xmlns:c15="http://schemas.microsoft.com/office/drawing/2012/chart" uri="{CE6537A1-D6FC-4f65-9D91-7224C49458BB}">
                  <c15:layout/>
                </c:ext>
              </c:extLst>
            </c:dLbl>
            <c:dLbl>
              <c:idx val="6"/>
              <c:layout>
                <c:manualLayout>
                  <c:x val="6.115033156147991E-3"/>
                  <c:y val="6.5454291701362035E-4"/>
                </c:manualLayout>
              </c:layout>
              <c:tx>
                <c:rich>
                  <a:bodyPr/>
                  <a:lstStyle/>
                  <a:p>
                    <a:r>
                      <a:rPr lang="en-US"/>
                      <a:t>5,75 %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CRA!$J$57:$J$63</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CRA!$K$57:$K$63</c:f>
              <c:numCache>
                <c:formatCode>General</c:formatCode>
                <c:ptCount val="7"/>
                <c:pt idx="0">
                  <c:v>95</c:v>
                </c:pt>
                <c:pt idx="1">
                  <c:v>58</c:v>
                </c:pt>
                <c:pt idx="2">
                  <c:v>44</c:v>
                </c:pt>
                <c:pt idx="3">
                  <c:v>64</c:v>
                </c:pt>
                <c:pt idx="4">
                  <c:v>39</c:v>
                </c:pt>
                <c:pt idx="5">
                  <c:v>28</c:v>
                </c:pt>
                <c:pt idx="6">
                  <c:v>20</c:v>
                </c:pt>
              </c:numCache>
            </c:numRef>
          </c:val>
        </c:ser>
        <c:dLbls/>
        <c:firstSliceAng val="0"/>
      </c:pie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CRA!$K$84</c:f>
              <c:strCache>
                <c:ptCount val="1"/>
                <c:pt idx="0">
                  <c:v>2012-2013</c:v>
                </c:pt>
              </c:strCache>
            </c:strRef>
          </c:tx>
          <c:spPr>
            <a:solidFill>
              <a:schemeClr val="bg1">
                <a:lumMod val="65000"/>
              </a:schemeClr>
            </a:solidFill>
          </c:spPr>
          <c:cat>
            <c:strRef>
              <c:f>CRA!$J$85:$J$86</c:f>
              <c:strCache>
                <c:ptCount val="2"/>
                <c:pt idx="0">
                  <c:v>Divulgation complète </c:v>
                </c:pt>
                <c:pt idx="1">
                  <c:v>Divulgation partielle </c:v>
                </c:pt>
              </c:strCache>
            </c:strRef>
          </c:cat>
          <c:val>
            <c:numRef>
              <c:f>CRA!$K$85:$K$86</c:f>
              <c:numCache>
                <c:formatCode>0.00%</c:formatCode>
                <c:ptCount val="2"/>
                <c:pt idx="0">
                  <c:v>0.1401</c:v>
                </c:pt>
                <c:pt idx="1">
                  <c:v>0.53490000000000004</c:v>
                </c:pt>
              </c:numCache>
            </c:numRef>
          </c:val>
        </c:ser>
        <c:ser>
          <c:idx val="1"/>
          <c:order val="1"/>
          <c:tx>
            <c:strRef>
              <c:f>CRA!$L$84</c:f>
              <c:strCache>
                <c:ptCount val="1"/>
                <c:pt idx="0">
                  <c:v>2013-2014</c:v>
                </c:pt>
              </c:strCache>
            </c:strRef>
          </c:tx>
          <c:spPr>
            <a:solidFill>
              <a:srgbClr val="FFC000"/>
            </a:solidFill>
          </c:spPr>
          <c:cat>
            <c:strRef>
              <c:f>CRA!$J$85:$J$86</c:f>
              <c:strCache>
                <c:ptCount val="2"/>
                <c:pt idx="0">
                  <c:v>Divulgation complète </c:v>
                </c:pt>
                <c:pt idx="1">
                  <c:v>Divulgation partielle </c:v>
                </c:pt>
              </c:strCache>
            </c:strRef>
          </c:cat>
          <c:val>
            <c:numRef>
              <c:f>CRA!$L$85:$L$86</c:f>
              <c:numCache>
                <c:formatCode>0.00%</c:formatCode>
                <c:ptCount val="2"/>
                <c:pt idx="0">
                  <c:v>0.17069999999999999</c:v>
                </c:pt>
                <c:pt idx="1">
                  <c:v>0.52159999999999951</c:v>
                </c:pt>
              </c:numCache>
            </c:numRef>
          </c:val>
        </c:ser>
        <c:ser>
          <c:idx val="2"/>
          <c:order val="2"/>
          <c:tx>
            <c:strRef>
              <c:f>CRA!$M$84</c:f>
              <c:strCache>
                <c:ptCount val="1"/>
                <c:pt idx="0">
                  <c:v>2014-2015</c:v>
                </c:pt>
              </c:strCache>
            </c:strRef>
          </c:tx>
          <c:spPr>
            <a:solidFill>
              <a:schemeClr val="accent5">
                <a:lumMod val="75000"/>
              </a:schemeClr>
            </a:solidFill>
          </c:spPr>
          <c:cat>
            <c:strRef>
              <c:f>CRA!$J$85:$J$86</c:f>
              <c:strCache>
                <c:ptCount val="2"/>
                <c:pt idx="0">
                  <c:v>Divulgation complète </c:v>
                </c:pt>
                <c:pt idx="1">
                  <c:v>Divulgation partielle </c:v>
                </c:pt>
              </c:strCache>
            </c:strRef>
          </c:cat>
          <c:val>
            <c:numRef>
              <c:f>CRA!$M$85:$M$86</c:f>
              <c:numCache>
                <c:formatCode>0.00%</c:formatCode>
                <c:ptCount val="2"/>
                <c:pt idx="0">
                  <c:v>0.20800000000000021</c:v>
                </c:pt>
                <c:pt idx="1">
                  <c:v>0.51239999999999997</c:v>
                </c:pt>
              </c:numCache>
            </c:numRef>
          </c:val>
        </c:ser>
        <c:dLbls/>
        <c:axId val="246284672"/>
        <c:axId val="246286208"/>
      </c:barChart>
      <c:catAx>
        <c:axId val="246284672"/>
        <c:scaling>
          <c:orientation val="minMax"/>
        </c:scaling>
        <c:axPos val="b"/>
        <c:numFmt formatCode="General" sourceLinked="0"/>
        <c:tickLblPos val="nextTo"/>
        <c:crossAx val="246286208"/>
        <c:crosses val="autoZero"/>
        <c:auto val="1"/>
        <c:lblAlgn val="ctr"/>
        <c:lblOffset val="100"/>
      </c:catAx>
      <c:valAx>
        <c:axId val="246286208"/>
        <c:scaling>
          <c:orientation val="minMax"/>
        </c:scaling>
        <c:axPos val="l"/>
        <c:majorGridlines/>
        <c:numFmt formatCode="0%" sourceLinked="0"/>
        <c:tickLblPos val="nextTo"/>
        <c:crossAx val="246284672"/>
        <c:crosses val="autoZero"/>
        <c:crossBetween val="between"/>
      </c:valAx>
    </c:plotArea>
    <c:legend>
      <c:legendPos val="b"/>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ND!$L$2</c:f>
              <c:strCache>
                <c:ptCount val="1"/>
                <c:pt idx="0">
                  <c:v>2012-2013</c:v>
                </c:pt>
              </c:strCache>
            </c:strRef>
          </c:tx>
          <c:spPr>
            <a:solidFill>
              <a:schemeClr val="bg1">
                <a:lumMod val="65000"/>
              </a:schemeClr>
            </a:solidFill>
          </c:spPr>
          <c:cat>
            <c:strRef>
              <c:f>ND!$K$3:$K$8</c:f>
              <c:strCache>
                <c:ptCount val="6"/>
                <c:pt idx="0">
                  <c:v>30 jours ou moins</c:v>
                </c:pt>
                <c:pt idx="1">
                  <c:v>31 à 60 jours</c:v>
                </c:pt>
                <c:pt idx="2">
                  <c:v>61 à 120 jours</c:v>
                </c:pt>
                <c:pt idx="3">
                  <c:v>121 à 180 jours</c:v>
                </c:pt>
                <c:pt idx="4">
                  <c:v>181 à 365 jours</c:v>
                </c:pt>
                <c:pt idx="5">
                  <c:v>Plus de 365 jours</c:v>
                </c:pt>
              </c:strCache>
            </c:strRef>
          </c:cat>
          <c:val>
            <c:numRef>
              <c:f>ND!$L$3:$L$8</c:f>
              <c:numCache>
                <c:formatCode>0.00%</c:formatCode>
                <c:ptCount val="6"/>
                <c:pt idx="0">
                  <c:v>0.48287112561174622</c:v>
                </c:pt>
                <c:pt idx="1">
                  <c:v>0.19684611201740138</c:v>
                </c:pt>
                <c:pt idx="2">
                  <c:v>0.18705818379554157</c:v>
                </c:pt>
                <c:pt idx="3">
                  <c:v>7.177814029363784E-2</c:v>
                </c:pt>
                <c:pt idx="4">
                  <c:v>5.0027188689505155E-2</c:v>
                </c:pt>
                <c:pt idx="5">
                  <c:v>1.141924959216966E-2</c:v>
                </c:pt>
              </c:numCache>
            </c:numRef>
          </c:val>
        </c:ser>
        <c:ser>
          <c:idx val="1"/>
          <c:order val="1"/>
          <c:tx>
            <c:strRef>
              <c:f>ND!$M$2</c:f>
              <c:strCache>
                <c:ptCount val="1"/>
                <c:pt idx="0">
                  <c:v>2013-2014</c:v>
                </c:pt>
              </c:strCache>
            </c:strRef>
          </c:tx>
          <c:spPr>
            <a:solidFill>
              <a:srgbClr val="FFC000"/>
            </a:solidFill>
          </c:spPr>
          <c:cat>
            <c:strRef>
              <c:f>ND!$K$3:$K$8</c:f>
              <c:strCache>
                <c:ptCount val="6"/>
                <c:pt idx="0">
                  <c:v>30 jours ou moins</c:v>
                </c:pt>
                <c:pt idx="1">
                  <c:v>31 à 60 jours</c:v>
                </c:pt>
                <c:pt idx="2">
                  <c:v>61 à 120 jours</c:v>
                </c:pt>
                <c:pt idx="3">
                  <c:v>121 à 180 jours</c:v>
                </c:pt>
                <c:pt idx="4">
                  <c:v>181 à 365 jours</c:v>
                </c:pt>
                <c:pt idx="5">
                  <c:v>Plus de 365 jours</c:v>
                </c:pt>
              </c:strCache>
            </c:strRef>
          </c:cat>
          <c:val>
            <c:numRef>
              <c:f>ND!$M$3:$M$8</c:f>
              <c:numCache>
                <c:formatCode>0.00%</c:formatCode>
                <c:ptCount val="6"/>
                <c:pt idx="0">
                  <c:v>0.41550247859396194</c:v>
                </c:pt>
                <c:pt idx="1">
                  <c:v>0.22262280306444338</c:v>
                </c:pt>
                <c:pt idx="2">
                  <c:v>0.14556106354213677</c:v>
                </c:pt>
                <c:pt idx="3">
                  <c:v>9.5989184317260029E-2</c:v>
                </c:pt>
                <c:pt idx="4">
                  <c:v>0.10274898602974294</c:v>
                </c:pt>
                <c:pt idx="5">
                  <c:v>1.7575484452456075E-2</c:v>
                </c:pt>
              </c:numCache>
            </c:numRef>
          </c:val>
        </c:ser>
        <c:ser>
          <c:idx val="2"/>
          <c:order val="2"/>
          <c:tx>
            <c:strRef>
              <c:f>ND!$N$2</c:f>
              <c:strCache>
                <c:ptCount val="1"/>
                <c:pt idx="0">
                  <c:v>2014-2015</c:v>
                </c:pt>
              </c:strCache>
            </c:strRef>
          </c:tx>
          <c:spPr>
            <a:solidFill>
              <a:schemeClr val="accent5">
                <a:lumMod val="75000"/>
              </a:schemeClr>
            </a:solidFill>
          </c:spPr>
          <c:cat>
            <c:strRef>
              <c:f>ND!$K$3:$K$8</c:f>
              <c:strCache>
                <c:ptCount val="6"/>
                <c:pt idx="0">
                  <c:v>30 jours ou moins</c:v>
                </c:pt>
                <c:pt idx="1">
                  <c:v>31 à 60 jours</c:v>
                </c:pt>
                <c:pt idx="2">
                  <c:v>61 à 120 jours</c:v>
                </c:pt>
                <c:pt idx="3">
                  <c:v>121 à 180 jours</c:v>
                </c:pt>
                <c:pt idx="4">
                  <c:v>181 à 365 jours</c:v>
                </c:pt>
                <c:pt idx="5">
                  <c:v>Plus de 365 jours</c:v>
                </c:pt>
              </c:strCache>
            </c:strRef>
          </c:cat>
          <c:val>
            <c:numRef>
              <c:f>ND!$N$3:$N$8</c:f>
              <c:numCache>
                <c:formatCode>0.00%</c:formatCode>
                <c:ptCount val="6"/>
                <c:pt idx="0">
                  <c:v>0.49330024813895862</c:v>
                </c:pt>
                <c:pt idx="1">
                  <c:v>0.1682382133995039</c:v>
                </c:pt>
                <c:pt idx="2">
                  <c:v>0.17518610421836228</c:v>
                </c:pt>
                <c:pt idx="3">
                  <c:v>6.9478908188585681E-2</c:v>
                </c:pt>
                <c:pt idx="4">
                  <c:v>6.6501240694788966E-2</c:v>
                </c:pt>
                <c:pt idx="5">
                  <c:v>2.7295285359801563E-2</c:v>
                </c:pt>
              </c:numCache>
            </c:numRef>
          </c:val>
        </c:ser>
        <c:dLbls/>
        <c:axId val="246325248"/>
        <c:axId val="246326784"/>
      </c:barChart>
      <c:catAx>
        <c:axId val="246325248"/>
        <c:scaling>
          <c:orientation val="minMax"/>
        </c:scaling>
        <c:axPos val="b"/>
        <c:numFmt formatCode="General" sourceLinked="0"/>
        <c:tickLblPos val="nextTo"/>
        <c:crossAx val="246326784"/>
        <c:crosses val="autoZero"/>
        <c:auto val="1"/>
        <c:lblAlgn val="ctr"/>
        <c:lblOffset val="100"/>
      </c:catAx>
      <c:valAx>
        <c:axId val="246326784"/>
        <c:scaling>
          <c:orientation val="minMax"/>
        </c:scaling>
        <c:axPos val="l"/>
        <c:majorGridlines/>
        <c:numFmt formatCode="0%" sourceLinked="0"/>
        <c:tickLblPos val="nextTo"/>
        <c:crossAx val="246325248"/>
        <c:crosses val="autoZero"/>
        <c:crossBetween val="between"/>
      </c:valAx>
    </c:plotArea>
    <c:legend>
      <c:legendPos val="b"/>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ND!$N$32</c:f>
              <c:strCache>
                <c:ptCount val="1"/>
                <c:pt idx="0">
                  <c:v>2012-2013</c:v>
                </c:pt>
              </c:strCache>
            </c:strRef>
          </c:tx>
          <c:spPr>
            <a:solidFill>
              <a:schemeClr val="bg1">
                <a:lumMod val="65000"/>
              </a:schemeClr>
            </a:solidFill>
          </c:spPr>
          <c:cat>
            <c:strRef>
              <c:f>ND!$M$33:$M$38</c:f>
              <c:strCache>
                <c:ptCount val="6"/>
                <c:pt idx="0">
                  <c:v>30 jours ou moins</c:v>
                </c:pt>
                <c:pt idx="1">
                  <c:v>31 à 60 jours</c:v>
                </c:pt>
                <c:pt idx="2">
                  <c:v>61 à 120 jours</c:v>
                </c:pt>
                <c:pt idx="3">
                  <c:v>121 à 180 jours</c:v>
                </c:pt>
                <c:pt idx="4">
                  <c:v>181 à 365 jours</c:v>
                </c:pt>
                <c:pt idx="5">
                  <c:v>Plus de 365 jours</c:v>
                </c:pt>
              </c:strCache>
            </c:strRef>
          </c:cat>
          <c:val>
            <c:numRef>
              <c:f>ND!$N$33:$N$38</c:f>
              <c:numCache>
                <c:formatCode>0.00%</c:formatCode>
                <c:ptCount val="6"/>
                <c:pt idx="0">
                  <c:v>0.32974316487158245</c:v>
                </c:pt>
                <c:pt idx="1">
                  <c:v>0.21209610604805301</c:v>
                </c:pt>
                <c:pt idx="2">
                  <c:v>0.19304059652029867</c:v>
                </c:pt>
                <c:pt idx="3">
                  <c:v>0.18558409279204696</c:v>
                </c:pt>
                <c:pt idx="4">
                  <c:v>7.95360397680199E-2</c:v>
                </c:pt>
                <c:pt idx="5">
                  <c:v>0</c:v>
                </c:pt>
              </c:numCache>
            </c:numRef>
          </c:val>
        </c:ser>
        <c:ser>
          <c:idx val="1"/>
          <c:order val="1"/>
          <c:tx>
            <c:strRef>
              <c:f>ND!$O$32</c:f>
              <c:strCache>
                <c:ptCount val="1"/>
                <c:pt idx="0">
                  <c:v>2013-2014</c:v>
                </c:pt>
              </c:strCache>
            </c:strRef>
          </c:tx>
          <c:spPr>
            <a:solidFill>
              <a:srgbClr val="FFC000"/>
            </a:solidFill>
          </c:spPr>
          <c:cat>
            <c:strRef>
              <c:f>ND!$M$33:$M$38</c:f>
              <c:strCache>
                <c:ptCount val="6"/>
                <c:pt idx="0">
                  <c:v>30 jours ou moins</c:v>
                </c:pt>
                <c:pt idx="1">
                  <c:v>31 à 60 jours</c:v>
                </c:pt>
                <c:pt idx="2">
                  <c:v>61 à 120 jours</c:v>
                </c:pt>
                <c:pt idx="3">
                  <c:v>121 à 180 jours</c:v>
                </c:pt>
                <c:pt idx="4">
                  <c:v>181 à 365 jours</c:v>
                </c:pt>
                <c:pt idx="5">
                  <c:v>Plus de 365 jours</c:v>
                </c:pt>
              </c:strCache>
            </c:strRef>
          </c:cat>
          <c:val>
            <c:numRef>
              <c:f>ND!$O$33:$O$38</c:f>
              <c:numCache>
                <c:formatCode>0.00%</c:formatCode>
                <c:ptCount val="6"/>
                <c:pt idx="0">
                  <c:v>0.39945280437756658</c:v>
                </c:pt>
                <c:pt idx="1">
                  <c:v>0.22708618331053351</c:v>
                </c:pt>
                <c:pt idx="2">
                  <c:v>0.16279069767441864</c:v>
                </c:pt>
                <c:pt idx="3">
                  <c:v>0.18946648426812673</c:v>
                </c:pt>
                <c:pt idx="4">
                  <c:v>2.0519835841313332E-2</c:v>
                </c:pt>
                <c:pt idx="5">
                  <c:v>6.839945280437777E-4</c:v>
                </c:pt>
              </c:numCache>
            </c:numRef>
          </c:val>
        </c:ser>
        <c:ser>
          <c:idx val="2"/>
          <c:order val="2"/>
          <c:tx>
            <c:strRef>
              <c:f>ND!$P$32</c:f>
              <c:strCache>
                <c:ptCount val="1"/>
                <c:pt idx="0">
                  <c:v>2014-2015</c:v>
                </c:pt>
              </c:strCache>
            </c:strRef>
          </c:tx>
          <c:spPr>
            <a:solidFill>
              <a:schemeClr val="accent5">
                <a:lumMod val="75000"/>
              </a:schemeClr>
            </a:solidFill>
          </c:spPr>
          <c:cat>
            <c:strRef>
              <c:f>ND!$M$33:$M$38</c:f>
              <c:strCache>
                <c:ptCount val="6"/>
                <c:pt idx="0">
                  <c:v>30 jours ou moins</c:v>
                </c:pt>
                <c:pt idx="1">
                  <c:v>31 à 60 jours</c:v>
                </c:pt>
                <c:pt idx="2">
                  <c:v>61 à 120 jours</c:v>
                </c:pt>
                <c:pt idx="3">
                  <c:v>121 à 180 jours</c:v>
                </c:pt>
                <c:pt idx="4">
                  <c:v>181 à 365 jours</c:v>
                </c:pt>
                <c:pt idx="5">
                  <c:v>Plus de 365 jours</c:v>
                </c:pt>
              </c:strCache>
            </c:strRef>
          </c:cat>
          <c:val>
            <c:numRef>
              <c:f>ND!$P$33:$P$38</c:f>
              <c:numCache>
                <c:formatCode>0.00%</c:formatCode>
                <c:ptCount val="6"/>
                <c:pt idx="0">
                  <c:v>0.37915234822451332</c:v>
                </c:pt>
                <c:pt idx="1">
                  <c:v>0.24513172966781213</c:v>
                </c:pt>
                <c:pt idx="2">
                  <c:v>0.25544100801832664</c:v>
                </c:pt>
                <c:pt idx="3">
                  <c:v>0.10996563573883199</c:v>
                </c:pt>
                <c:pt idx="4">
                  <c:v>1.0309278350515465E-2</c:v>
                </c:pt>
                <c:pt idx="5">
                  <c:v>0</c:v>
                </c:pt>
              </c:numCache>
            </c:numRef>
          </c:val>
        </c:ser>
        <c:dLbls/>
        <c:axId val="246377472"/>
        <c:axId val="246391552"/>
      </c:barChart>
      <c:catAx>
        <c:axId val="246377472"/>
        <c:scaling>
          <c:orientation val="minMax"/>
        </c:scaling>
        <c:axPos val="b"/>
        <c:numFmt formatCode="General" sourceLinked="0"/>
        <c:tickLblPos val="nextTo"/>
        <c:crossAx val="246391552"/>
        <c:crosses val="autoZero"/>
        <c:auto val="1"/>
        <c:lblAlgn val="ctr"/>
        <c:lblOffset val="100"/>
      </c:catAx>
      <c:valAx>
        <c:axId val="246391552"/>
        <c:scaling>
          <c:orientation val="minMax"/>
        </c:scaling>
        <c:axPos val="l"/>
        <c:majorGridlines/>
        <c:numFmt formatCode="0%" sourceLinked="0"/>
        <c:tickLblPos val="nextTo"/>
        <c:crossAx val="246377472"/>
        <c:crosses val="autoZero"/>
        <c:crossBetween val="between"/>
      </c:valAx>
    </c:plotArea>
    <c:legend>
      <c:legendPos val="b"/>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ND!$H$63</c:f>
              <c:strCache>
                <c:ptCount val="1"/>
                <c:pt idx="0">
                  <c:v>2014-2015</c:v>
                </c:pt>
              </c:strCache>
            </c:strRef>
          </c:tx>
          <c:dPt>
            <c:idx val="0"/>
            <c:spPr>
              <a:solidFill>
                <a:schemeClr val="accent5">
                  <a:lumMod val="50000"/>
                </a:schemeClr>
              </a:solidFill>
            </c:spPr>
          </c:dPt>
          <c:dPt>
            <c:idx val="1"/>
            <c:spPr>
              <a:solidFill>
                <a:schemeClr val="tx1">
                  <a:lumMod val="65000"/>
                  <a:lumOff val="35000"/>
                </a:schemeClr>
              </a:solidFill>
            </c:spPr>
          </c:dPt>
          <c:dPt>
            <c:idx val="2"/>
            <c:spPr>
              <a:solidFill>
                <a:schemeClr val="tx2">
                  <a:lumMod val="50000"/>
                </a:schemeClr>
              </a:solidFill>
            </c:spPr>
          </c:dPt>
          <c:dPt>
            <c:idx val="3"/>
            <c:spPr>
              <a:solidFill>
                <a:schemeClr val="accent5">
                  <a:lumMod val="60000"/>
                  <a:lumOff val="40000"/>
                </a:schemeClr>
              </a:solidFill>
            </c:spPr>
          </c:dPt>
          <c:dPt>
            <c:idx val="4"/>
            <c:spPr>
              <a:solidFill>
                <a:schemeClr val="accent3">
                  <a:lumMod val="60000"/>
                  <a:lumOff val="40000"/>
                </a:schemeClr>
              </a:solidFill>
            </c:spPr>
          </c:dPt>
          <c:dPt>
            <c:idx val="5"/>
            <c:spPr>
              <a:solidFill>
                <a:schemeClr val="accent6">
                  <a:lumMod val="50000"/>
                </a:schemeClr>
              </a:solidFill>
            </c:spPr>
          </c:dPt>
          <c:dPt>
            <c:idx val="6"/>
            <c:spPr>
              <a:solidFill>
                <a:schemeClr val="accent6">
                  <a:lumMod val="75000"/>
                </a:schemeClr>
              </a:solidFill>
            </c:spPr>
          </c:dPt>
          <c:dLbls>
            <c:dLbl>
              <c:idx val="0"/>
              <c:layout>
                <c:manualLayout>
                  <c:x val="1.1438555975957552E-2"/>
                  <c:y val="3.1070334958130238E-3"/>
                </c:manualLayout>
              </c:layout>
              <c:tx>
                <c:rich>
                  <a:bodyPr/>
                  <a:lstStyle/>
                  <a:p>
                    <a:r>
                      <a:rPr lang="en-US"/>
                      <a:t>25,93 %</a:t>
                    </a:r>
                  </a:p>
                </c:rich>
              </c:tx>
              <c:showPercent val="1"/>
              <c:extLst>
                <c:ext xmlns:c15="http://schemas.microsoft.com/office/drawing/2012/chart" uri="{CE6537A1-D6FC-4f65-9D91-7224C49458BB}">
                  <c15:layout/>
                </c:ext>
              </c:extLst>
            </c:dLbl>
            <c:dLbl>
              <c:idx val="1"/>
              <c:layout>
                <c:manualLayout>
                  <c:x val="1.8821924398442425E-2"/>
                  <c:y val="-1.9893961737128516E-2"/>
                </c:manualLayout>
              </c:layout>
              <c:tx>
                <c:rich>
                  <a:bodyPr/>
                  <a:lstStyle/>
                  <a:p>
                    <a:r>
                      <a:rPr lang="en-US"/>
                      <a:t>17,81 %</a:t>
                    </a:r>
                  </a:p>
                </c:rich>
              </c:tx>
              <c:showPercent val="1"/>
              <c:extLst>
                <c:ext xmlns:c15="http://schemas.microsoft.com/office/drawing/2012/chart" uri="{CE6537A1-D6FC-4f65-9D91-7224C49458BB}">
                  <c15:layout/>
                </c:ext>
              </c:extLst>
            </c:dLbl>
            <c:dLbl>
              <c:idx val="2"/>
              <c:layout>
                <c:manualLayout>
                  <c:x val="-2.3306923282316986E-2"/>
                  <c:y val="-1.2747999073935475E-3"/>
                </c:manualLayout>
              </c:layout>
              <c:tx>
                <c:rich>
                  <a:bodyPr/>
                  <a:lstStyle/>
                  <a:p>
                    <a:r>
                      <a:rPr lang="en-US"/>
                      <a:t>20,81 %</a:t>
                    </a:r>
                  </a:p>
                </c:rich>
              </c:tx>
              <c:showPercent val="1"/>
              <c:extLst>
                <c:ext xmlns:c15="http://schemas.microsoft.com/office/drawing/2012/chart" uri="{CE6537A1-D6FC-4f65-9D91-7224C49458BB}">
                  <c15:layout/>
                </c:ext>
              </c:extLst>
            </c:dLbl>
            <c:dLbl>
              <c:idx val="3"/>
              <c:layout>
                <c:manualLayout>
                  <c:x val="-1.6160444433082233E-2"/>
                  <c:y val="-5.1849547634362954E-2"/>
                </c:manualLayout>
              </c:layout>
              <c:tx>
                <c:rich>
                  <a:bodyPr/>
                  <a:lstStyle/>
                  <a:p>
                    <a:r>
                      <a:rPr lang="en-US"/>
                      <a:t>16,05 %</a:t>
                    </a:r>
                  </a:p>
                </c:rich>
              </c:tx>
              <c:showPercent val="1"/>
              <c:extLst>
                <c:ext xmlns:c15="http://schemas.microsoft.com/office/drawing/2012/chart" uri="{CE6537A1-D6FC-4f65-9D91-7224C49458BB}">
                  <c15:layout/>
                </c:ext>
              </c:extLst>
            </c:dLbl>
            <c:dLbl>
              <c:idx val="4"/>
              <c:layout>
                <c:manualLayout>
                  <c:x val="-1.3231300632875439E-2"/>
                  <c:y val="-5.2589555018201454E-3"/>
                </c:manualLayout>
              </c:layout>
              <c:tx>
                <c:rich>
                  <a:bodyPr/>
                  <a:lstStyle/>
                  <a:p>
                    <a:r>
                      <a:rPr lang="en-US"/>
                      <a:t>7,58 %</a:t>
                    </a:r>
                  </a:p>
                </c:rich>
              </c:tx>
              <c:showPercent val="1"/>
              <c:extLst>
                <c:ext xmlns:c15="http://schemas.microsoft.com/office/drawing/2012/chart" uri="{CE6537A1-D6FC-4f65-9D91-7224C49458BB}">
                  <c15:layout/>
                </c:ext>
              </c:extLst>
            </c:dLbl>
            <c:dLbl>
              <c:idx val="5"/>
              <c:layout>
                <c:manualLayout>
                  <c:x val="-5.3421944416038904E-3"/>
                  <c:y val="1.8962892152772076E-4"/>
                </c:manualLayout>
              </c:layout>
              <c:tx>
                <c:rich>
                  <a:bodyPr/>
                  <a:lstStyle/>
                  <a:p>
                    <a:r>
                      <a:rPr lang="en-US"/>
                      <a:t>7,58 %</a:t>
                    </a:r>
                  </a:p>
                </c:rich>
              </c:tx>
              <c:showPercent val="1"/>
              <c:extLst>
                <c:ext xmlns:c15="http://schemas.microsoft.com/office/drawing/2012/chart" uri="{CE6537A1-D6FC-4f65-9D91-7224C49458BB}">
                  <c15:layout/>
                </c:ext>
              </c:extLst>
            </c:dLbl>
            <c:dLbl>
              <c:idx val="6"/>
              <c:layout>
                <c:manualLayout>
                  <c:x val="7.4220125893354237E-3"/>
                  <c:y val="8.1637848374143101E-3"/>
                </c:manualLayout>
              </c:layout>
              <c:tx>
                <c:rich>
                  <a:bodyPr/>
                  <a:lstStyle/>
                  <a:p>
                    <a:r>
                      <a:rPr lang="en-US"/>
                      <a:t>4,23 %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ND!$G$64:$G$70</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ND!$H$64:$H$70</c:f>
              <c:numCache>
                <c:formatCode>General</c:formatCode>
                <c:ptCount val="7"/>
                <c:pt idx="0">
                  <c:v>147</c:v>
                </c:pt>
                <c:pt idx="1">
                  <c:v>101</c:v>
                </c:pt>
                <c:pt idx="2">
                  <c:v>118</c:v>
                </c:pt>
                <c:pt idx="3">
                  <c:v>91</c:v>
                </c:pt>
                <c:pt idx="4">
                  <c:v>43</c:v>
                </c:pt>
                <c:pt idx="5">
                  <c:v>43</c:v>
                </c:pt>
                <c:pt idx="6">
                  <c:v>24</c:v>
                </c:pt>
              </c:numCache>
            </c:numRef>
          </c:val>
        </c:ser>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IRCC!$H$29</c:f>
              <c:strCache>
                <c:ptCount val="1"/>
                <c:pt idx="0">
                  <c:v>2012-2013</c:v>
                </c:pt>
              </c:strCache>
            </c:strRef>
          </c:tx>
          <c:spPr>
            <a:solidFill>
              <a:schemeClr val="bg1">
                <a:lumMod val="50000"/>
              </a:schemeClr>
            </a:solidFill>
          </c:spPr>
          <c:cat>
            <c:strRef>
              <c:f>IRCC!$G$30:$G$35</c:f>
              <c:strCache>
                <c:ptCount val="6"/>
                <c:pt idx="0">
                  <c:v>30 jours ou moins</c:v>
                </c:pt>
                <c:pt idx="1">
                  <c:v>31 à 60 jours</c:v>
                </c:pt>
                <c:pt idx="2">
                  <c:v>61 à 120 jours</c:v>
                </c:pt>
                <c:pt idx="3">
                  <c:v>121 à 180 jours</c:v>
                </c:pt>
                <c:pt idx="4">
                  <c:v>181 à 365 jours</c:v>
                </c:pt>
                <c:pt idx="5">
                  <c:v>Plus de 365 jours</c:v>
                </c:pt>
              </c:strCache>
            </c:strRef>
          </c:cat>
          <c:val>
            <c:numRef>
              <c:f>IRCC!$H$30:$H$35</c:f>
              <c:numCache>
                <c:formatCode>0.00%</c:formatCode>
                <c:ptCount val="6"/>
                <c:pt idx="0">
                  <c:v>0.71616640337019744</c:v>
                </c:pt>
                <c:pt idx="1">
                  <c:v>0.21748288572933244</c:v>
                </c:pt>
                <c:pt idx="2">
                  <c:v>5.6872037914692225E-2</c:v>
                </c:pt>
                <c:pt idx="3">
                  <c:v>7.8988941548183422E-3</c:v>
                </c:pt>
                <c:pt idx="4">
                  <c:v>1.5797788309636724E-3</c:v>
                </c:pt>
                <c:pt idx="5">
                  <c:v>0</c:v>
                </c:pt>
              </c:numCache>
            </c:numRef>
          </c:val>
        </c:ser>
        <c:ser>
          <c:idx val="1"/>
          <c:order val="1"/>
          <c:tx>
            <c:strRef>
              <c:f>IRCC!$I$29</c:f>
              <c:strCache>
                <c:ptCount val="1"/>
                <c:pt idx="0">
                  <c:v>2013-2014</c:v>
                </c:pt>
              </c:strCache>
            </c:strRef>
          </c:tx>
          <c:spPr>
            <a:solidFill>
              <a:srgbClr val="FFC000"/>
            </a:solidFill>
          </c:spPr>
          <c:cat>
            <c:strRef>
              <c:f>IRCC!$G$30:$G$35</c:f>
              <c:strCache>
                <c:ptCount val="6"/>
                <c:pt idx="0">
                  <c:v>30 jours ou moins</c:v>
                </c:pt>
                <c:pt idx="1">
                  <c:v>31 à 60 jours</c:v>
                </c:pt>
                <c:pt idx="2">
                  <c:v>61 à 120 jours</c:v>
                </c:pt>
                <c:pt idx="3">
                  <c:v>121 à 180 jours</c:v>
                </c:pt>
                <c:pt idx="4">
                  <c:v>181 à 365 jours</c:v>
                </c:pt>
                <c:pt idx="5">
                  <c:v>Plus de 365 jours</c:v>
                </c:pt>
              </c:strCache>
            </c:strRef>
          </c:cat>
          <c:val>
            <c:numRef>
              <c:f>IRCC!$I$30:$I$35</c:f>
              <c:numCache>
                <c:formatCode>0.00%</c:formatCode>
                <c:ptCount val="6"/>
                <c:pt idx="0">
                  <c:v>6.5969954278249504E-2</c:v>
                </c:pt>
                <c:pt idx="1">
                  <c:v>0.86414108425865699</c:v>
                </c:pt>
                <c:pt idx="2">
                  <c:v>3.8536903984324154E-2</c:v>
                </c:pt>
                <c:pt idx="3">
                  <c:v>2.3514043109079032E-2</c:v>
                </c:pt>
                <c:pt idx="4">
                  <c:v>7.8380143696930114E-3</c:v>
                </c:pt>
                <c:pt idx="5">
                  <c:v>0</c:v>
                </c:pt>
              </c:numCache>
            </c:numRef>
          </c:val>
        </c:ser>
        <c:ser>
          <c:idx val="2"/>
          <c:order val="2"/>
          <c:tx>
            <c:strRef>
              <c:f>IRCC!$J$29</c:f>
              <c:strCache>
                <c:ptCount val="1"/>
                <c:pt idx="0">
                  <c:v>2014-2015</c:v>
                </c:pt>
              </c:strCache>
            </c:strRef>
          </c:tx>
          <c:spPr>
            <a:solidFill>
              <a:schemeClr val="accent5">
                <a:lumMod val="75000"/>
              </a:schemeClr>
            </a:solidFill>
          </c:spPr>
          <c:cat>
            <c:strRef>
              <c:f>IRCC!$G$30:$G$35</c:f>
              <c:strCache>
                <c:ptCount val="6"/>
                <c:pt idx="0">
                  <c:v>30 jours ou moins</c:v>
                </c:pt>
                <c:pt idx="1">
                  <c:v>31 à 60 jours</c:v>
                </c:pt>
                <c:pt idx="2">
                  <c:v>61 à 120 jours</c:v>
                </c:pt>
                <c:pt idx="3">
                  <c:v>121 à 180 jours</c:v>
                </c:pt>
                <c:pt idx="4">
                  <c:v>181 à 365 jours</c:v>
                </c:pt>
                <c:pt idx="5">
                  <c:v>Plus de 365 jours</c:v>
                </c:pt>
              </c:strCache>
            </c:strRef>
          </c:cat>
          <c:val>
            <c:numRef>
              <c:f>IRCC!$J$30:$J$35</c:f>
              <c:numCache>
                <c:formatCode>0.00%</c:formatCode>
                <c:ptCount val="6"/>
                <c:pt idx="0">
                  <c:v>0.19600000000000001</c:v>
                </c:pt>
                <c:pt idx="1">
                  <c:v>0.60680000000000289</c:v>
                </c:pt>
                <c:pt idx="2">
                  <c:v>0.13039999999999999</c:v>
                </c:pt>
                <c:pt idx="3">
                  <c:v>4.5699999999999998E-2</c:v>
                </c:pt>
                <c:pt idx="4">
                  <c:v>2.1200000000000042E-2</c:v>
                </c:pt>
                <c:pt idx="5">
                  <c:v>0</c:v>
                </c:pt>
              </c:numCache>
            </c:numRef>
          </c:val>
        </c:ser>
        <c:dLbls/>
        <c:axId val="216320640"/>
        <c:axId val="216334720"/>
      </c:barChart>
      <c:catAx>
        <c:axId val="216320640"/>
        <c:scaling>
          <c:orientation val="minMax"/>
        </c:scaling>
        <c:axPos val="b"/>
        <c:numFmt formatCode="General" sourceLinked="0"/>
        <c:tickLblPos val="nextTo"/>
        <c:crossAx val="216334720"/>
        <c:crosses val="autoZero"/>
        <c:auto val="1"/>
        <c:lblAlgn val="ctr"/>
        <c:lblOffset val="100"/>
      </c:catAx>
      <c:valAx>
        <c:axId val="216334720"/>
        <c:scaling>
          <c:orientation val="minMax"/>
          <c:max val="0.9"/>
        </c:scaling>
        <c:axPos val="l"/>
        <c:majorGridlines/>
        <c:numFmt formatCode="0%" sourceLinked="0"/>
        <c:tickLblPos val="nextTo"/>
        <c:crossAx val="216320640"/>
        <c:crosses val="autoZero"/>
        <c:crossBetween val="between"/>
      </c:valAx>
    </c:plotArea>
    <c:legend>
      <c:legendPos val="b"/>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ND!$N$96</c:f>
              <c:strCache>
                <c:ptCount val="1"/>
                <c:pt idx="0">
                  <c:v>2012-2013</c:v>
                </c:pt>
              </c:strCache>
            </c:strRef>
          </c:tx>
          <c:spPr>
            <a:solidFill>
              <a:schemeClr val="bg1">
                <a:lumMod val="65000"/>
              </a:schemeClr>
            </a:solidFill>
          </c:spPr>
          <c:cat>
            <c:strRef>
              <c:f>ND!$M$97:$M$98</c:f>
              <c:strCache>
                <c:ptCount val="2"/>
                <c:pt idx="0">
                  <c:v>Divulgation complète </c:v>
                </c:pt>
                <c:pt idx="1">
                  <c:v>Divulgation partielle </c:v>
                </c:pt>
              </c:strCache>
            </c:strRef>
          </c:cat>
          <c:val>
            <c:numRef>
              <c:f>ND!$N$97:$N$98</c:f>
              <c:numCache>
                <c:formatCode>0.00%</c:formatCode>
                <c:ptCount val="2"/>
                <c:pt idx="0">
                  <c:v>0.19249592169657423</c:v>
                </c:pt>
                <c:pt idx="1">
                  <c:v>0.46982055464926697</c:v>
                </c:pt>
              </c:numCache>
            </c:numRef>
          </c:val>
        </c:ser>
        <c:ser>
          <c:idx val="1"/>
          <c:order val="1"/>
          <c:tx>
            <c:strRef>
              <c:f>ND!$O$96</c:f>
              <c:strCache>
                <c:ptCount val="1"/>
                <c:pt idx="0">
                  <c:v>2013-2014</c:v>
                </c:pt>
              </c:strCache>
            </c:strRef>
          </c:tx>
          <c:spPr>
            <a:solidFill>
              <a:srgbClr val="FFC000"/>
            </a:solidFill>
          </c:spPr>
          <c:cat>
            <c:strRef>
              <c:f>ND!$M$97:$M$98</c:f>
              <c:strCache>
                <c:ptCount val="2"/>
                <c:pt idx="0">
                  <c:v>Divulgation complète </c:v>
                </c:pt>
                <c:pt idx="1">
                  <c:v>Divulgation partielle </c:v>
                </c:pt>
              </c:strCache>
            </c:strRef>
          </c:cat>
          <c:val>
            <c:numRef>
              <c:f>ND!$O$97:$O$98</c:f>
              <c:numCache>
                <c:formatCode>0.00%</c:formatCode>
                <c:ptCount val="2"/>
                <c:pt idx="0">
                  <c:v>0.24290220820189323</c:v>
                </c:pt>
                <c:pt idx="1">
                  <c:v>0.47589004055881035</c:v>
                </c:pt>
              </c:numCache>
            </c:numRef>
          </c:val>
        </c:ser>
        <c:ser>
          <c:idx val="2"/>
          <c:order val="2"/>
          <c:tx>
            <c:strRef>
              <c:f>ND!$P$96</c:f>
              <c:strCache>
                <c:ptCount val="1"/>
                <c:pt idx="0">
                  <c:v>2014-2015</c:v>
                </c:pt>
              </c:strCache>
            </c:strRef>
          </c:tx>
          <c:spPr>
            <a:solidFill>
              <a:schemeClr val="accent5">
                <a:lumMod val="75000"/>
              </a:schemeClr>
            </a:solidFill>
          </c:spPr>
          <c:cat>
            <c:strRef>
              <c:f>ND!$M$97:$M$98</c:f>
              <c:strCache>
                <c:ptCount val="2"/>
                <c:pt idx="0">
                  <c:v>Divulgation complète </c:v>
                </c:pt>
                <c:pt idx="1">
                  <c:v>Divulgation partielle </c:v>
                </c:pt>
              </c:strCache>
            </c:strRef>
          </c:cat>
          <c:val>
            <c:numRef>
              <c:f>ND!$P$97:$P$98</c:f>
              <c:numCache>
                <c:formatCode>0.00%</c:formatCode>
                <c:ptCount val="2"/>
                <c:pt idx="0">
                  <c:v>0.18461538461538513</c:v>
                </c:pt>
                <c:pt idx="1">
                  <c:v>0.40347394540942932</c:v>
                </c:pt>
              </c:numCache>
            </c:numRef>
          </c:val>
        </c:ser>
        <c:dLbls/>
        <c:axId val="246463488"/>
        <c:axId val="246477568"/>
      </c:barChart>
      <c:catAx>
        <c:axId val="246463488"/>
        <c:scaling>
          <c:orientation val="minMax"/>
        </c:scaling>
        <c:axPos val="b"/>
        <c:numFmt formatCode="General" sourceLinked="0"/>
        <c:tickLblPos val="nextTo"/>
        <c:crossAx val="246477568"/>
        <c:crosses val="autoZero"/>
        <c:auto val="1"/>
        <c:lblAlgn val="ctr"/>
        <c:lblOffset val="100"/>
      </c:catAx>
      <c:valAx>
        <c:axId val="246477568"/>
        <c:scaling>
          <c:orientation val="minMax"/>
        </c:scaling>
        <c:axPos val="l"/>
        <c:majorGridlines/>
        <c:numFmt formatCode="0%" sourceLinked="0"/>
        <c:tickLblPos val="nextTo"/>
        <c:crossAx val="246463488"/>
        <c:crosses val="autoZero"/>
        <c:crossBetween val="between"/>
      </c:valAx>
    </c:plotArea>
    <c:legend>
      <c:legendPos val="b"/>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HC!$B$2</c:f>
              <c:strCache>
                <c:ptCount val="1"/>
                <c:pt idx="0">
                  <c:v>2012-2013</c:v>
                </c:pt>
              </c:strCache>
            </c:strRef>
          </c:tx>
          <c:spPr>
            <a:solidFill>
              <a:schemeClr val="bg1">
                <a:lumMod val="65000"/>
              </a:schemeClr>
            </a:solidFill>
          </c:spPr>
          <c:cat>
            <c:strRef>
              <c:f>HC!$A$3:$A$8</c:f>
              <c:strCache>
                <c:ptCount val="6"/>
                <c:pt idx="0">
                  <c:v>30 days or less</c:v>
                </c:pt>
                <c:pt idx="1">
                  <c:v>31-60 days</c:v>
                </c:pt>
                <c:pt idx="2">
                  <c:v>61-120 days</c:v>
                </c:pt>
                <c:pt idx="3">
                  <c:v>121-180 days</c:v>
                </c:pt>
                <c:pt idx="4">
                  <c:v>181-365 days</c:v>
                </c:pt>
                <c:pt idx="5">
                  <c:v>More than 365 days</c:v>
                </c:pt>
              </c:strCache>
            </c:strRef>
          </c:cat>
          <c:val>
            <c:numRef>
              <c:f>HC!$B$3:$B$8</c:f>
              <c:numCache>
                <c:formatCode>0.00%</c:formatCode>
                <c:ptCount val="6"/>
                <c:pt idx="0">
                  <c:v>0.48190000000000038</c:v>
                </c:pt>
                <c:pt idx="1">
                  <c:v>0.1338</c:v>
                </c:pt>
                <c:pt idx="2">
                  <c:v>0.17700000000000021</c:v>
                </c:pt>
                <c:pt idx="3">
                  <c:v>6.9300000000000236E-2</c:v>
                </c:pt>
                <c:pt idx="4">
                  <c:v>7.4000000000000177E-2</c:v>
                </c:pt>
                <c:pt idx="5">
                  <c:v>6.3900000000000012E-2</c:v>
                </c:pt>
              </c:numCache>
            </c:numRef>
          </c:val>
        </c:ser>
        <c:ser>
          <c:idx val="1"/>
          <c:order val="1"/>
          <c:tx>
            <c:strRef>
              <c:f>HC!$C$2</c:f>
              <c:strCache>
                <c:ptCount val="1"/>
                <c:pt idx="0">
                  <c:v>2013-2014</c:v>
                </c:pt>
              </c:strCache>
            </c:strRef>
          </c:tx>
          <c:spPr>
            <a:solidFill>
              <a:srgbClr val="FFC000"/>
            </a:solidFill>
          </c:spPr>
          <c:cat>
            <c:strRef>
              <c:f>HC!$A$3:$A$8</c:f>
              <c:strCache>
                <c:ptCount val="6"/>
                <c:pt idx="0">
                  <c:v>30 days or less</c:v>
                </c:pt>
                <c:pt idx="1">
                  <c:v>31-60 days</c:v>
                </c:pt>
                <c:pt idx="2">
                  <c:v>61-120 days</c:v>
                </c:pt>
                <c:pt idx="3">
                  <c:v>121-180 days</c:v>
                </c:pt>
                <c:pt idx="4">
                  <c:v>181-365 days</c:v>
                </c:pt>
                <c:pt idx="5">
                  <c:v>More than 365 days</c:v>
                </c:pt>
              </c:strCache>
            </c:strRef>
          </c:cat>
          <c:val>
            <c:numRef>
              <c:f>HC!$C$3:$C$8</c:f>
              <c:numCache>
                <c:formatCode>0.00%</c:formatCode>
                <c:ptCount val="6"/>
                <c:pt idx="0">
                  <c:v>0.48480000000000106</c:v>
                </c:pt>
                <c:pt idx="1">
                  <c:v>0.11409999999999998</c:v>
                </c:pt>
                <c:pt idx="2">
                  <c:v>0.1784000000000005</c:v>
                </c:pt>
                <c:pt idx="3">
                  <c:v>4.7700000000000159E-2</c:v>
                </c:pt>
                <c:pt idx="4">
                  <c:v>4.5000000000000033E-2</c:v>
                </c:pt>
                <c:pt idx="5">
                  <c:v>0.13</c:v>
                </c:pt>
              </c:numCache>
            </c:numRef>
          </c:val>
        </c:ser>
        <c:ser>
          <c:idx val="2"/>
          <c:order val="2"/>
          <c:tx>
            <c:strRef>
              <c:f>HC!$D$2</c:f>
              <c:strCache>
                <c:ptCount val="1"/>
                <c:pt idx="0">
                  <c:v>2014-2015</c:v>
                </c:pt>
              </c:strCache>
            </c:strRef>
          </c:tx>
          <c:spPr>
            <a:solidFill>
              <a:schemeClr val="accent5">
                <a:lumMod val="75000"/>
              </a:schemeClr>
            </a:solidFill>
          </c:spPr>
          <c:cat>
            <c:strRef>
              <c:f>HC!$A$3:$A$8</c:f>
              <c:strCache>
                <c:ptCount val="6"/>
                <c:pt idx="0">
                  <c:v>30 days or less</c:v>
                </c:pt>
                <c:pt idx="1">
                  <c:v>31-60 days</c:v>
                </c:pt>
                <c:pt idx="2">
                  <c:v>61-120 days</c:v>
                </c:pt>
                <c:pt idx="3">
                  <c:v>121-180 days</c:v>
                </c:pt>
                <c:pt idx="4">
                  <c:v>181-365 days</c:v>
                </c:pt>
                <c:pt idx="5">
                  <c:v>More than 365 days</c:v>
                </c:pt>
              </c:strCache>
            </c:strRef>
          </c:cat>
          <c:val>
            <c:numRef>
              <c:f>HC!$D$3:$D$8</c:f>
              <c:numCache>
                <c:formatCode>0.00%</c:formatCode>
                <c:ptCount val="6"/>
                <c:pt idx="0">
                  <c:v>0.52039999999999997</c:v>
                </c:pt>
                <c:pt idx="1">
                  <c:v>0.11899999999999998</c:v>
                </c:pt>
                <c:pt idx="2">
                  <c:v>0.20920000000000041</c:v>
                </c:pt>
                <c:pt idx="3">
                  <c:v>4.5100000000000022E-2</c:v>
                </c:pt>
                <c:pt idx="4">
                  <c:v>3.5200000000000085E-2</c:v>
                </c:pt>
                <c:pt idx="5">
                  <c:v>7.110000000000001E-2</c:v>
                </c:pt>
              </c:numCache>
            </c:numRef>
          </c:val>
        </c:ser>
        <c:dLbls/>
        <c:axId val="246504832"/>
        <c:axId val="246523008"/>
      </c:barChart>
      <c:catAx>
        <c:axId val="246504832"/>
        <c:scaling>
          <c:orientation val="minMax"/>
        </c:scaling>
        <c:axPos val="b"/>
        <c:numFmt formatCode="General" sourceLinked="0"/>
        <c:tickLblPos val="nextTo"/>
        <c:crossAx val="246523008"/>
        <c:crosses val="autoZero"/>
        <c:auto val="1"/>
        <c:lblAlgn val="ctr"/>
        <c:lblOffset val="100"/>
      </c:catAx>
      <c:valAx>
        <c:axId val="246523008"/>
        <c:scaling>
          <c:orientation val="minMax"/>
        </c:scaling>
        <c:axPos val="l"/>
        <c:majorGridlines/>
        <c:numFmt formatCode="0%" sourceLinked="0"/>
        <c:tickLblPos val="nextTo"/>
        <c:crossAx val="246504832"/>
        <c:crosses val="autoZero"/>
        <c:crossBetween val="between"/>
      </c:valAx>
    </c:plotArea>
    <c:legend>
      <c:legendPos val="b"/>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HC!$N$30</c:f>
              <c:strCache>
                <c:ptCount val="1"/>
                <c:pt idx="0">
                  <c:v>2012-2013</c:v>
                </c:pt>
              </c:strCache>
            </c:strRef>
          </c:tx>
          <c:spPr>
            <a:solidFill>
              <a:schemeClr val="bg1">
                <a:lumMod val="65000"/>
              </a:schemeClr>
            </a:solidFill>
          </c:spPr>
          <c:cat>
            <c:strRef>
              <c:f>HC!$M$31:$M$36</c:f>
              <c:strCache>
                <c:ptCount val="6"/>
                <c:pt idx="0">
                  <c:v>30 jours ou moins</c:v>
                </c:pt>
                <c:pt idx="1">
                  <c:v>31 à 60 jours</c:v>
                </c:pt>
                <c:pt idx="2">
                  <c:v>61 à 120 jours</c:v>
                </c:pt>
                <c:pt idx="3">
                  <c:v>121 à 180 jours</c:v>
                </c:pt>
                <c:pt idx="4">
                  <c:v>181 à 365 jours</c:v>
                </c:pt>
                <c:pt idx="5">
                  <c:v>Plus de 365 jours</c:v>
                </c:pt>
              </c:strCache>
            </c:strRef>
          </c:cat>
          <c:val>
            <c:numRef>
              <c:f>HC!$N$31:$N$36</c:f>
              <c:numCache>
                <c:formatCode>0.00%</c:formatCode>
                <c:ptCount val="6"/>
                <c:pt idx="0">
                  <c:v>0.12549537648613024</c:v>
                </c:pt>
                <c:pt idx="1">
                  <c:v>0.42404227212681733</c:v>
                </c:pt>
                <c:pt idx="2">
                  <c:v>0.31043593130779495</c:v>
                </c:pt>
                <c:pt idx="3">
                  <c:v>4.3593130779392336E-2</c:v>
                </c:pt>
                <c:pt idx="4">
                  <c:v>6.4729194187582564E-2</c:v>
                </c:pt>
                <c:pt idx="5">
                  <c:v>3.1704095112285342E-2</c:v>
                </c:pt>
              </c:numCache>
            </c:numRef>
          </c:val>
        </c:ser>
        <c:ser>
          <c:idx val="1"/>
          <c:order val="1"/>
          <c:tx>
            <c:strRef>
              <c:f>HC!$O$30</c:f>
              <c:strCache>
                <c:ptCount val="1"/>
                <c:pt idx="0">
                  <c:v>2013-2014</c:v>
                </c:pt>
              </c:strCache>
            </c:strRef>
          </c:tx>
          <c:spPr>
            <a:solidFill>
              <a:srgbClr val="FFC000"/>
            </a:solidFill>
          </c:spPr>
          <c:cat>
            <c:strRef>
              <c:f>HC!$M$31:$M$36</c:f>
              <c:strCache>
                <c:ptCount val="6"/>
                <c:pt idx="0">
                  <c:v>30 jours ou moins</c:v>
                </c:pt>
                <c:pt idx="1">
                  <c:v>31 à 60 jours</c:v>
                </c:pt>
                <c:pt idx="2">
                  <c:v>61 à 120 jours</c:v>
                </c:pt>
                <c:pt idx="3">
                  <c:v>121 à 180 jours</c:v>
                </c:pt>
                <c:pt idx="4">
                  <c:v>181 à 365 jours</c:v>
                </c:pt>
                <c:pt idx="5">
                  <c:v>Plus de 365 jours</c:v>
                </c:pt>
              </c:strCache>
            </c:strRef>
          </c:cat>
          <c:val>
            <c:numRef>
              <c:f>HC!$O$31:$O$36</c:f>
              <c:numCache>
                <c:formatCode>0.00%</c:formatCode>
                <c:ptCount val="6"/>
                <c:pt idx="0">
                  <c:v>0.13908205841446494</c:v>
                </c:pt>
                <c:pt idx="1">
                  <c:v>0.53824756606397772</c:v>
                </c:pt>
                <c:pt idx="2">
                  <c:v>0.23087621696801067</c:v>
                </c:pt>
                <c:pt idx="3">
                  <c:v>4.3115438108484005E-2</c:v>
                </c:pt>
                <c:pt idx="4">
                  <c:v>2.6425591098748237E-2</c:v>
                </c:pt>
                <c:pt idx="5">
                  <c:v>2.2253129346314352E-2</c:v>
                </c:pt>
              </c:numCache>
            </c:numRef>
          </c:val>
        </c:ser>
        <c:ser>
          <c:idx val="2"/>
          <c:order val="2"/>
          <c:tx>
            <c:strRef>
              <c:f>HC!$P$30</c:f>
              <c:strCache>
                <c:ptCount val="1"/>
                <c:pt idx="0">
                  <c:v>2014-2015</c:v>
                </c:pt>
              </c:strCache>
            </c:strRef>
          </c:tx>
          <c:spPr>
            <a:solidFill>
              <a:schemeClr val="accent5">
                <a:lumMod val="75000"/>
              </a:schemeClr>
            </a:solidFill>
          </c:spPr>
          <c:cat>
            <c:strRef>
              <c:f>HC!$M$31:$M$36</c:f>
              <c:strCache>
                <c:ptCount val="6"/>
                <c:pt idx="0">
                  <c:v>30 jours ou moins</c:v>
                </c:pt>
                <c:pt idx="1">
                  <c:v>31 à 60 jours</c:v>
                </c:pt>
                <c:pt idx="2">
                  <c:v>61 à 120 jours</c:v>
                </c:pt>
                <c:pt idx="3">
                  <c:v>121 à 180 jours</c:v>
                </c:pt>
                <c:pt idx="4">
                  <c:v>181 à 365 jours</c:v>
                </c:pt>
                <c:pt idx="5">
                  <c:v>Plus de 365 jours</c:v>
                </c:pt>
              </c:strCache>
            </c:strRef>
          </c:cat>
          <c:val>
            <c:numRef>
              <c:f>HC!$P$31:$P$36</c:f>
              <c:numCache>
                <c:formatCode>0.00%</c:formatCode>
                <c:ptCount val="6"/>
                <c:pt idx="0">
                  <c:v>0.13256484149855907</c:v>
                </c:pt>
                <c:pt idx="1">
                  <c:v>0.62391930835734866</c:v>
                </c:pt>
                <c:pt idx="2">
                  <c:v>0.17723342939481271</c:v>
                </c:pt>
                <c:pt idx="3">
                  <c:v>3.1700288184438041E-2</c:v>
                </c:pt>
                <c:pt idx="4">
                  <c:v>2.3054755043227664E-2</c:v>
                </c:pt>
                <c:pt idx="5">
                  <c:v>1.1527377521613841E-2</c:v>
                </c:pt>
              </c:numCache>
            </c:numRef>
          </c:val>
        </c:ser>
        <c:dLbls/>
        <c:axId val="246571392"/>
        <c:axId val="246572928"/>
      </c:barChart>
      <c:catAx>
        <c:axId val="246571392"/>
        <c:scaling>
          <c:orientation val="minMax"/>
        </c:scaling>
        <c:axPos val="b"/>
        <c:numFmt formatCode="General" sourceLinked="0"/>
        <c:tickLblPos val="nextTo"/>
        <c:crossAx val="246572928"/>
        <c:crosses val="autoZero"/>
        <c:auto val="1"/>
        <c:lblAlgn val="ctr"/>
        <c:lblOffset val="100"/>
      </c:catAx>
      <c:valAx>
        <c:axId val="246572928"/>
        <c:scaling>
          <c:orientation val="minMax"/>
        </c:scaling>
        <c:axPos val="l"/>
        <c:majorGridlines/>
        <c:numFmt formatCode="0%" sourceLinked="0"/>
        <c:tickLblPos val="nextTo"/>
        <c:crossAx val="246571392"/>
        <c:crosses val="autoZero"/>
        <c:crossBetween val="between"/>
      </c:valAx>
    </c:plotArea>
    <c:legend>
      <c:legendPos val="b"/>
    </c:legend>
    <c:plotVisOnly val="1"/>
    <c:dispBlanksAs val="gap"/>
  </c:chart>
  <c:txPr>
    <a:bodyPr/>
    <a:lstStyle/>
    <a:p>
      <a:pPr>
        <a:defRPr sz="1000"/>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HC!$H$58</c:f>
              <c:strCache>
                <c:ptCount val="1"/>
                <c:pt idx="0">
                  <c:v>2014-2015</c:v>
                </c:pt>
              </c:strCache>
            </c:strRef>
          </c:tx>
          <c:dPt>
            <c:idx val="0"/>
            <c:spPr>
              <a:solidFill>
                <a:schemeClr val="accent5">
                  <a:lumMod val="75000"/>
                </a:schemeClr>
              </a:solidFill>
            </c:spPr>
          </c:dPt>
          <c:dPt>
            <c:idx val="1"/>
            <c:spPr>
              <a:solidFill>
                <a:schemeClr val="accent6">
                  <a:lumMod val="50000"/>
                </a:schemeClr>
              </a:solidFill>
            </c:spPr>
          </c:dPt>
          <c:dPt>
            <c:idx val="2"/>
            <c:spPr>
              <a:solidFill>
                <a:schemeClr val="accent5">
                  <a:lumMod val="60000"/>
                  <a:lumOff val="40000"/>
                </a:schemeClr>
              </a:solidFill>
            </c:spPr>
          </c:dPt>
          <c:dPt>
            <c:idx val="3"/>
            <c:spPr>
              <a:solidFill>
                <a:schemeClr val="tx2">
                  <a:lumMod val="75000"/>
                </a:schemeClr>
              </a:solidFill>
            </c:spPr>
          </c:dPt>
          <c:dPt>
            <c:idx val="4"/>
            <c:spPr>
              <a:solidFill>
                <a:schemeClr val="bg1">
                  <a:lumMod val="50000"/>
                </a:schemeClr>
              </a:solidFill>
            </c:spPr>
          </c:dPt>
          <c:dPt>
            <c:idx val="6"/>
            <c:spPr>
              <a:solidFill>
                <a:srgbClr val="FFC000"/>
              </a:solidFill>
            </c:spPr>
          </c:dPt>
          <c:dLbls>
            <c:dLbl>
              <c:idx val="0"/>
              <c:layout>
                <c:manualLayout>
                  <c:x val="4.4614814505943281E-3"/>
                  <c:y val="1.1649157200739464E-2"/>
                </c:manualLayout>
              </c:layout>
              <c:tx>
                <c:rich>
                  <a:bodyPr/>
                  <a:lstStyle/>
                  <a:p>
                    <a:r>
                      <a:rPr lang="en-US"/>
                      <a:t>14,01 %</a:t>
                    </a:r>
                  </a:p>
                </c:rich>
              </c:tx>
              <c:showPercent val="1"/>
              <c:extLst>
                <c:ext xmlns:c15="http://schemas.microsoft.com/office/drawing/2012/chart" uri="{CE6537A1-D6FC-4f65-9D91-7224C49458BB}"/>
              </c:extLst>
            </c:dLbl>
            <c:dLbl>
              <c:idx val="1"/>
              <c:layout>
                <c:manualLayout>
                  <c:x val="9.8240022489834537E-3"/>
                  <c:y val="-5.7030734497783278E-3"/>
                </c:manualLayout>
              </c:layout>
              <c:tx>
                <c:rich>
                  <a:bodyPr/>
                  <a:lstStyle/>
                  <a:p>
                    <a:r>
                      <a:rPr lang="en-US"/>
                      <a:t>8,70 %</a:t>
                    </a:r>
                  </a:p>
                </c:rich>
              </c:tx>
              <c:showPercent val="1"/>
              <c:extLst>
                <c:ext xmlns:c15="http://schemas.microsoft.com/office/drawing/2012/chart" uri="{CE6537A1-D6FC-4f65-9D91-7224C49458BB}"/>
              </c:extLst>
            </c:dLbl>
            <c:dLbl>
              <c:idx val="2"/>
              <c:layout>
                <c:manualLayout>
                  <c:x val="2.7880265842756789E-3"/>
                  <c:y val="1.0358441898384202E-2"/>
                </c:manualLayout>
              </c:layout>
              <c:tx>
                <c:rich>
                  <a:bodyPr/>
                  <a:lstStyle/>
                  <a:p>
                    <a:r>
                      <a:rPr lang="en-US"/>
                      <a:t>7,25 %</a:t>
                    </a:r>
                  </a:p>
                </c:rich>
              </c:tx>
              <c:showPercent val="1"/>
              <c:extLst>
                <c:ext xmlns:c15="http://schemas.microsoft.com/office/drawing/2012/chart" uri="{CE6537A1-D6FC-4f65-9D91-7224C49458BB}"/>
              </c:extLst>
            </c:dLbl>
            <c:dLbl>
              <c:idx val="3"/>
              <c:layout>
                <c:manualLayout>
                  <c:x val="7.3221426678700702E-3"/>
                  <c:y val="4.9239408431809885E-3"/>
                </c:manualLayout>
              </c:layout>
              <c:tx>
                <c:rich>
                  <a:bodyPr/>
                  <a:lstStyle/>
                  <a:p>
                    <a:r>
                      <a:rPr lang="en-US"/>
                      <a:t>8,70 %</a:t>
                    </a:r>
                  </a:p>
                </c:rich>
              </c:tx>
              <c:showPercent val="1"/>
              <c:extLst>
                <c:ext xmlns:c15="http://schemas.microsoft.com/office/drawing/2012/chart" uri="{CE6537A1-D6FC-4f65-9D91-7224C49458BB}"/>
              </c:extLst>
            </c:dLbl>
            <c:dLbl>
              <c:idx val="4"/>
              <c:layout>
                <c:manualLayout>
                  <c:x val="-2.3407668211877109E-3"/>
                  <c:y val="-8.7241367556328206E-3"/>
                </c:manualLayout>
              </c:layout>
              <c:tx>
                <c:rich>
                  <a:bodyPr/>
                  <a:lstStyle/>
                  <a:p>
                    <a:r>
                      <a:rPr lang="en-US"/>
                      <a:t>4,35 %</a:t>
                    </a:r>
                  </a:p>
                </c:rich>
              </c:tx>
              <c:showPercent val="1"/>
              <c:extLst>
                <c:ext xmlns:c15="http://schemas.microsoft.com/office/drawing/2012/chart" uri="{CE6537A1-D6FC-4f65-9D91-7224C49458BB}"/>
              </c:extLst>
            </c:dLbl>
            <c:dLbl>
              <c:idx val="5"/>
              <c:layout>
                <c:manualLayout>
                  <c:x val="4.2161714284945683E-3"/>
                  <c:y val="-5.8121403625251413E-3"/>
                </c:manualLayout>
              </c:layout>
              <c:tx>
                <c:rich>
                  <a:bodyPr/>
                  <a:lstStyle/>
                  <a:p>
                    <a:r>
                      <a:rPr lang="en-US"/>
                      <a:t>15,46 %</a:t>
                    </a:r>
                  </a:p>
                </c:rich>
              </c:tx>
              <c:showPercent val="1"/>
              <c:extLst>
                <c:ext xmlns:c15="http://schemas.microsoft.com/office/drawing/2012/chart" uri="{CE6537A1-D6FC-4f65-9D91-7224C49458BB}"/>
              </c:extLst>
            </c:dLbl>
            <c:dLbl>
              <c:idx val="6"/>
              <c:layout>
                <c:manualLayout>
                  <c:x val="-1.0672583250722649E-2"/>
                  <c:y val="-2.1816394640549251E-3"/>
                </c:manualLayout>
              </c:layout>
              <c:tx>
                <c:rich>
                  <a:bodyPr/>
                  <a:lstStyle/>
                  <a:p>
                    <a:r>
                      <a:rPr lang="en-US"/>
                      <a:t>41,55 %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HC!$G$59:$G$65</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HC!$H$59:$H$65</c:f>
              <c:numCache>
                <c:formatCode>General</c:formatCode>
                <c:ptCount val="7"/>
                <c:pt idx="0">
                  <c:v>29</c:v>
                </c:pt>
                <c:pt idx="1">
                  <c:v>18</c:v>
                </c:pt>
                <c:pt idx="2">
                  <c:v>15</c:v>
                </c:pt>
                <c:pt idx="3">
                  <c:v>18</c:v>
                </c:pt>
                <c:pt idx="4">
                  <c:v>9</c:v>
                </c:pt>
                <c:pt idx="5">
                  <c:v>32</c:v>
                </c:pt>
                <c:pt idx="6">
                  <c:v>86</c:v>
                </c:pt>
              </c:numCache>
            </c:numRef>
          </c:val>
        </c:ser>
        <c:dLbls/>
        <c:firstSliceAng val="0"/>
      </c:pieChart>
    </c:plotArea>
    <c:legend>
      <c:legendPos val="r"/>
    </c:legend>
    <c:plotVisOnly val="1"/>
    <c:dispBlanksAs val="zero"/>
  </c:chart>
  <c:txPr>
    <a:bodyPr/>
    <a:lstStyle/>
    <a:p>
      <a:pPr>
        <a:defRPr sz="1000"/>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HC!$N$88</c:f>
              <c:strCache>
                <c:ptCount val="1"/>
                <c:pt idx="0">
                  <c:v>2012-2013</c:v>
                </c:pt>
              </c:strCache>
            </c:strRef>
          </c:tx>
          <c:spPr>
            <a:solidFill>
              <a:schemeClr val="bg1">
                <a:lumMod val="50000"/>
              </a:schemeClr>
            </a:solidFill>
          </c:spPr>
          <c:cat>
            <c:strRef>
              <c:f>HC!$M$89:$M$90</c:f>
              <c:strCache>
                <c:ptCount val="2"/>
                <c:pt idx="0">
                  <c:v>Divulgation complète </c:v>
                </c:pt>
                <c:pt idx="1">
                  <c:v>Divulgation partielle </c:v>
                </c:pt>
              </c:strCache>
            </c:strRef>
          </c:cat>
          <c:val>
            <c:numRef>
              <c:f>HC!$N$89:$N$90</c:f>
              <c:numCache>
                <c:formatCode>0.00%</c:formatCode>
                <c:ptCount val="2"/>
                <c:pt idx="0">
                  <c:v>0.13558318531675548</c:v>
                </c:pt>
                <c:pt idx="1">
                  <c:v>0.53641207815275027</c:v>
                </c:pt>
              </c:numCache>
            </c:numRef>
          </c:val>
        </c:ser>
        <c:ser>
          <c:idx val="1"/>
          <c:order val="1"/>
          <c:tx>
            <c:strRef>
              <c:f>HC!$O$88</c:f>
              <c:strCache>
                <c:ptCount val="1"/>
                <c:pt idx="0">
                  <c:v>2013-2014</c:v>
                </c:pt>
              </c:strCache>
            </c:strRef>
          </c:tx>
          <c:spPr>
            <a:solidFill>
              <a:srgbClr val="FFC000"/>
            </a:solidFill>
          </c:spPr>
          <c:cat>
            <c:strRef>
              <c:f>HC!$M$89:$M$90</c:f>
              <c:strCache>
                <c:ptCount val="2"/>
                <c:pt idx="0">
                  <c:v>Divulgation complète </c:v>
                </c:pt>
                <c:pt idx="1">
                  <c:v>Divulgation partielle </c:v>
                </c:pt>
              </c:strCache>
            </c:strRef>
          </c:cat>
          <c:val>
            <c:numRef>
              <c:f>HC!$O$89:$O$90</c:f>
              <c:numCache>
                <c:formatCode>0.00%</c:formatCode>
                <c:ptCount val="2"/>
                <c:pt idx="0">
                  <c:v>0.13485477178423236</c:v>
                </c:pt>
                <c:pt idx="1">
                  <c:v>0.54149377593360959</c:v>
                </c:pt>
              </c:numCache>
            </c:numRef>
          </c:val>
        </c:ser>
        <c:ser>
          <c:idx val="2"/>
          <c:order val="2"/>
          <c:tx>
            <c:strRef>
              <c:f>HC!$P$88</c:f>
              <c:strCache>
                <c:ptCount val="1"/>
                <c:pt idx="0">
                  <c:v>2014-2015</c:v>
                </c:pt>
              </c:strCache>
            </c:strRef>
          </c:tx>
          <c:spPr>
            <a:solidFill>
              <a:schemeClr val="accent5">
                <a:lumMod val="75000"/>
              </a:schemeClr>
            </a:solidFill>
          </c:spPr>
          <c:cat>
            <c:strRef>
              <c:f>HC!$M$89:$M$90</c:f>
              <c:strCache>
                <c:ptCount val="2"/>
                <c:pt idx="0">
                  <c:v>Divulgation complète </c:v>
                </c:pt>
                <c:pt idx="1">
                  <c:v>Divulgation partielle </c:v>
                </c:pt>
              </c:strCache>
            </c:strRef>
          </c:cat>
          <c:val>
            <c:numRef>
              <c:f>HC!$P$89:$P$90</c:f>
              <c:numCache>
                <c:formatCode>0.00%</c:formatCode>
                <c:ptCount val="2"/>
                <c:pt idx="0">
                  <c:v>0.11338028169014085</c:v>
                </c:pt>
                <c:pt idx="1">
                  <c:v>0.50281690140845059</c:v>
                </c:pt>
              </c:numCache>
            </c:numRef>
          </c:val>
        </c:ser>
        <c:dLbls/>
        <c:axId val="246651520"/>
        <c:axId val="246665600"/>
      </c:barChart>
      <c:catAx>
        <c:axId val="246651520"/>
        <c:scaling>
          <c:orientation val="minMax"/>
        </c:scaling>
        <c:axPos val="b"/>
        <c:numFmt formatCode="General" sourceLinked="0"/>
        <c:tickLblPos val="nextTo"/>
        <c:crossAx val="246665600"/>
        <c:crosses val="autoZero"/>
        <c:auto val="1"/>
        <c:lblAlgn val="ctr"/>
        <c:lblOffset val="100"/>
      </c:catAx>
      <c:valAx>
        <c:axId val="246665600"/>
        <c:scaling>
          <c:orientation val="minMax"/>
        </c:scaling>
        <c:axPos val="l"/>
        <c:majorGridlines/>
        <c:numFmt formatCode="0%" sourceLinked="0"/>
        <c:tickLblPos val="nextTo"/>
        <c:crossAx val="246651520"/>
        <c:crosses val="autoZero"/>
        <c:crossBetween val="between"/>
      </c:valAx>
    </c:plotArea>
    <c:legend>
      <c:legendPos val="b"/>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ECCC!$G$2</c:f>
              <c:strCache>
                <c:ptCount val="1"/>
                <c:pt idx="0">
                  <c:v>2012-2013</c:v>
                </c:pt>
              </c:strCache>
            </c:strRef>
          </c:tx>
          <c:spPr>
            <a:solidFill>
              <a:schemeClr val="bg1">
                <a:lumMod val="65000"/>
              </a:schemeClr>
            </a:solidFill>
          </c:spPr>
          <c:cat>
            <c:strRef>
              <c:f>ECCC!$F$3:$F$8</c:f>
              <c:strCache>
                <c:ptCount val="6"/>
                <c:pt idx="0">
                  <c:v>30 jours ou moins</c:v>
                </c:pt>
                <c:pt idx="1">
                  <c:v>31 à 60 jours</c:v>
                </c:pt>
                <c:pt idx="2">
                  <c:v>61 à 120 jours</c:v>
                </c:pt>
                <c:pt idx="3">
                  <c:v>121 à 180 jours</c:v>
                </c:pt>
                <c:pt idx="4">
                  <c:v>181 à 365 jours</c:v>
                </c:pt>
                <c:pt idx="5">
                  <c:v>Plus de 365 jours</c:v>
                </c:pt>
              </c:strCache>
            </c:strRef>
          </c:cat>
          <c:val>
            <c:numRef>
              <c:f>ECCC!$G$3:$G$8</c:f>
              <c:numCache>
                <c:formatCode>0.00%</c:formatCode>
                <c:ptCount val="6"/>
                <c:pt idx="0">
                  <c:v>0.65911602209944764</c:v>
                </c:pt>
                <c:pt idx="1">
                  <c:v>0.10718232044198957</c:v>
                </c:pt>
                <c:pt idx="2">
                  <c:v>0.14751381215469644</c:v>
                </c:pt>
                <c:pt idx="3">
                  <c:v>4.3646408839779015E-2</c:v>
                </c:pt>
                <c:pt idx="4">
                  <c:v>2.9281767955801209E-2</c:v>
                </c:pt>
                <c:pt idx="5">
                  <c:v>1.3259668508287303E-2</c:v>
                </c:pt>
              </c:numCache>
            </c:numRef>
          </c:val>
        </c:ser>
        <c:ser>
          <c:idx val="1"/>
          <c:order val="1"/>
          <c:tx>
            <c:strRef>
              <c:f>ECCC!$H$2</c:f>
              <c:strCache>
                <c:ptCount val="1"/>
                <c:pt idx="0">
                  <c:v>2013-2014</c:v>
                </c:pt>
              </c:strCache>
            </c:strRef>
          </c:tx>
          <c:spPr>
            <a:solidFill>
              <a:srgbClr val="FFC000"/>
            </a:solidFill>
          </c:spPr>
          <c:cat>
            <c:strRef>
              <c:f>ECCC!$F$3:$F$8</c:f>
              <c:strCache>
                <c:ptCount val="6"/>
                <c:pt idx="0">
                  <c:v>30 jours ou moins</c:v>
                </c:pt>
                <c:pt idx="1">
                  <c:v>31 à 60 jours</c:v>
                </c:pt>
                <c:pt idx="2">
                  <c:v>61 à 120 jours</c:v>
                </c:pt>
                <c:pt idx="3">
                  <c:v>121 à 180 jours</c:v>
                </c:pt>
                <c:pt idx="4">
                  <c:v>181 à 365 jours</c:v>
                </c:pt>
                <c:pt idx="5">
                  <c:v>Plus de 365 jours</c:v>
                </c:pt>
              </c:strCache>
            </c:strRef>
          </c:cat>
          <c:val>
            <c:numRef>
              <c:f>ECCC!$H$3:$H$8</c:f>
              <c:numCache>
                <c:formatCode>0.00%</c:formatCode>
                <c:ptCount val="6"/>
                <c:pt idx="0">
                  <c:v>0.7542134831460674</c:v>
                </c:pt>
                <c:pt idx="1">
                  <c:v>5.0561797752809105E-2</c:v>
                </c:pt>
                <c:pt idx="2">
                  <c:v>7.3033707865168732E-2</c:v>
                </c:pt>
                <c:pt idx="3">
                  <c:v>4.4943820224719107E-2</c:v>
                </c:pt>
                <c:pt idx="4">
                  <c:v>5.5477528089887693E-2</c:v>
                </c:pt>
                <c:pt idx="5">
                  <c:v>2.1769662921348316E-2</c:v>
                </c:pt>
              </c:numCache>
            </c:numRef>
          </c:val>
        </c:ser>
        <c:ser>
          <c:idx val="2"/>
          <c:order val="2"/>
          <c:tx>
            <c:strRef>
              <c:f>ECCC!$I$2</c:f>
              <c:strCache>
                <c:ptCount val="1"/>
                <c:pt idx="0">
                  <c:v>2014-2015</c:v>
                </c:pt>
              </c:strCache>
            </c:strRef>
          </c:tx>
          <c:spPr>
            <a:solidFill>
              <a:schemeClr val="accent5">
                <a:lumMod val="75000"/>
              </a:schemeClr>
            </a:solidFill>
          </c:spPr>
          <c:cat>
            <c:strRef>
              <c:f>ECCC!$F$3:$F$8</c:f>
              <c:strCache>
                <c:ptCount val="6"/>
                <c:pt idx="0">
                  <c:v>30 jours ou moins</c:v>
                </c:pt>
                <c:pt idx="1">
                  <c:v>31 à 60 jours</c:v>
                </c:pt>
                <c:pt idx="2">
                  <c:v>61 à 120 jours</c:v>
                </c:pt>
                <c:pt idx="3">
                  <c:v>121 à 180 jours</c:v>
                </c:pt>
                <c:pt idx="4">
                  <c:v>181 à 365 jours</c:v>
                </c:pt>
                <c:pt idx="5">
                  <c:v>Plus de 365 jours</c:v>
                </c:pt>
              </c:strCache>
            </c:strRef>
          </c:cat>
          <c:val>
            <c:numRef>
              <c:f>ECCC!$I$3:$I$8</c:f>
              <c:numCache>
                <c:formatCode>0.00%</c:formatCode>
                <c:ptCount val="6"/>
                <c:pt idx="0">
                  <c:v>0.72107438016528924</c:v>
                </c:pt>
                <c:pt idx="1">
                  <c:v>9.2286501377410513E-2</c:v>
                </c:pt>
                <c:pt idx="2">
                  <c:v>9.4352617079889955E-2</c:v>
                </c:pt>
                <c:pt idx="3">
                  <c:v>3.4435261707989065E-2</c:v>
                </c:pt>
                <c:pt idx="4">
                  <c:v>4.0633608815427123E-2</c:v>
                </c:pt>
                <c:pt idx="5">
                  <c:v>1.7217630853994449E-2</c:v>
                </c:pt>
              </c:numCache>
            </c:numRef>
          </c:val>
        </c:ser>
        <c:dLbls/>
        <c:axId val="246707712"/>
        <c:axId val="246709248"/>
      </c:barChart>
      <c:catAx>
        <c:axId val="246707712"/>
        <c:scaling>
          <c:orientation val="minMax"/>
        </c:scaling>
        <c:axPos val="b"/>
        <c:numFmt formatCode="General" sourceLinked="0"/>
        <c:tickLblPos val="nextTo"/>
        <c:crossAx val="246709248"/>
        <c:crosses val="autoZero"/>
        <c:auto val="1"/>
        <c:lblAlgn val="ctr"/>
        <c:lblOffset val="100"/>
      </c:catAx>
      <c:valAx>
        <c:axId val="246709248"/>
        <c:scaling>
          <c:orientation val="minMax"/>
        </c:scaling>
        <c:axPos val="l"/>
        <c:majorGridlines/>
        <c:numFmt formatCode="0%" sourceLinked="0"/>
        <c:tickLblPos val="nextTo"/>
        <c:crossAx val="246707712"/>
        <c:crosses val="autoZero"/>
        <c:crossBetween val="between"/>
      </c:valAx>
    </c:plotArea>
    <c:legend>
      <c:legendPos val="b"/>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ECCC!$H$36</c:f>
              <c:strCache>
                <c:ptCount val="1"/>
                <c:pt idx="0">
                  <c:v>2012-2013</c:v>
                </c:pt>
              </c:strCache>
            </c:strRef>
          </c:tx>
          <c:spPr>
            <a:solidFill>
              <a:schemeClr val="bg1">
                <a:lumMod val="65000"/>
              </a:schemeClr>
            </a:solidFill>
          </c:spPr>
          <c:cat>
            <c:strRef>
              <c:f>ECCC!$G$37:$G$42</c:f>
              <c:strCache>
                <c:ptCount val="6"/>
                <c:pt idx="0">
                  <c:v>30 jours ou moins</c:v>
                </c:pt>
                <c:pt idx="1">
                  <c:v>31 à 60 jours</c:v>
                </c:pt>
                <c:pt idx="2">
                  <c:v>61 à 120 jours</c:v>
                </c:pt>
                <c:pt idx="3">
                  <c:v>121 à 180 jours</c:v>
                </c:pt>
                <c:pt idx="4">
                  <c:v>181 à 365 jours</c:v>
                </c:pt>
                <c:pt idx="5">
                  <c:v>Plus de 365 jours</c:v>
                </c:pt>
              </c:strCache>
            </c:strRef>
          </c:cat>
          <c:val>
            <c:numRef>
              <c:f>ECCC!$H$37:$H$42</c:f>
              <c:numCache>
                <c:formatCode>0.00%</c:formatCode>
                <c:ptCount val="6"/>
                <c:pt idx="0">
                  <c:v>0.37569832402234637</c:v>
                </c:pt>
                <c:pt idx="1">
                  <c:v>0.40502793296089484</c:v>
                </c:pt>
                <c:pt idx="2">
                  <c:v>0.2178770949720675</c:v>
                </c:pt>
                <c:pt idx="3">
                  <c:v>0</c:v>
                </c:pt>
                <c:pt idx="4">
                  <c:v>1.3966480446927464E-3</c:v>
                </c:pt>
                <c:pt idx="5">
                  <c:v>0</c:v>
                </c:pt>
              </c:numCache>
            </c:numRef>
          </c:val>
        </c:ser>
        <c:ser>
          <c:idx val="1"/>
          <c:order val="1"/>
          <c:tx>
            <c:strRef>
              <c:f>ECCC!$I$36</c:f>
              <c:strCache>
                <c:ptCount val="1"/>
                <c:pt idx="0">
                  <c:v>2013-2014</c:v>
                </c:pt>
              </c:strCache>
            </c:strRef>
          </c:tx>
          <c:spPr>
            <a:solidFill>
              <a:srgbClr val="FFC000"/>
            </a:solidFill>
          </c:spPr>
          <c:cat>
            <c:strRef>
              <c:f>ECCC!$G$37:$G$42</c:f>
              <c:strCache>
                <c:ptCount val="6"/>
                <c:pt idx="0">
                  <c:v>30 jours ou moins</c:v>
                </c:pt>
                <c:pt idx="1">
                  <c:v>31 à 60 jours</c:v>
                </c:pt>
                <c:pt idx="2">
                  <c:v>61 à 120 jours</c:v>
                </c:pt>
                <c:pt idx="3">
                  <c:v>121 à 180 jours</c:v>
                </c:pt>
                <c:pt idx="4">
                  <c:v>181 à 365 jours</c:v>
                </c:pt>
                <c:pt idx="5">
                  <c:v>Plus de 365 jours</c:v>
                </c:pt>
              </c:strCache>
            </c:strRef>
          </c:cat>
          <c:val>
            <c:numRef>
              <c:f>ECCC!$I$37:$I$42</c:f>
              <c:numCache>
                <c:formatCode>0.00%</c:formatCode>
                <c:ptCount val="6"/>
                <c:pt idx="0">
                  <c:v>0.38865546218487595</c:v>
                </c:pt>
                <c:pt idx="1">
                  <c:v>0.4033613445378153</c:v>
                </c:pt>
                <c:pt idx="2">
                  <c:v>0.19747899159663918</c:v>
                </c:pt>
                <c:pt idx="3">
                  <c:v>1.0504201680672285E-2</c:v>
                </c:pt>
                <c:pt idx="4">
                  <c:v>0</c:v>
                </c:pt>
                <c:pt idx="5">
                  <c:v>0</c:v>
                </c:pt>
              </c:numCache>
            </c:numRef>
          </c:val>
        </c:ser>
        <c:ser>
          <c:idx val="2"/>
          <c:order val="2"/>
          <c:tx>
            <c:strRef>
              <c:f>ECCC!$J$36</c:f>
              <c:strCache>
                <c:ptCount val="1"/>
                <c:pt idx="0">
                  <c:v>2014-2015</c:v>
                </c:pt>
              </c:strCache>
            </c:strRef>
          </c:tx>
          <c:spPr>
            <a:solidFill>
              <a:schemeClr val="accent5">
                <a:lumMod val="75000"/>
              </a:schemeClr>
            </a:solidFill>
          </c:spPr>
          <c:cat>
            <c:strRef>
              <c:f>ECCC!$G$37:$G$42</c:f>
              <c:strCache>
                <c:ptCount val="6"/>
                <c:pt idx="0">
                  <c:v>30 jours ou moins</c:v>
                </c:pt>
                <c:pt idx="1">
                  <c:v>31 à 60 jours</c:v>
                </c:pt>
                <c:pt idx="2">
                  <c:v>61 à 120 jours</c:v>
                </c:pt>
                <c:pt idx="3">
                  <c:v>121 à 180 jours</c:v>
                </c:pt>
                <c:pt idx="4">
                  <c:v>181 à 365 jours</c:v>
                </c:pt>
                <c:pt idx="5">
                  <c:v>Plus de 365 jours</c:v>
                </c:pt>
              </c:strCache>
            </c:strRef>
          </c:cat>
          <c:val>
            <c:numRef>
              <c:f>ECCC!$J$37:$J$42</c:f>
              <c:numCache>
                <c:formatCode>0.00%</c:formatCode>
                <c:ptCount val="6"/>
                <c:pt idx="0">
                  <c:v>0.37340000000000101</c:v>
                </c:pt>
                <c:pt idx="1">
                  <c:v>0.52129999999999999</c:v>
                </c:pt>
                <c:pt idx="2">
                  <c:v>0.10170000000000012</c:v>
                </c:pt>
                <c:pt idx="3">
                  <c:v>0</c:v>
                </c:pt>
                <c:pt idx="4">
                  <c:v>3.7000000000000145E-3</c:v>
                </c:pt>
                <c:pt idx="5">
                  <c:v>0</c:v>
                </c:pt>
              </c:numCache>
            </c:numRef>
          </c:val>
        </c:ser>
        <c:dLbls/>
        <c:axId val="246752384"/>
        <c:axId val="246753920"/>
      </c:barChart>
      <c:catAx>
        <c:axId val="246752384"/>
        <c:scaling>
          <c:orientation val="minMax"/>
        </c:scaling>
        <c:axPos val="b"/>
        <c:numFmt formatCode="General" sourceLinked="0"/>
        <c:tickLblPos val="nextTo"/>
        <c:crossAx val="246753920"/>
        <c:crosses val="autoZero"/>
        <c:auto val="1"/>
        <c:lblAlgn val="ctr"/>
        <c:lblOffset val="100"/>
      </c:catAx>
      <c:valAx>
        <c:axId val="246753920"/>
        <c:scaling>
          <c:orientation val="minMax"/>
        </c:scaling>
        <c:axPos val="l"/>
        <c:majorGridlines/>
        <c:numFmt formatCode="0%" sourceLinked="0"/>
        <c:tickLblPos val="nextTo"/>
        <c:crossAx val="246752384"/>
        <c:crosses val="autoZero"/>
        <c:crossBetween val="between"/>
      </c:valAx>
    </c:plotArea>
    <c:legend>
      <c:legendPos val="b"/>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ECCC!$H$69</c:f>
              <c:strCache>
                <c:ptCount val="1"/>
                <c:pt idx="0">
                  <c:v>2014-2015</c:v>
                </c:pt>
              </c:strCache>
            </c:strRef>
          </c:tx>
          <c:dPt>
            <c:idx val="0"/>
            <c:spPr>
              <a:solidFill>
                <a:schemeClr val="accent5">
                  <a:lumMod val="75000"/>
                </a:schemeClr>
              </a:solidFill>
            </c:spPr>
          </c:dPt>
          <c:dPt>
            <c:idx val="2"/>
            <c:spPr>
              <a:solidFill>
                <a:srgbClr val="FFC000"/>
              </a:solidFill>
            </c:spPr>
          </c:dPt>
          <c:dPt>
            <c:idx val="3"/>
            <c:spPr>
              <a:solidFill>
                <a:schemeClr val="tx2">
                  <a:lumMod val="50000"/>
                </a:schemeClr>
              </a:solidFill>
            </c:spPr>
          </c:dPt>
          <c:dPt>
            <c:idx val="4"/>
            <c:spPr>
              <a:solidFill>
                <a:schemeClr val="tx1">
                  <a:lumMod val="75000"/>
                  <a:lumOff val="25000"/>
                </a:schemeClr>
              </a:solidFill>
            </c:spPr>
          </c:dPt>
          <c:dPt>
            <c:idx val="6"/>
            <c:spPr>
              <a:solidFill>
                <a:schemeClr val="accent5">
                  <a:lumMod val="60000"/>
                  <a:lumOff val="40000"/>
                </a:schemeClr>
              </a:solidFill>
            </c:spPr>
          </c:dPt>
          <c:dLbls>
            <c:dLbl>
              <c:idx val="0"/>
              <c:layout>
                <c:manualLayout>
                  <c:x val="-7.4968629607007472E-3"/>
                  <c:y val="-5.1183082895070895E-3"/>
                </c:manualLayout>
              </c:layout>
              <c:tx>
                <c:rich>
                  <a:bodyPr/>
                  <a:lstStyle/>
                  <a:p>
                    <a:r>
                      <a:rPr lang="en-US"/>
                      <a:t>11,66 %</a:t>
                    </a:r>
                  </a:p>
                </c:rich>
              </c:tx>
              <c:showPercent val="1"/>
              <c:extLst>
                <c:ext xmlns:c15="http://schemas.microsoft.com/office/drawing/2012/chart" uri="{CE6537A1-D6FC-4f65-9D91-7224C49458BB}"/>
              </c:extLst>
            </c:dLbl>
            <c:dLbl>
              <c:idx val="1"/>
              <c:layout>
                <c:manualLayout>
                  <c:x val="1.0089425413099616E-2"/>
                  <c:y val="2.2669588981789651E-2"/>
                </c:manualLayout>
              </c:layout>
              <c:tx>
                <c:rich>
                  <a:bodyPr/>
                  <a:lstStyle/>
                  <a:p>
                    <a:r>
                      <a:rPr lang="en-US"/>
                      <a:t>13,50 %</a:t>
                    </a:r>
                  </a:p>
                </c:rich>
              </c:tx>
              <c:showPercent val="1"/>
              <c:extLst>
                <c:ext xmlns:c15="http://schemas.microsoft.com/office/drawing/2012/chart" uri="{CE6537A1-D6FC-4f65-9D91-7224C49458BB}"/>
              </c:extLst>
            </c:dLbl>
            <c:dLbl>
              <c:idx val="2"/>
              <c:layout>
                <c:manualLayout>
                  <c:x val="1.720955857268406E-2"/>
                  <c:y val="-1.7840950005398908E-2"/>
                </c:manualLayout>
              </c:layout>
              <c:tx>
                <c:rich>
                  <a:bodyPr/>
                  <a:lstStyle/>
                  <a:p>
                    <a:r>
                      <a:rPr lang="en-US"/>
                      <a:t>22,09 %</a:t>
                    </a:r>
                  </a:p>
                </c:rich>
              </c:tx>
              <c:showPercent val="1"/>
              <c:extLst>
                <c:ext xmlns:c15="http://schemas.microsoft.com/office/drawing/2012/chart" uri="{CE6537A1-D6FC-4f65-9D91-7224C49458BB}"/>
              </c:extLst>
            </c:dLbl>
            <c:dLbl>
              <c:idx val="3"/>
              <c:layout>
                <c:manualLayout>
                  <c:x val="-1.2215280043151189E-2"/>
                  <c:y val="-9.611498985763859E-3"/>
                </c:manualLayout>
              </c:layout>
              <c:tx>
                <c:rich>
                  <a:bodyPr/>
                  <a:lstStyle/>
                  <a:p>
                    <a:r>
                      <a:rPr lang="en-US"/>
                      <a:t>17,79 %</a:t>
                    </a:r>
                  </a:p>
                </c:rich>
              </c:tx>
              <c:showPercent val="1"/>
              <c:extLst>
                <c:ext xmlns:c15="http://schemas.microsoft.com/office/drawing/2012/chart" uri="{CE6537A1-D6FC-4f65-9D91-7224C49458BB}"/>
              </c:extLst>
            </c:dLbl>
            <c:dLbl>
              <c:idx val="4"/>
              <c:layout>
                <c:manualLayout>
                  <c:x val="-1.4068605369933547E-3"/>
                  <c:y val="9.8057874116267586E-3"/>
                </c:manualLayout>
              </c:layout>
              <c:tx>
                <c:rich>
                  <a:bodyPr/>
                  <a:lstStyle/>
                  <a:p>
                    <a:r>
                      <a:rPr lang="en-US"/>
                      <a:t>9,82 %</a:t>
                    </a:r>
                  </a:p>
                </c:rich>
              </c:tx>
              <c:showPercent val="1"/>
              <c:extLst>
                <c:ext xmlns:c15="http://schemas.microsoft.com/office/drawing/2012/chart" uri="{CE6537A1-D6FC-4f65-9D91-7224C49458BB}"/>
              </c:extLst>
            </c:dLbl>
            <c:dLbl>
              <c:idx val="5"/>
              <c:layout>
                <c:manualLayout>
                  <c:x val="4.2363661483115145E-4"/>
                  <c:y val="-1.4052325701072451E-2"/>
                </c:manualLayout>
              </c:layout>
              <c:tx>
                <c:rich>
                  <a:bodyPr/>
                  <a:lstStyle/>
                  <a:p>
                    <a:r>
                      <a:rPr lang="en-US"/>
                      <a:t>19,63 %</a:t>
                    </a:r>
                  </a:p>
                </c:rich>
              </c:tx>
              <c:showPercent val="1"/>
              <c:extLst>
                <c:ext xmlns:c15="http://schemas.microsoft.com/office/drawing/2012/chart" uri="{CE6537A1-D6FC-4f65-9D91-7224C49458BB}"/>
              </c:extLst>
            </c:dLbl>
            <c:dLbl>
              <c:idx val="6"/>
              <c:layout>
                <c:manualLayout>
                  <c:x val="-1.5691187917123376E-4"/>
                  <c:y val="6.2511759325031911E-4"/>
                </c:manualLayout>
              </c:layout>
              <c:tx>
                <c:rich>
                  <a:bodyPr/>
                  <a:lstStyle/>
                  <a:p>
                    <a:r>
                      <a:rPr lang="en-US"/>
                      <a:t>5,52 %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ECCC!$G$70:$G$76</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ECCC!$H$70:$H$76</c:f>
              <c:numCache>
                <c:formatCode>General</c:formatCode>
                <c:ptCount val="7"/>
                <c:pt idx="0">
                  <c:v>19</c:v>
                </c:pt>
                <c:pt idx="1">
                  <c:v>22</c:v>
                </c:pt>
                <c:pt idx="2">
                  <c:v>36</c:v>
                </c:pt>
                <c:pt idx="3">
                  <c:v>29</c:v>
                </c:pt>
                <c:pt idx="4">
                  <c:v>16</c:v>
                </c:pt>
                <c:pt idx="5">
                  <c:v>32</c:v>
                </c:pt>
                <c:pt idx="6">
                  <c:v>9</c:v>
                </c:pt>
              </c:numCache>
            </c:numRef>
          </c:val>
        </c:ser>
        <c:dLbls/>
        <c:firstSliceAng val="0"/>
      </c:pieChart>
    </c:plotArea>
    <c:legend>
      <c:legendPos val="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ECCC!$H$103</c:f>
              <c:strCache>
                <c:ptCount val="1"/>
                <c:pt idx="0">
                  <c:v>2012-2013</c:v>
                </c:pt>
              </c:strCache>
            </c:strRef>
          </c:tx>
          <c:spPr>
            <a:solidFill>
              <a:schemeClr val="bg1">
                <a:lumMod val="65000"/>
              </a:schemeClr>
            </a:solidFill>
          </c:spPr>
          <c:cat>
            <c:strRef>
              <c:f>ECCC!$G$104:$G$105</c:f>
              <c:strCache>
                <c:ptCount val="2"/>
                <c:pt idx="0">
                  <c:v>Divulgation complète </c:v>
                </c:pt>
                <c:pt idx="1">
                  <c:v>Divulgation partielle </c:v>
                </c:pt>
              </c:strCache>
            </c:strRef>
          </c:cat>
          <c:val>
            <c:numRef>
              <c:f>ECCC!$H$104:$H$105</c:f>
              <c:numCache>
                <c:formatCode>0.00%</c:formatCode>
                <c:ptCount val="2"/>
                <c:pt idx="0">
                  <c:v>0.112707182320442</c:v>
                </c:pt>
                <c:pt idx="1">
                  <c:v>0.27237569060773481</c:v>
                </c:pt>
              </c:numCache>
            </c:numRef>
          </c:val>
        </c:ser>
        <c:ser>
          <c:idx val="1"/>
          <c:order val="1"/>
          <c:tx>
            <c:strRef>
              <c:f>ECCC!$I$103</c:f>
              <c:strCache>
                <c:ptCount val="1"/>
                <c:pt idx="0">
                  <c:v>2013-2014</c:v>
                </c:pt>
              </c:strCache>
            </c:strRef>
          </c:tx>
          <c:spPr>
            <a:solidFill>
              <a:srgbClr val="FFC000"/>
            </a:solidFill>
          </c:spPr>
          <c:cat>
            <c:strRef>
              <c:f>ECCC!$G$104:$G$105</c:f>
              <c:strCache>
                <c:ptCount val="2"/>
                <c:pt idx="0">
                  <c:v>Divulgation complète </c:v>
                </c:pt>
                <c:pt idx="1">
                  <c:v>Divulgation partielle </c:v>
                </c:pt>
              </c:strCache>
            </c:strRef>
          </c:cat>
          <c:val>
            <c:numRef>
              <c:f>ECCC!$I$104:$I$105</c:f>
              <c:numCache>
                <c:formatCode>0.00%</c:formatCode>
                <c:ptCount val="2"/>
                <c:pt idx="0">
                  <c:v>9.0589887640449465E-2</c:v>
                </c:pt>
                <c:pt idx="1">
                  <c:v>0.2029494382022482</c:v>
                </c:pt>
              </c:numCache>
            </c:numRef>
          </c:val>
        </c:ser>
        <c:ser>
          <c:idx val="2"/>
          <c:order val="2"/>
          <c:tx>
            <c:strRef>
              <c:f>ECCC!$J$103</c:f>
              <c:strCache>
                <c:ptCount val="1"/>
                <c:pt idx="0">
                  <c:v>2014-2015</c:v>
                </c:pt>
              </c:strCache>
            </c:strRef>
          </c:tx>
          <c:spPr>
            <a:solidFill>
              <a:schemeClr val="accent5">
                <a:lumMod val="75000"/>
              </a:schemeClr>
            </a:solidFill>
          </c:spPr>
          <c:cat>
            <c:strRef>
              <c:f>ECCC!$G$104:$G$105</c:f>
              <c:strCache>
                <c:ptCount val="2"/>
                <c:pt idx="0">
                  <c:v>Divulgation complète </c:v>
                </c:pt>
                <c:pt idx="1">
                  <c:v>Divulgation partielle </c:v>
                </c:pt>
              </c:strCache>
            </c:strRef>
          </c:cat>
          <c:val>
            <c:numRef>
              <c:f>ECCC!$J$104:$J$105</c:f>
              <c:numCache>
                <c:formatCode>0.00%</c:formatCode>
                <c:ptCount val="2"/>
                <c:pt idx="0">
                  <c:v>8.3333333333333343E-2</c:v>
                </c:pt>
                <c:pt idx="1">
                  <c:v>0.23553719008264523</c:v>
                </c:pt>
              </c:numCache>
            </c:numRef>
          </c:val>
        </c:ser>
        <c:dLbls/>
        <c:axId val="246829824"/>
        <c:axId val="246831360"/>
      </c:barChart>
      <c:catAx>
        <c:axId val="246829824"/>
        <c:scaling>
          <c:orientation val="minMax"/>
        </c:scaling>
        <c:axPos val="b"/>
        <c:numFmt formatCode="General" sourceLinked="0"/>
        <c:tickLblPos val="nextTo"/>
        <c:crossAx val="246831360"/>
        <c:crosses val="autoZero"/>
        <c:auto val="1"/>
        <c:lblAlgn val="ctr"/>
        <c:lblOffset val="100"/>
      </c:catAx>
      <c:valAx>
        <c:axId val="246831360"/>
        <c:scaling>
          <c:orientation val="minMax"/>
        </c:scaling>
        <c:axPos val="l"/>
        <c:majorGridlines/>
        <c:numFmt formatCode="0%" sourceLinked="0"/>
        <c:tickLblPos val="nextTo"/>
        <c:crossAx val="246829824"/>
        <c:crosses val="autoZero"/>
        <c:crossBetween val="between"/>
      </c:valAx>
    </c:plotArea>
    <c:legend>
      <c:legendPos val="b"/>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ESDC!$G$2</c:f>
              <c:strCache>
                <c:ptCount val="1"/>
                <c:pt idx="0">
                  <c:v>2012-2013</c:v>
                </c:pt>
              </c:strCache>
            </c:strRef>
          </c:tx>
          <c:spPr>
            <a:solidFill>
              <a:schemeClr val="bg1">
                <a:lumMod val="65000"/>
              </a:schemeClr>
            </a:solidFill>
          </c:spPr>
          <c:cat>
            <c:strRef>
              <c:f>ESDC!$F$3:$F$8</c:f>
              <c:strCache>
                <c:ptCount val="6"/>
                <c:pt idx="0">
                  <c:v>30 jours ou moins</c:v>
                </c:pt>
                <c:pt idx="1">
                  <c:v>31 à 60 jours</c:v>
                </c:pt>
                <c:pt idx="2">
                  <c:v>61 à 120 jours</c:v>
                </c:pt>
                <c:pt idx="3">
                  <c:v>121 à 180 jours</c:v>
                </c:pt>
                <c:pt idx="4">
                  <c:v>181 à 365 jours</c:v>
                </c:pt>
                <c:pt idx="5">
                  <c:v>Plus de 365 jours</c:v>
                </c:pt>
              </c:strCache>
            </c:strRef>
          </c:cat>
          <c:val>
            <c:numRef>
              <c:f>ESDC!$G$3:$G$8</c:f>
              <c:numCache>
                <c:formatCode>0.00%</c:formatCode>
                <c:ptCount val="6"/>
                <c:pt idx="0">
                  <c:v>0.49841269841269936</c:v>
                </c:pt>
                <c:pt idx="1">
                  <c:v>0.30952380952381048</c:v>
                </c:pt>
                <c:pt idx="2">
                  <c:v>0.10317460317460322</c:v>
                </c:pt>
                <c:pt idx="3">
                  <c:v>4.2857142857142934E-2</c:v>
                </c:pt>
                <c:pt idx="4">
                  <c:v>3.4920634920634921E-2</c:v>
                </c:pt>
                <c:pt idx="5">
                  <c:v>1.1111111111111141E-2</c:v>
                </c:pt>
              </c:numCache>
            </c:numRef>
          </c:val>
        </c:ser>
        <c:ser>
          <c:idx val="1"/>
          <c:order val="1"/>
          <c:tx>
            <c:strRef>
              <c:f>ESDC!$H$2</c:f>
              <c:strCache>
                <c:ptCount val="1"/>
                <c:pt idx="0">
                  <c:v>2013-2014</c:v>
                </c:pt>
              </c:strCache>
            </c:strRef>
          </c:tx>
          <c:spPr>
            <a:solidFill>
              <a:srgbClr val="FFC000"/>
            </a:solidFill>
          </c:spPr>
          <c:cat>
            <c:strRef>
              <c:f>ESDC!$F$3:$F$8</c:f>
              <c:strCache>
                <c:ptCount val="6"/>
                <c:pt idx="0">
                  <c:v>30 jours ou moins</c:v>
                </c:pt>
                <c:pt idx="1">
                  <c:v>31 à 60 jours</c:v>
                </c:pt>
                <c:pt idx="2">
                  <c:v>61 à 120 jours</c:v>
                </c:pt>
                <c:pt idx="3">
                  <c:v>121 à 180 jours</c:v>
                </c:pt>
                <c:pt idx="4">
                  <c:v>181 à 365 jours</c:v>
                </c:pt>
                <c:pt idx="5">
                  <c:v>Plus de 365 jours</c:v>
                </c:pt>
              </c:strCache>
            </c:strRef>
          </c:cat>
          <c:val>
            <c:numRef>
              <c:f>ESDC!$H$3:$H$8</c:f>
              <c:numCache>
                <c:formatCode>0.00%</c:formatCode>
                <c:ptCount val="6"/>
                <c:pt idx="0">
                  <c:v>0.47961373390557938</c:v>
                </c:pt>
                <c:pt idx="1">
                  <c:v>0.29291845493562302</c:v>
                </c:pt>
                <c:pt idx="2">
                  <c:v>0.14806866952789749</c:v>
                </c:pt>
                <c:pt idx="3">
                  <c:v>4.6137339055794022E-2</c:v>
                </c:pt>
                <c:pt idx="4">
                  <c:v>2.4678111587982859E-2</c:v>
                </c:pt>
                <c:pt idx="5">
                  <c:v>8.5836909871244878E-3</c:v>
                </c:pt>
              </c:numCache>
            </c:numRef>
          </c:val>
        </c:ser>
        <c:ser>
          <c:idx val="2"/>
          <c:order val="2"/>
          <c:tx>
            <c:strRef>
              <c:f>ESDC!$I$2</c:f>
              <c:strCache>
                <c:ptCount val="1"/>
                <c:pt idx="0">
                  <c:v>2014-2015</c:v>
                </c:pt>
              </c:strCache>
            </c:strRef>
          </c:tx>
          <c:spPr>
            <a:solidFill>
              <a:schemeClr val="accent5">
                <a:lumMod val="75000"/>
              </a:schemeClr>
            </a:solidFill>
          </c:spPr>
          <c:cat>
            <c:strRef>
              <c:f>ESDC!$F$3:$F$8</c:f>
              <c:strCache>
                <c:ptCount val="6"/>
                <c:pt idx="0">
                  <c:v>30 jours ou moins</c:v>
                </c:pt>
                <c:pt idx="1">
                  <c:v>31 à 60 jours</c:v>
                </c:pt>
                <c:pt idx="2">
                  <c:v>61 à 120 jours</c:v>
                </c:pt>
                <c:pt idx="3">
                  <c:v>121 à 180 jours</c:v>
                </c:pt>
                <c:pt idx="4">
                  <c:v>181 à 365 jours</c:v>
                </c:pt>
                <c:pt idx="5">
                  <c:v>Plus de 365 jours</c:v>
                </c:pt>
              </c:strCache>
            </c:strRef>
          </c:cat>
          <c:val>
            <c:numRef>
              <c:f>ESDC!$I$3:$I$8</c:f>
              <c:numCache>
                <c:formatCode>0.00%</c:formatCode>
                <c:ptCount val="6"/>
                <c:pt idx="0">
                  <c:v>0.42369668246445574</c:v>
                </c:pt>
                <c:pt idx="1">
                  <c:v>0.2957345971563981</c:v>
                </c:pt>
                <c:pt idx="2">
                  <c:v>0.14597156398104266</c:v>
                </c:pt>
                <c:pt idx="3">
                  <c:v>5.2132701421801125E-2</c:v>
                </c:pt>
                <c:pt idx="4">
                  <c:v>5.2132701421801125E-2</c:v>
                </c:pt>
                <c:pt idx="5">
                  <c:v>3.0331753554502412E-2</c:v>
                </c:pt>
              </c:numCache>
            </c:numRef>
          </c:val>
        </c:ser>
        <c:dLbls/>
        <c:axId val="246886784"/>
        <c:axId val="246888320"/>
      </c:barChart>
      <c:catAx>
        <c:axId val="246886784"/>
        <c:scaling>
          <c:orientation val="minMax"/>
        </c:scaling>
        <c:axPos val="b"/>
        <c:numFmt formatCode="General" sourceLinked="0"/>
        <c:tickLblPos val="nextTo"/>
        <c:crossAx val="246888320"/>
        <c:crosses val="autoZero"/>
        <c:auto val="1"/>
        <c:lblAlgn val="ctr"/>
        <c:lblOffset val="100"/>
      </c:catAx>
      <c:valAx>
        <c:axId val="246888320"/>
        <c:scaling>
          <c:orientation val="minMax"/>
        </c:scaling>
        <c:axPos val="l"/>
        <c:majorGridlines/>
        <c:numFmt formatCode="0%" sourceLinked="0"/>
        <c:tickLblPos val="nextTo"/>
        <c:crossAx val="246886784"/>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IRCC!$H$54</c:f>
              <c:strCache>
                <c:ptCount val="1"/>
                <c:pt idx="0">
                  <c:v>2014-2015</c:v>
                </c:pt>
              </c:strCache>
            </c:strRef>
          </c:tx>
          <c:dPt>
            <c:idx val="0"/>
            <c:spPr>
              <a:solidFill>
                <a:schemeClr val="accent5">
                  <a:lumMod val="75000"/>
                </a:schemeClr>
              </a:solidFill>
            </c:spPr>
          </c:dPt>
          <c:dPt>
            <c:idx val="1"/>
            <c:spPr>
              <a:solidFill>
                <a:schemeClr val="tx1">
                  <a:lumMod val="75000"/>
                  <a:lumOff val="25000"/>
                </a:schemeClr>
              </a:solidFill>
            </c:spPr>
          </c:dPt>
          <c:dPt>
            <c:idx val="2"/>
            <c:spPr>
              <a:solidFill>
                <a:schemeClr val="bg2">
                  <a:lumMod val="50000"/>
                </a:schemeClr>
              </a:solidFill>
            </c:spPr>
          </c:dPt>
          <c:dPt>
            <c:idx val="3"/>
            <c:spPr>
              <a:solidFill>
                <a:schemeClr val="accent5">
                  <a:lumMod val="20000"/>
                  <a:lumOff val="80000"/>
                </a:schemeClr>
              </a:solidFill>
            </c:spPr>
          </c:dPt>
          <c:dPt>
            <c:idx val="4"/>
            <c:spPr>
              <a:solidFill>
                <a:schemeClr val="bg1">
                  <a:lumMod val="50000"/>
                </a:schemeClr>
              </a:solidFill>
            </c:spPr>
          </c:dPt>
          <c:dPt>
            <c:idx val="5"/>
            <c:spPr>
              <a:solidFill>
                <a:srgbClr val="FFC000"/>
              </a:solidFill>
            </c:spPr>
          </c:dPt>
          <c:dPt>
            <c:idx val="6"/>
            <c:spPr>
              <a:solidFill>
                <a:schemeClr val="accent6">
                  <a:lumMod val="50000"/>
                </a:schemeClr>
              </a:solidFill>
            </c:spPr>
          </c:dPt>
          <c:dLbls>
            <c:dLbl>
              <c:idx val="0"/>
              <c:layout>
                <c:manualLayout>
                  <c:x val="6.935131476356533E-3"/>
                  <c:y val="-4.975589014287983E-2"/>
                </c:manualLayout>
              </c:layout>
              <c:tx>
                <c:rich>
                  <a:bodyPr/>
                  <a:lstStyle/>
                  <a:p>
                    <a:r>
                      <a:rPr lang="en-US"/>
                      <a:t>59,36 %</a:t>
                    </a:r>
                  </a:p>
                </c:rich>
              </c:tx>
              <c:showPercent val="1"/>
              <c:extLst>
                <c:ext xmlns:c15="http://schemas.microsoft.com/office/drawing/2012/chart" uri="{CE6537A1-D6FC-4f65-9D91-7224C49458BB}">
                  <c15:layout/>
                </c:ext>
              </c:extLst>
            </c:dLbl>
            <c:dLbl>
              <c:idx val="1"/>
              <c:layout>
                <c:manualLayout>
                  <c:x val="-9.3595090140821489E-3"/>
                  <c:y val="8.2954398301792569E-3"/>
                </c:manualLayout>
              </c:layout>
              <c:tx>
                <c:rich>
                  <a:bodyPr/>
                  <a:lstStyle/>
                  <a:p>
                    <a:r>
                      <a:rPr lang="en-US"/>
                      <a:t>8,55 %</a:t>
                    </a:r>
                  </a:p>
                </c:rich>
              </c:tx>
              <c:showPercent val="1"/>
              <c:extLst>
                <c:ext xmlns:c15="http://schemas.microsoft.com/office/drawing/2012/chart" uri="{CE6537A1-D6FC-4f65-9D91-7224C49458BB}">
                  <c15:layout/>
                </c:ext>
              </c:extLst>
            </c:dLbl>
            <c:dLbl>
              <c:idx val="2"/>
              <c:layout>
                <c:manualLayout>
                  <c:x val="-1.0094226487969944E-2"/>
                  <c:y val="-1.6616303957986855E-2"/>
                </c:manualLayout>
              </c:layout>
              <c:tx>
                <c:rich>
                  <a:bodyPr/>
                  <a:lstStyle/>
                  <a:p>
                    <a:r>
                      <a:rPr lang="en-US"/>
                      <a:t>9,36 %</a:t>
                    </a:r>
                  </a:p>
                </c:rich>
              </c:tx>
              <c:showPercent val="1"/>
              <c:extLst>
                <c:ext xmlns:c15="http://schemas.microsoft.com/office/drawing/2012/chart" uri="{CE6537A1-D6FC-4f65-9D91-7224C49458BB}">
                  <c15:layout/>
                </c:ext>
              </c:extLst>
            </c:dLbl>
            <c:dLbl>
              <c:idx val="3"/>
              <c:layout>
                <c:manualLayout>
                  <c:x val="-3.3552326431135577E-3"/>
                  <c:y val="-1.8324138777342142E-2"/>
                </c:manualLayout>
              </c:layout>
              <c:tx>
                <c:rich>
                  <a:bodyPr/>
                  <a:lstStyle/>
                  <a:p>
                    <a:r>
                      <a:rPr lang="en-US"/>
                      <a:t>8,88 %</a:t>
                    </a:r>
                  </a:p>
                </c:rich>
              </c:tx>
              <c:showPercent val="1"/>
              <c:extLst>
                <c:ext xmlns:c15="http://schemas.microsoft.com/office/drawing/2012/chart" uri="{CE6537A1-D6FC-4f65-9D91-7224C49458BB}">
                  <c15:layout/>
                </c:ext>
              </c:extLst>
            </c:dLbl>
            <c:dLbl>
              <c:idx val="4"/>
              <c:layout>
                <c:manualLayout>
                  <c:x val="-1.3123136969465194E-3"/>
                  <c:y val="-1.936992488645509E-2"/>
                </c:manualLayout>
              </c:layout>
              <c:tx>
                <c:rich>
                  <a:bodyPr/>
                  <a:lstStyle/>
                  <a:p>
                    <a:r>
                      <a:rPr lang="en-US"/>
                      <a:t>4,43 %</a:t>
                    </a:r>
                  </a:p>
                </c:rich>
              </c:tx>
              <c:showPercent val="1"/>
              <c:extLst>
                <c:ext xmlns:c15="http://schemas.microsoft.com/office/drawing/2012/chart" uri="{CE6537A1-D6FC-4f65-9D91-7224C49458BB}">
                  <c15:layout/>
                </c:ext>
              </c:extLst>
            </c:dLbl>
            <c:dLbl>
              <c:idx val="5"/>
              <c:layout>
                <c:manualLayout>
                  <c:x val="1.2877602888289531E-2"/>
                  <c:y val="-1.0166329144991042E-2"/>
                </c:manualLayout>
              </c:layout>
              <c:tx>
                <c:rich>
                  <a:bodyPr/>
                  <a:lstStyle/>
                  <a:p>
                    <a:r>
                      <a:rPr lang="en-US"/>
                      <a:t>6,56 %</a:t>
                    </a:r>
                  </a:p>
                </c:rich>
              </c:tx>
              <c:showPercent val="1"/>
              <c:extLst>
                <c:ext xmlns:c15="http://schemas.microsoft.com/office/drawing/2012/chart" uri="{CE6537A1-D6FC-4f65-9D91-7224C49458BB}">
                  <c15:layout/>
                </c:ext>
              </c:extLst>
            </c:dLbl>
            <c:dLbl>
              <c:idx val="6"/>
              <c:layout>
                <c:manualLayout>
                  <c:x val="3.8450986309638128E-3"/>
                  <c:y val="-1.2073830357233807E-2"/>
                </c:manualLayout>
              </c:layout>
              <c:tx>
                <c:rich>
                  <a:bodyPr/>
                  <a:lstStyle/>
                  <a:p>
                    <a:r>
                      <a:rPr lang="en-US"/>
                      <a:t>2,86 %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IRCC!$G$55:$G$61</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IRCC!$H$55:$H$61</c:f>
              <c:numCache>
                <c:formatCode>General</c:formatCode>
                <c:ptCount val="7"/>
                <c:pt idx="0">
                  <c:v>2200</c:v>
                </c:pt>
                <c:pt idx="1">
                  <c:v>317</c:v>
                </c:pt>
                <c:pt idx="2">
                  <c:v>347</c:v>
                </c:pt>
                <c:pt idx="3">
                  <c:v>329</c:v>
                </c:pt>
                <c:pt idx="4">
                  <c:v>164</c:v>
                </c:pt>
                <c:pt idx="5">
                  <c:v>243</c:v>
                </c:pt>
                <c:pt idx="6">
                  <c:v>106</c:v>
                </c:pt>
              </c:numCache>
            </c:numRef>
          </c:val>
        </c:ser>
        <c:dLbls/>
        <c:firstSliceAng val="0"/>
      </c:pieChart>
    </c:plotArea>
    <c:legend>
      <c:legendPos val="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ESDC!$H$36</c:f>
              <c:strCache>
                <c:ptCount val="1"/>
                <c:pt idx="0">
                  <c:v>2012-2013</c:v>
                </c:pt>
              </c:strCache>
            </c:strRef>
          </c:tx>
          <c:spPr>
            <a:solidFill>
              <a:schemeClr val="bg1">
                <a:lumMod val="65000"/>
              </a:schemeClr>
            </a:solidFill>
          </c:spPr>
          <c:cat>
            <c:strRef>
              <c:f>ESDC!$G$37:$G$42</c:f>
              <c:strCache>
                <c:ptCount val="6"/>
                <c:pt idx="0">
                  <c:v>30 jours ou moins</c:v>
                </c:pt>
                <c:pt idx="1">
                  <c:v>31 à 60 jours</c:v>
                </c:pt>
                <c:pt idx="2">
                  <c:v>61 à 120 jours</c:v>
                </c:pt>
                <c:pt idx="3">
                  <c:v>121 à 180 jours</c:v>
                </c:pt>
                <c:pt idx="4">
                  <c:v>181 à 365 jours</c:v>
                </c:pt>
                <c:pt idx="5">
                  <c:v>Plus de 365 jours</c:v>
                </c:pt>
              </c:strCache>
            </c:strRef>
          </c:cat>
          <c:val>
            <c:numRef>
              <c:f>ESDC!$H$37:$H$42</c:f>
              <c:numCache>
                <c:formatCode>0.00%</c:formatCode>
                <c:ptCount val="6"/>
                <c:pt idx="0">
                  <c:v>0.28873239436619719</c:v>
                </c:pt>
                <c:pt idx="1">
                  <c:v>0.13380281690140838</c:v>
                </c:pt>
                <c:pt idx="2">
                  <c:v>0.25352112676056326</c:v>
                </c:pt>
                <c:pt idx="3">
                  <c:v>0.29577464788732438</c:v>
                </c:pt>
                <c:pt idx="4">
                  <c:v>2.8169014084507043E-2</c:v>
                </c:pt>
                <c:pt idx="5">
                  <c:v>0</c:v>
                </c:pt>
              </c:numCache>
            </c:numRef>
          </c:val>
        </c:ser>
        <c:ser>
          <c:idx val="1"/>
          <c:order val="1"/>
          <c:tx>
            <c:strRef>
              <c:f>ESDC!$I$36</c:f>
              <c:strCache>
                <c:ptCount val="1"/>
                <c:pt idx="0">
                  <c:v>2013-2014</c:v>
                </c:pt>
              </c:strCache>
            </c:strRef>
          </c:tx>
          <c:spPr>
            <a:solidFill>
              <a:srgbClr val="FFC000"/>
            </a:solidFill>
          </c:spPr>
          <c:cat>
            <c:strRef>
              <c:f>ESDC!$G$37:$G$42</c:f>
              <c:strCache>
                <c:ptCount val="6"/>
                <c:pt idx="0">
                  <c:v>30 jours ou moins</c:v>
                </c:pt>
                <c:pt idx="1">
                  <c:v>31 à 60 jours</c:v>
                </c:pt>
                <c:pt idx="2">
                  <c:v>61 à 120 jours</c:v>
                </c:pt>
                <c:pt idx="3">
                  <c:v>121 à 180 jours</c:v>
                </c:pt>
                <c:pt idx="4">
                  <c:v>181 à 365 jours</c:v>
                </c:pt>
                <c:pt idx="5">
                  <c:v>Plus de 365 jours</c:v>
                </c:pt>
              </c:strCache>
            </c:strRef>
          </c:cat>
          <c:val>
            <c:numRef>
              <c:f>ESDC!$I$37:$I$42</c:f>
              <c:numCache>
                <c:formatCode>0.00%</c:formatCode>
                <c:ptCount val="6"/>
                <c:pt idx="0">
                  <c:v>0.36050156739811984</c:v>
                </c:pt>
                <c:pt idx="1">
                  <c:v>0.25705329153605017</c:v>
                </c:pt>
                <c:pt idx="2">
                  <c:v>0.3667711598746089</c:v>
                </c:pt>
                <c:pt idx="3">
                  <c:v>1.5673981191222569E-2</c:v>
                </c:pt>
                <c:pt idx="4">
                  <c:v>0</c:v>
                </c:pt>
                <c:pt idx="5">
                  <c:v>0</c:v>
                </c:pt>
              </c:numCache>
            </c:numRef>
          </c:val>
        </c:ser>
        <c:ser>
          <c:idx val="2"/>
          <c:order val="2"/>
          <c:tx>
            <c:strRef>
              <c:f>ESDC!$J$36</c:f>
              <c:strCache>
                <c:ptCount val="1"/>
                <c:pt idx="0">
                  <c:v>2014-2015</c:v>
                </c:pt>
              </c:strCache>
            </c:strRef>
          </c:tx>
          <c:spPr>
            <a:solidFill>
              <a:schemeClr val="accent5">
                <a:lumMod val="75000"/>
              </a:schemeClr>
            </a:solidFill>
          </c:spPr>
          <c:cat>
            <c:strRef>
              <c:f>ESDC!$G$37:$G$42</c:f>
              <c:strCache>
                <c:ptCount val="6"/>
                <c:pt idx="0">
                  <c:v>30 jours ou moins</c:v>
                </c:pt>
                <c:pt idx="1">
                  <c:v>31 à 60 jours</c:v>
                </c:pt>
                <c:pt idx="2">
                  <c:v>61 à 120 jours</c:v>
                </c:pt>
                <c:pt idx="3">
                  <c:v>121 à 180 jours</c:v>
                </c:pt>
                <c:pt idx="4">
                  <c:v>181 à 365 jours</c:v>
                </c:pt>
                <c:pt idx="5">
                  <c:v>Plus de 365 jours</c:v>
                </c:pt>
              </c:strCache>
            </c:strRef>
          </c:cat>
          <c:val>
            <c:numRef>
              <c:f>ESDC!$J$37:$J$42</c:f>
              <c:numCache>
                <c:formatCode>0.00%</c:formatCode>
                <c:ptCount val="6"/>
                <c:pt idx="0">
                  <c:v>0.4101123595505618</c:v>
                </c:pt>
                <c:pt idx="1">
                  <c:v>0.27808988764045073</c:v>
                </c:pt>
                <c:pt idx="2">
                  <c:v>0.26685393258426982</c:v>
                </c:pt>
                <c:pt idx="3">
                  <c:v>2.2471910112359703E-2</c:v>
                </c:pt>
                <c:pt idx="4">
                  <c:v>2.2471910112359703E-2</c:v>
                </c:pt>
                <c:pt idx="5">
                  <c:v>0</c:v>
                </c:pt>
              </c:numCache>
            </c:numRef>
          </c:val>
        </c:ser>
        <c:dLbls/>
        <c:axId val="247006336"/>
        <c:axId val="247007872"/>
      </c:barChart>
      <c:catAx>
        <c:axId val="247006336"/>
        <c:scaling>
          <c:orientation val="minMax"/>
        </c:scaling>
        <c:axPos val="b"/>
        <c:numFmt formatCode="General" sourceLinked="0"/>
        <c:tickLblPos val="nextTo"/>
        <c:crossAx val="247007872"/>
        <c:crosses val="autoZero"/>
        <c:auto val="1"/>
        <c:lblAlgn val="ctr"/>
        <c:lblOffset val="100"/>
      </c:catAx>
      <c:valAx>
        <c:axId val="247007872"/>
        <c:scaling>
          <c:orientation val="minMax"/>
        </c:scaling>
        <c:axPos val="l"/>
        <c:majorGridlines/>
        <c:numFmt formatCode="0%" sourceLinked="0"/>
        <c:tickLblPos val="nextTo"/>
        <c:crossAx val="247006336"/>
        <c:crosses val="autoZero"/>
        <c:crossBetween val="between"/>
      </c:valAx>
    </c:plotArea>
    <c:legend>
      <c:legendPos val="b"/>
    </c:legend>
    <c:plotVisOnly val="1"/>
    <c:dispBlanksAs val="gap"/>
  </c:chart>
  <c:txPr>
    <a:bodyPr/>
    <a:lstStyle/>
    <a:p>
      <a:pPr>
        <a:defRPr sz="1000"/>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ESDC!$H$62</c:f>
              <c:strCache>
                <c:ptCount val="1"/>
                <c:pt idx="0">
                  <c:v>2014-2015</c:v>
                </c:pt>
              </c:strCache>
            </c:strRef>
          </c:tx>
          <c:dPt>
            <c:idx val="0"/>
            <c:spPr>
              <a:solidFill>
                <a:schemeClr val="accent5">
                  <a:lumMod val="50000"/>
                </a:schemeClr>
              </a:solidFill>
            </c:spPr>
          </c:dPt>
          <c:dPt>
            <c:idx val="1"/>
            <c:spPr>
              <a:solidFill>
                <a:schemeClr val="tx1">
                  <a:lumMod val="75000"/>
                  <a:lumOff val="25000"/>
                </a:schemeClr>
              </a:solidFill>
            </c:spPr>
          </c:dPt>
          <c:dPt>
            <c:idx val="2"/>
            <c:spPr>
              <a:solidFill>
                <a:schemeClr val="tx2">
                  <a:lumMod val="75000"/>
                </a:schemeClr>
              </a:solidFill>
            </c:spPr>
          </c:dPt>
          <c:dPt>
            <c:idx val="3"/>
            <c:spPr>
              <a:solidFill>
                <a:schemeClr val="accent5">
                  <a:lumMod val="40000"/>
                  <a:lumOff val="60000"/>
                </a:schemeClr>
              </a:solidFill>
            </c:spPr>
          </c:dPt>
          <c:dPt>
            <c:idx val="4"/>
            <c:spPr>
              <a:solidFill>
                <a:schemeClr val="accent6">
                  <a:lumMod val="75000"/>
                </a:schemeClr>
              </a:solidFill>
            </c:spPr>
          </c:dPt>
          <c:dPt>
            <c:idx val="5"/>
            <c:spPr>
              <a:solidFill>
                <a:schemeClr val="bg2">
                  <a:lumMod val="50000"/>
                </a:schemeClr>
              </a:solidFill>
            </c:spPr>
          </c:dPt>
          <c:dPt>
            <c:idx val="6"/>
            <c:spPr>
              <a:solidFill>
                <a:schemeClr val="accent6">
                  <a:lumMod val="50000"/>
                </a:schemeClr>
              </a:solidFill>
            </c:spPr>
          </c:dPt>
          <c:dLbls>
            <c:dLbl>
              <c:idx val="0"/>
              <c:layout>
                <c:manualLayout>
                  <c:x val="2.8554150865446161E-3"/>
                  <c:y val="-3.518869406947403E-2"/>
                </c:manualLayout>
              </c:layout>
              <c:tx>
                <c:rich>
                  <a:bodyPr/>
                  <a:lstStyle/>
                  <a:p>
                    <a:r>
                      <a:rPr lang="en-US"/>
                      <a:t>32,42 %</a:t>
                    </a:r>
                  </a:p>
                </c:rich>
              </c:tx>
              <c:showPercent val="1"/>
              <c:extLst>
                <c:ext xmlns:c15="http://schemas.microsoft.com/office/drawing/2012/chart" uri="{CE6537A1-D6FC-4f65-9D91-7224C49458BB}"/>
              </c:extLst>
            </c:dLbl>
            <c:dLbl>
              <c:idx val="1"/>
              <c:layout>
                <c:manualLayout>
                  <c:x val="1.9422816363440096E-2"/>
                  <c:y val="9.0335828020877344E-4"/>
                </c:manualLayout>
              </c:layout>
              <c:tx>
                <c:rich>
                  <a:bodyPr/>
                  <a:lstStyle/>
                  <a:p>
                    <a:r>
                      <a:rPr lang="en-US"/>
                      <a:t>12,89 %</a:t>
                    </a:r>
                  </a:p>
                </c:rich>
              </c:tx>
              <c:showPercent val="1"/>
              <c:extLst>
                <c:ext xmlns:c15="http://schemas.microsoft.com/office/drawing/2012/chart" uri="{CE6537A1-D6FC-4f65-9D91-7224C49458BB}"/>
              </c:extLst>
            </c:dLbl>
            <c:dLbl>
              <c:idx val="2"/>
              <c:layout>
                <c:manualLayout>
                  <c:x val="-2.648808913284071E-2"/>
                  <c:y val="3.2921137949574013E-3"/>
                </c:manualLayout>
              </c:layout>
              <c:tx>
                <c:rich>
                  <a:bodyPr/>
                  <a:lstStyle/>
                  <a:p>
                    <a:r>
                      <a:rPr lang="en-US"/>
                      <a:t>14,06 %</a:t>
                    </a:r>
                  </a:p>
                </c:rich>
              </c:tx>
              <c:showPercent val="1"/>
              <c:extLst>
                <c:ext xmlns:c15="http://schemas.microsoft.com/office/drawing/2012/chart" uri="{CE6537A1-D6FC-4f65-9D91-7224C49458BB}"/>
              </c:extLst>
            </c:dLbl>
            <c:dLbl>
              <c:idx val="3"/>
              <c:layout>
                <c:manualLayout>
                  <c:x val="-1.1483779583801477E-2"/>
                  <c:y val="6.0486953801186507E-3"/>
                </c:manualLayout>
              </c:layout>
              <c:tx>
                <c:rich>
                  <a:bodyPr/>
                  <a:lstStyle/>
                  <a:p>
                    <a:r>
                      <a:rPr lang="en-US"/>
                      <a:t>16,02 %</a:t>
                    </a:r>
                  </a:p>
                </c:rich>
              </c:tx>
              <c:showPercent val="1"/>
              <c:extLst>
                <c:ext xmlns:c15="http://schemas.microsoft.com/office/drawing/2012/chart" uri="{CE6537A1-D6FC-4f65-9D91-7224C49458BB}"/>
              </c:extLst>
            </c:dLbl>
            <c:dLbl>
              <c:idx val="4"/>
              <c:layout>
                <c:manualLayout>
                  <c:x val="-8.7447021803997733E-3"/>
                  <c:y val="8.8464988524813142E-3"/>
                </c:manualLayout>
              </c:layout>
              <c:tx>
                <c:rich>
                  <a:bodyPr/>
                  <a:lstStyle/>
                  <a:p>
                    <a:r>
                      <a:rPr lang="en-US"/>
                      <a:t>5,47 %</a:t>
                    </a:r>
                  </a:p>
                </c:rich>
              </c:tx>
              <c:showPercent val="1"/>
              <c:extLst>
                <c:ext xmlns:c15="http://schemas.microsoft.com/office/drawing/2012/chart" uri="{CE6537A1-D6FC-4f65-9D91-7224C49458BB}"/>
              </c:extLst>
            </c:dLbl>
            <c:dLbl>
              <c:idx val="5"/>
              <c:layout>
                <c:manualLayout>
                  <c:x val="-8.052618534457396E-3"/>
                  <c:y val="-7.3226983213179175E-3"/>
                </c:manualLayout>
              </c:layout>
              <c:tx>
                <c:rich>
                  <a:bodyPr/>
                  <a:lstStyle/>
                  <a:p>
                    <a:r>
                      <a:rPr lang="en-US"/>
                      <a:t>10,94 %</a:t>
                    </a:r>
                  </a:p>
                </c:rich>
              </c:tx>
              <c:showPercent val="1"/>
              <c:extLst>
                <c:ext xmlns:c15="http://schemas.microsoft.com/office/drawing/2012/chart" uri="{CE6537A1-D6FC-4f65-9D91-7224C49458BB}"/>
              </c:extLst>
            </c:dLbl>
            <c:dLbl>
              <c:idx val="6"/>
              <c:layout>
                <c:manualLayout>
                  <c:x val="3.3599165488929286E-4"/>
                  <c:y val="-2.3264377699039581E-3"/>
                </c:manualLayout>
              </c:layout>
              <c:tx>
                <c:rich>
                  <a:bodyPr/>
                  <a:lstStyle/>
                  <a:p>
                    <a:r>
                      <a:rPr lang="en-US"/>
                      <a:t>8,20 %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ESDC!$G$63:$G$69</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ESDC!$H$63:$H$69</c:f>
              <c:numCache>
                <c:formatCode>General</c:formatCode>
                <c:ptCount val="7"/>
                <c:pt idx="0">
                  <c:v>83</c:v>
                </c:pt>
                <c:pt idx="1">
                  <c:v>33</c:v>
                </c:pt>
                <c:pt idx="2">
                  <c:v>36</c:v>
                </c:pt>
                <c:pt idx="3">
                  <c:v>41</c:v>
                </c:pt>
                <c:pt idx="4">
                  <c:v>14</c:v>
                </c:pt>
                <c:pt idx="5">
                  <c:v>28</c:v>
                </c:pt>
                <c:pt idx="6">
                  <c:v>21</c:v>
                </c:pt>
              </c:numCache>
            </c:numRef>
          </c:val>
        </c:ser>
        <c:dLbls/>
        <c:firstSliceAng val="0"/>
      </c:pieChart>
    </c:plotArea>
    <c:legend>
      <c:legendPos val="r"/>
    </c:legend>
    <c:plotVisOnly val="1"/>
    <c:dispBlanksAs val="zero"/>
  </c:chart>
  <c:txPr>
    <a:bodyPr/>
    <a:lstStyle/>
    <a:p>
      <a:pPr>
        <a:defRPr sz="1000"/>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ESDC!$H$95</c:f>
              <c:strCache>
                <c:ptCount val="1"/>
                <c:pt idx="0">
                  <c:v>2012-2013</c:v>
                </c:pt>
              </c:strCache>
            </c:strRef>
          </c:tx>
          <c:spPr>
            <a:solidFill>
              <a:schemeClr val="bg1">
                <a:lumMod val="65000"/>
              </a:schemeClr>
            </a:solidFill>
          </c:spPr>
          <c:cat>
            <c:strRef>
              <c:f>ESDC!$G$96:$G$97</c:f>
              <c:strCache>
                <c:ptCount val="2"/>
                <c:pt idx="0">
                  <c:v>Divulgation complète </c:v>
                </c:pt>
                <c:pt idx="1">
                  <c:v>Divulgation partielle </c:v>
                </c:pt>
              </c:strCache>
            </c:strRef>
          </c:cat>
          <c:val>
            <c:numRef>
              <c:f>ESDC!$H$96:$H$97</c:f>
              <c:numCache>
                <c:formatCode>0.00%</c:formatCode>
                <c:ptCount val="2"/>
                <c:pt idx="0">
                  <c:v>0.36825396825396889</c:v>
                </c:pt>
                <c:pt idx="1">
                  <c:v>0.42063492063492081</c:v>
                </c:pt>
              </c:numCache>
            </c:numRef>
          </c:val>
        </c:ser>
        <c:ser>
          <c:idx val="1"/>
          <c:order val="1"/>
          <c:tx>
            <c:strRef>
              <c:f>ESDC!$I$95</c:f>
              <c:strCache>
                <c:ptCount val="1"/>
                <c:pt idx="0">
                  <c:v>2013-2014</c:v>
                </c:pt>
              </c:strCache>
            </c:strRef>
          </c:tx>
          <c:spPr>
            <a:solidFill>
              <a:srgbClr val="FFC000"/>
            </a:solidFill>
          </c:spPr>
          <c:cat>
            <c:strRef>
              <c:f>ESDC!$G$96:$G$97</c:f>
              <c:strCache>
                <c:ptCount val="2"/>
                <c:pt idx="0">
                  <c:v>Divulgation complète </c:v>
                </c:pt>
                <c:pt idx="1">
                  <c:v>Divulgation partielle </c:v>
                </c:pt>
              </c:strCache>
            </c:strRef>
          </c:cat>
          <c:val>
            <c:numRef>
              <c:f>ESDC!$I$96:$I$97</c:f>
              <c:numCache>
                <c:formatCode>0.00%</c:formatCode>
                <c:ptCount val="2"/>
                <c:pt idx="0">
                  <c:v>0.26072961373390557</c:v>
                </c:pt>
                <c:pt idx="1">
                  <c:v>0.50751072961373356</c:v>
                </c:pt>
              </c:numCache>
            </c:numRef>
          </c:val>
        </c:ser>
        <c:ser>
          <c:idx val="2"/>
          <c:order val="2"/>
          <c:tx>
            <c:strRef>
              <c:f>ESDC!$J$95</c:f>
              <c:strCache>
                <c:ptCount val="1"/>
                <c:pt idx="0">
                  <c:v>2014-2015</c:v>
                </c:pt>
              </c:strCache>
            </c:strRef>
          </c:tx>
          <c:spPr>
            <a:solidFill>
              <a:schemeClr val="accent5">
                <a:lumMod val="75000"/>
              </a:schemeClr>
            </a:solidFill>
          </c:spPr>
          <c:cat>
            <c:strRef>
              <c:f>ESDC!$G$96:$G$97</c:f>
              <c:strCache>
                <c:ptCount val="2"/>
                <c:pt idx="0">
                  <c:v>Divulgation complète </c:v>
                </c:pt>
                <c:pt idx="1">
                  <c:v>Divulgation partielle </c:v>
                </c:pt>
              </c:strCache>
            </c:strRef>
          </c:cat>
          <c:val>
            <c:numRef>
              <c:f>ESDC!$J$96:$J$97</c:f>
              <c:numCache>
                <c:formatCode>0.00%</c:formatCode>
                <c:ptCount val="2"/>
                <c:pt idx="0">
                  <c:v>0.27014218009478702</c:v>
                </c:pt>
                <c:pt idx="1">
                  <c:v>0.43127962085308058</c:v>
                </c:pt>
              </c:numCache>
            </c:numRef>
          </c:val>
        </c:ser>
        <c:dLbls/>
        <c:axId val="252354560"/>
        <c:axId val="252356096"/>
      </c:barChart>
      <c:catAx>
        <c:axId val="252354560"/>
        <c:scaling>
          <c:orientation val="minMax"/>
        </c:scaling>
        <c:axPos val="b"/>
        <c:numFmt formatCode="General" sourceLinked="0"/>
        <c:tickLblPos val="nextTo"/>
        <c:crossAx val="252356096"/>
        <c:crosses val="autoZero"/>
        <c:auto val="1"/>
        <c:lblAlgn val="ctr"/>
        <c:lblOffset val="100"/>
      </c:catAx>
      <c:valAx>
        <c:axId val="252356096"/>
        <c:scaling>
          <c:orientation val="minMax"/>
        </c:scaling>
        <c:axPos val="l"/>
        <c:majorGridlines/>
        <c:numFmt formatCode="0%" sourceLinked="0"/>
        <c:tickLblPos val="nextTo"/>
        <c:crossAx val="252354560"/>
        <c:crosses val="autoZero"/>
        <c:crossBetween val="between"/>
      </c:valAx>
    </c:plotArea>
    <c:legend>
      <c:legendPos val="b"/>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TC!$G$2</c:f>
              <c:strCache>
                <c:ptCount val="1"/>
                <c:pt idx="0">
                  <c:v>2012-2013</c:v>
                </c:pt>
              </c:strCache>
            </c:strRef>
          </c:tx>
          <c:spPr>
            <a:solidFill>
              <a:schemeClr val="bg1">
                <a:lumMod val="65000"/>
              </a:schemeClr>
            </a:solidFill>
          </c:spPr>
          <c:cat>
            <c:strRef>
              <c:f>TC!$F$3:$F$8</c:f>
              <c:strCache>
                <c:ptCount val="6"/>
                <c:pt idx="0">
                  <c:v>30 jours ou moins</c:v>
                </c:pt>
                <c:pt idx="1">
                  <c:v>31 à 60 jours</c:v>
                </c:pt>
                <c:pt idx="2">
                  <c:v>61 à 120 jours</c:v>
                </c:pt>
                <c:pt idx="3">
                  <c:v>121 à 180 jours</c:v>
                </c:pt>
                <c:pt idx="4">
                  <c:v>181 à 365 jours</c:v>
                </c:pt>
                <c:pt idx="5">
                  <c:v>Plus de 365 jours</c:v>
                </c:pt>
              </c:strCache>
            </c:strRef>
          </c:cat>
          <c:val>
            <c:numRef>
              <c:f>TC!$G$3:$G$8</c:f>
              <c:numCache>
                <c:formatCode>0.00%</c:formatCode>
                <c:ptCount val="6"/>
                <c:pt idx="0">
                  <c:v>0.34390415785764766</c:v>
                </c:pt>
                <c:pt idx="1">
                  <c:v>8.3157152924595037E-2</c:v>
                </c:pt>
                <c:pt idx="2">
                  <c:v>0.34390415785764766</c:v>
                </c:pt>
                <c:pt idx="3">
                  <c:v>6.131078224101489E-2</c:v>
                </c:pt>
                <c:pt idx="4">
                  <c:v>5.4968287526427226E-2</c:v>
                </c:pt>
                <c:pt idx="5">
                  <c:v>0.11275546159267098</c:v>
                </c:pt>
              </c:numCache>
            </c:numRef>
          </c:val>
        </c:ser>
        <c:ser>
          <c:idx val="1"/>
          <c:order val="1"/>
          <c:tx>
            <c:strRef>
              <c:f>TC!$H$2</c:f>
              <c:strCache>
                <c:ptCount val="1"/>
                <c:pt idx="0">
                  <c:v>2013-2014</c:v>
                </c:pt>
              </c:strCache>
            </c:strRef>
          </c:tx>
          <c:spPr>
            <a:solidFill>
              <a:srgbClr val="FFC000"/>
            </a:solidFill>
          </c:spPr>
          <c:cat>
            <c:strRef>
              <c:f>TC!$F$3:$F$8</c:f>
              <c:strCache>
                <c:ptCount val="6"/>
                <c:pt idx="0">
                  <c:v>30 jours ou moins</c:v>
                </c:pt>
                <c:pt idx="1">
                  <c:v>31 à 60 jours</c:v>
                </c:pt>
                <c:pt idx="2">
                  <c:v>61 à 120 jours</c:v>
                </c:pt>
                <c:pt idx="3">
                  <c:v>121 à 180 jours</c:v>
                </c:pt>
                <c:pt idx="4">
                  <c:v>181 à 365 jours</c:v>
                </c:pt>
                <c:pt idx="5">
                  <c:v>Plus de 365 jours</c:v>
                </c:pt>
              </c:strCache>
            </c:strRef>
          </c:cat>
          <c:val>
            <c:numRef>
              <c:f>TC!$H$3:$H$8</c:f>
              <c:numCache>
                <c:formatCode>0.00%</c:formatCode>
                <c:ptCount val="6"/>
                <c:pt idx="0">
                  <c:v>0.24581939799331146</c:v>
                </c:pt>
                <c:pt idx="1">
                  <c:v>5.0724637681159424E-2</c:v>
                </c:pt>
                <c:pt idx="2">
                  <c:v>0.19286510590858405</c:v>
                </c:pt>
                <c:pt idx="3">
                  <c:v>9.1973244147157213E-2</c:v>
                </c:pt>
                <c:pt idx="4">
                  <c:v>0.39353400222965562</c:v>
                </c:pt>
                <c:pt idx="5">
                  <c:v>2.5083612040133849E-2</c:v>
                </c:pt>
              </c:numCache>
            </c:numRef>
          </c:val>
        </c:ser>
        <c:ser>
          <c:idx val="2"/>
          <c:order val="2"/>
          <c:tx>
            <c:strRef>
              <c:f>TC!$I$2</c:f>
              <c:strCache>
                <c:ptCount val="1"/>
                <c:pt idx="0">
                  <c:v>2014-2015</c:v>
                </c:pt>
              </c:strCache>
            </c:strRef>
          </c:tx>
          <c:spPr>
            <a:solidFill>
              <a:schemeClr val="accent5">
                <a:lumMod val="75000"/>
              </a:schemeClr>
            </a:solidFill>
          </c:spPr>
          <c:cat>
            <c:strRef>
              <c:f>TC!$F$3:$F$8</c:f>
              <c:strCache>
                <c:ptCount val="6"/>
                <c:pt idx="0">
                  <c:v>30 jours ou moins</c:v>
                </c:pt>
                <c:pt idx="1">
                  <c:v>31 à 60 jours</c:v>
                </c:pt>
                <c:pt idx="2">
                  <c:v>61 à 120 jours</c:v>
                </c:pt>
                <c:pt idx="3">
                  <c:v>121 à 180 jours</c:v>
                </c:pt>
                <c:pt idx="4">
                  <c:v>181 à 365 jours</c:v>
                </c:pt>
                <c:pt idx="5">
                  <c:v>Plus de 365 jours</c:v>
                </c:pt>
              </c:strCache>
            </c:strRef>
          </c:cat>
          <c:val>
            <c:numRef>
              <c:f>TC!$I$3:$I$8</c:f>
              <c:numCache>
                <c:formatCode>0.00%</c:formatCode>
                <c:ptCount val="6"/>
                <c:pt idx="0">
                  <c:v>0.41302485004284611</c:v>
                </c:pt>
                <c:pt idx="1">
                  <c:v>0.17823479005998291</c:v>
                </c:pt>
                <c:pt idx="2">
                  <c:v>0.15252784918594714</c:v>
                </c:pt>
                <c:pt idx="3">
                  <c:v>7.2836332476435478E-2</c:v>
                </c:pt>
                <c:pt idx="4">
                  <c:v>0.11568123393316218</c:v>
                </c:pt>
                <c:pt idx="5">
                  <c:v>6.7694944301628229E-2</c:v>
                </c:pt>
              </c:numCache>
            </c:numRef>
          </c:val>
        </c:ser>
        <c:dLbls/>
        <c:axId val="252403712"/>
        <c:axId val="252405248"/>
      </c:barChart>
      <c:catAx>
        <c:axId val="252403712"/>
        <c:scaling>
          <c:orientation val="minMax"/>
        </c:scaling>
        <c:axPos val="b"/>
        <c:numFmt formatCode="General" sourceLinked="0"/>
        <c:tickLblPos val="nextTo"/>
        <c:crossAx val="252405248"/>
        <c:crosses val="autoZero"/>
        <c:auto val="1"/>
        <c:lblAlgn val="ctr"/>
        <c:lblOffset val="100"/>
      </c:catAx>
      <c:valAx>
        <c:axId val="252405248"/>
        <c:scaling>
          <c:orientation val="minMax"/>
        </c:scaling>
        <c:axPos val="l"/>
        <c:majorGridlines/>
        <c:numFmt formatCode="0%" sourceLinked="0"/>
        <c:tickLblPos val="nextTo"/>
        <c:crossAx val="252403712"/>
        <c:crosses val="autoZero"/>
        <c:crossBetween val="between"/>
      </c:valAx>
    </c:plotArea>
    <c:legend>
      <c:legendPos val="b"/>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TC!$H$32</c:f>
              <c:strCache>
                <c:ptCount val="1"/>
                <c:pt idx="0">
                  <c:v>2012-2013</c:v>
                </c:pt>
              </c:strCache>
            </c:strRef>
          </c:tx>
          <c:spPr>
            <a:solidFill>
              <a:schemeClr val="bg1">
                <a:lumMod val="65000"/>
              </a:schemeClr>
            </a:solidFill>
          </c:spPr>
          <c:cat>
            <c:strRef>
              <c:f>TC!$G$33:$G$38</c:f>
              <c:strCache>
                <c:ptCount val="6"/>
                <c:pt idx="0">
                  <c:v>30 jours ou moins</c:v>
                </c:pt>
                <c:pt idx="1">
                  <c:v>31 à 60 jours</c:v>
                </c:pt>
                <c:pt idx="2">
                  <c:v>61 à 120 jours</c:v>
                </c:pt>
                <c:pt idx="3">
                  <c:v>121 à 180 jours</c:v>
                </c:pt>
                <c:pt idx="4">
                  <c:v>181 à 365 jours</c:v>
                </c:pt>
                <c:pt idx="5">
                  <c:v>Plus de 365 jours</c:v>
                </c:pt>
              </c:strCache>
            </c:strRef>
          </c:cat>
          <c:val>
            <c:numRef>
              <c:f>TC!$H$33:$H$38</c:f>
              <c:numCache>
                <c:formatCode>0.00%</c:formatCode>
                <c:ptCount val="6"/>
                <c:pt idx="0">
                  <c:v>7.3170731707317069E-2</c:v>
                </c:pt>
                <c:pt idx="1">
                  <c:v>0.64459930313589064</c:v>
                </c:pt>
                <c:pt idx="2">
                  <c:v>0.17305458768873402</c:v>
                </c:pt>
                <c:pt idx="3">
                  <c:v>6.1556329849012881E-2</c:v>
                </c:pt>
                <c:pt idx="4">
                  <c:v>4.64576074332173E-2</c:v>
                </c:pt>
                <c:pt idx="5">
                  <c:v>1.1614401858304319E-3</c:v>
                </c:pt>
              </c:numCache>
            </c:numRef>
          </c:val>
        </c:ser>
        <c:ser>
          <c:idx val="1"/>
          <c:order val="1"/>
          <c:tx>
            <c:strRef>
              <c:f>TC!$I$32</c:f>
              <c:strCache>
                <c:ptCount val="1"/>
                <c:pt idx="0">
                  <c:v>2013-2014</c:v>
                </c:pt>
              </c:strCache>
            </c:strRef>
          </c:tx>
          <c:spPr>
            <a:solidFill>
              <a:srgbClr val="FFC000"/>
            </a:solidFill>
          </c:spPr>
          <c:cat>
            <c:strRef>
              <c:f>TC!$G$33:$G$38</c:f>
              <c:strCache>
                <c:ptCount val="6"/>
                <c:pt idx="0">
                  <c:v>30 jours ou moins</c:v>
                </c:pt>
                <c:pt idx="1">
                  <c:v>31 à 60 jours</c:v>
                </c:pt>
                <c:pt idx="2">
                  <c:v>61 à 120 jours</c:v>
                </c:pt>
                <c:pt idx="3">
                  <c:v>121 à 180 jours</c:v>
                </c:pt>
                <c:pt idx="4">
                  <c:v>181 à 365 jours</c:v>
                </c:pt>
                <c:pt idx="5">
                  <c:v>Plus de 365 jours</c:v>
                </c:pt>
              </c:strCache>
            </c:strRef>
          </c:cat>
          <c:val>
            <c:numRef>
              <c:f>TC!$I$33:$I$38</c:f>
              <c:numCache>
                <c:formatCode>0.00%</c:formatCode>
                <c:ptCount val="6"/>
                <c:pt idx="0">
                  <c:v>3.4453057708871741E-2</c:v>
                </c:pt>
                <c:pt idx="1">
                  <c:v>4.2635658914728779E-2</c:v>
                </c:pt>
                <c:pt idx="2">
                  <c:v>0.44961240310077538</c:v>
                </c:pt>
                <c:pt idx="3">
                  <c:v>0.38759689922480789</c:v>
                </c:pt>
                <c:pt idx="4">
                  <c:v>8.5701981050818249E-2</c:v>
                </c:pt>
                <c:pt idx="5">
                  <c:v>0</c:v>
                </c:pt>
              </c:numCache>
            </c:numRef>
          </c:val>
        </c:ser>
        <c:ser>
          <c:idx val="2"/>
          <c:order val="2"/>
          <c:tx>
            <c:strRef>
              <c:f>TC!$J$32</c:f>
              <c:strCache>
                <c:ptCount val="1"/>
                <c:pt idx="0">
                  <c:v>2014-2015</c:v>
                </c:pt>
              </c:strCache>
            </c:strRef>
          </c:tx>
          <c:spPr>
            <a:solidFill>
              <a:schemeClr val="accent5">
                <a:lumMod val="75000"/>
              </a:schemeClr>
            </a:solidFill>
          </c:spPr>
          <c:cat>
            <c:strRef>
              <c:f>TC!$G$33:$G$38</c:f>
              <c:strCache>
                <c:ptCount val="6"/>
                <c:pt idx="0">
                  <c:v>30 jours ou moins</c:v>
                </c:pt>
                <c:pt idx="1">
                  <c:v>31 à 60 jours</c:v>
                </c:pt>
                <c:pt idx="2">
                  <c:v>61 à 120 jours</c:v>
                </c:pt>
                <c:pt idx="3">
                  <c:v>121 à 180 jours</c:v>
                </c:pt>
                <c:pt idx="4">
                  <c:v>181 à 365 jours</c:v>
                </c:pt>
                <c:pt idx="5">
                  <c:v>Plus de 365 jours</c:v>
                </c:pt>
              </c:strCache>
            </c:strRef>
          </c:cat>
          <c:val>
            <c:numRef>
              <c:f>TC!$J$33:$J$38</c:f>
              <c:numCache>
                <c:formatCode>0.00%</c:formatCode>
                <c:ptCount val="6"/>
                <c:pt idx="0">
                  <c:v>0.36140350877192984</c:v>
                </c:pt>
                <c:pt idx="1">
                  <c:v>0.19532163742690059</c:v>
                </c:pt>
                <c:pt idx="2">
                  <c:v>0.24444444444444513</c:v>
                </c:pt>
                <c:pt idx="3">
                  <c:v>5.7309941520467839E-2</c:v>
                </c:pt>
                <c:pt idx="4">
                  <c:v>0.12163742690058479</c:v>
                </c:pt>
                <c:pt idx="5">
                  <c:v>1.9883040935672523E-2</c:v>
                </c:pt>
              </c:numCache>
            </c:numRef>
          </c:val>
        </c:ser>
        <c:dLbls/>
        <c:axId val="252431744"/>
        <c:axId val="252441728"/>
      </c:barChart>
      <c:catAx>
        <c:axId val="252431744"/>
        <c:scaling>
          <c:orientation val="minMax"/>
        </c:scaling>
        <c:axPos val="b"/>
        <c:numFmt formatCode="General" sourceLinked="0"/>
        <c:tickLblPos val="nextTo"/>
        <c:crossAx val="252441728"/>
        <c:crosses val="autoZero"/>
        <c:auto val="1"/>
        <c:lblAlgn val="ctr"/>
        <c:lblOffset val="100"/>
      </c:catAx>
      <c:valAx>
        <c:axId val="252441728"/>
        <c:scaling>
          <c:orientation val="minMax"/>
        </c:scaling>
        <c:axPos val="l"/>
        <c:majorGridlines/>
        <c:numFmt formatCode="0%" sourceLinked="0"/>
        <c:tickLblPos val="nextTo"/>
        <c:crossAx val="252431744"/>
        <c:crosses val="autoZero"/>
        <c:crossBetween val="between"/>
      </c:valAx>
    </c:plotArea>
    <c:legend>
      <c:legendPos val="b"/>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TC!$H$58</c:f>
              <c:strCache>
                <c:ptCount val="1"/>
                <c:pt idx="0">
                  <c:v>2014-2015</c:v>
                </c:pt>
              </c:strCache>
            </c:strRef>
          </c:tx>
          <c:dPt>
            <c:idx val="0"/>
            <c:spPr>
              <a:solidFill>
                <a:schemeClr val="accent5">
                  <a:lumMod val="50000"/>
                </a:schemeClr>
              </a:solidFill>
            </c:spPr>
          </c:dPt>
          <c:dPt>
            <c:idx val="1"/>
            <c:spPr>
              <a:solidFill>
                <a:schemeClr val="tx1">
                  <a:lumMod val="75000"/>
                  <a:lumOff val="25000"/>
                </a:schemeClr>
              </a:solidFill>
            </c:spPr>
          </c:dPt>
          <c:dPt>
            <c:idx val="2"/>
            <c:spPr>
              <a:solidFill>
                <a:schemeClr val="accent5">
                  <a:lumMod val="40000"/>
                  <a:lumOff val="60000"/>
                </a:schemeClr>
              </a:solidFill>
            </c:spPr>
          </c:dPt>
          <c:dPt>
            <c:idx val="3"/>
            <c:spPr>
              <a:solidFill>
                <a:schemeClr val="tx2">
                  <a:lumMod val="50000"/>
                </a:schemeClr>
              </a:solidFill>
            </c:spPr>
          </c:dPt>
          <c:dPt>
            <c:idx val="4"/>
            <c:spPr>
              <a:solidFill>
                <a:srgbClr val="FFC000"/>
              </a:solidFill>
            </c:spPr>
          </c:dPt>
          <c:dPt>
            <c:idx val="5"/>
            <c:spPr>
              <a:solidFill>
                <a:schemeClr val="accent6">
                  <a:lumMod val="50000"/>
                </a:schemeClr>
              </a:solidFill>
            </c:spPr>
          </c:dPt>
          <c:dPt>
            <c:idx val="6"/>
            <c:spPr>
              <a:solidFill>
                <a:schemeClr val="bg2">
                  <a:lumMod val="50000"/>
                </a:schemeClr>
              </a:solidFill>
            </c:spPr>
          </c:dPt>
          <c:dLbls>
            <c:dLbl>
              <c:idx val="0"/>
              <c:layout>
                <c:manualLayout>
                  <c:x val="-1.7777830540769556E-3"/>
                  <c:y val="7.1518667462175597E-3"/>
                </c:manualLayout>
              </c:layout>
              <c:tx>
                <c:rich>
                  <a:bodyPr/>
                  <a:lstStyle/>
                  <a:p>
                    <a:r>
                      <a:rPr lang="en-US"/>
                      <a:t>27,40 %</a:t>
                    </a:r>
                  </a:p>
                </c:rich>
              </c:tx>
              <c:showPercent val="1"/>
              <c:extLst>
                <c:ext xmlns:c15="http://schemas.microsoft.com/office/drawing/2012/chart" uri="{CE6537A1-D6FC-4f65-9D91-7224C49458BB}"/>
              </c:extLst>
            </c:dLbl>
            <c:dLbl>
              <c:idx val="1"/>
              <c:layout>
                <c:manualLayout>
                  <c:x val="1.1030021424000445E-2"/>
                  <c:y val="1.215298566912363E-2"/>
                </c:manualLayout>
              </c:layout>
              <c:tx>
                <c:rich>
                  <a:bodyPr/>
                  <a:lstStyle/>
                  <a:p>
                    <a:r>
                      <a:rPr lang="en-US"/>
                      <a:t>10,27</a:t>
                    </a:r>
                    <a:r>
                      <a:rPr lang="en-US" baseline="0"/>
                      <a:t> </a:t>
                    </a:r>
                    <a:r>
                      <a:rPr lang="en-US"/>
                      <a:t>%</a:t>
                    </a:r>
                  </a:p>
                </c:rich>
              </c:tx>
              <c:showPercent val="1"/>
              <c:extLst>
                <c:ext xmlns:c15="http://schemas.microsoft.com/office/drawing/2012/chart" uri="{CE6537A1-D6FC-4f65-9D91-7224C49458BB}"/>
              </c:extLst>
            </c:dLbl>
            <c:dLbl>
              <c:idx val="2"/>
              <c:layout>
                <c:manualLayout>
                  <c:x val="6.7484897005815666E-3"/>
                  <c:y val="-5.9831021174507164E-3"/>
                </c:manualLayout>
              </c:layout>
              <c:tx>
                <c:rich>
                  <a:bodyPr/>
                  <a:lstStyle/>
                  <a:p>
                    <a:r>
                      <a:rPr lang="en-US"/>
                      <a:t>12,33 %</a:t>
                    </a:r>
                  </a:p>
                </c:rich>
              </c:tx>
              <c:showPercent val="1"/>
              <c:extLst>
                <c:ext xmlns:c15="http://schemas.microsoft.com/office/drawing/2012/chart" uri="{CE6537A1-D6FC-4f65-9D91-7224C49458BB}"/>
              </c:extLst>
            </c:dLbl>
            <c:dLbl>
              <c:idx val="3"/>
              <c:layout>
                <c:manualLayout>
                  <c:x val="2.2931249656834456E-2"/>
                  <c:y val="1.33168427483646E-2"/>
                </c:manualLayout>
              </c:layout>
              <c:tx>
                <c:rich>
                  <a:bodyPr/>
                  <a:lstStyle/>
                  <a:p>
                    <a:r>
                      <a:rPr lang="en-US"/>
                      <a:t>17,81 %</a:t>
                    </a:r>
                  </a:p>
                </c:rich>
              </c:tx>
              <c:showPercent val="1"/>
              <c:extLst>
                <c:ext xmlns:c15="http://schemas.microsoft.com/office/drawing/2012/chart" uri="{CE6537A1-D6FC-4f65-9D91-7224C49458BB}"/>
              </c:extLst>
            </c:dLbl>
            <c:dLbl>
              <c:idx val="4"/>
              <c:layout>
                <c:manualLayout>
                  <c:x val="-6.4550367799273761E-3"/>
                  <c:y val="1.6972686226884689E-2"/>
                </c:manualLayout>
              </c:layout>
              <c:tx>
                <c:rich>
                  <a:bodyPr/>
                  <a:lstStyle/>
                  <a:p>
                    <a:r>
                      <a:rPr lang="en-US"/>
                      <a:t>12,33 %</a:t>
                    </a:r>
                  </a:p>
                </c:rich>
              </c:tx>
              <c:showPercent val="1"/>
              <c:extLst>
                <c:ext xmlns:c15="http://schemas.microsoft.com/office/drawing/2012/chart" uri="{CE6537A1-D6FC-4f65-9D91-7224C49458BB}"/>
              </c:extLst>
            </c:dLbl>
            <c:dLbl>
              <c:idx val="5"/>
              <c:layout>
                <c:manualLayout>
                  <c:x val="1.9130088310408643E-2"/>
                  <c:y val="-1.6864504015854806E-2"/>
                </c:manualLayout>
              </c:layout>
              <c:tx>
                <c:rich>
                  <a:bodyPr/>
                  <a:lstStyle/>
                  <a:p>
                    <a:r>
                      <a:rPr lang="en-US"/>
                      <a:t>15,07 %</a:t>
                    </a:r>
                  </a:p>
                </c:rich>
              </c:tx>
              <c:showPercent val="1"/>
              <c:extLst>
                <c:ext xmlns:c15="http://schemas.microsoft.com/office/drawing/2012/chart" uri="{CE6537A1-D6FC-4f65-9D91-7224C49458BB}"/>
              </c:extLst>
            </c:dLbl>
            <c:dLbl>
              <c:idx val="6"/>
              <c:layout>
                <c:manualLayout>
                  <c:x val="2.4121755879817123E-3"/>
                  <c:y val="-1.1318899104442023E-2"/>
                </c:manualLayout>
              </c:layout>
              <c:tx>
                <c:rich>
                  <a:bodyPr/>
                  <a:lstStyle/>
                  <a:p>
                    <a:r>
                      <a:rPr lang="en-US"/>
                      <a:t>4,79 %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TC!$G$59:$G$65</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TC!$H$59:$H$65</c:f>
              <c:numCache>
                <c:formatCode>General</c:formatCode>
                <c:ptCount val="7"/>
                <c:pt idx="0">
                  <c:v>40</c:v>
                </c:pt>
                <c:pt idx="1">
                  <c:v>15</c:v>
                </c:pt>
                <c:pt idx="2">
                  <c:v>18</c:v>
                </c:pt>
                <c:pt idx="3">
                  <c:v>26</c:v>
                </c:pt>
                <c:pt idx="4">
                  <c:v>18</c:v>
                </c:pt>
                <c:pt idx="5">
                  <c:v>22</c:v>
                </c:pt>
                <c:pt idx="6">
                  <c:v>7</c:v>
                </c:pt>
              </c:numCache>
            </c:numRef>
          </c:val>
        </c:ser>
        <c:dLbls/>
        <c:firstSliceAng val="0"/>
      </c:pieChart>
    </c:plotArea>
    <c:legend>
      <c:legendPos val="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TC!$H$89</c:f>
              <c:strCache>
                <c:ptCount val="1"/>
                <c:pt idx="0">
                  <c:v>2012-2013</c:v>
                </c:pt>
              </c:strCache>
            </c:strRef>
          </c:tx>
          <c:spPr>
            <a:solidFill>
              <a:schemeClr val="bg1">
                <a:lumMod val="65000"/>
              </a:schemeClr>
            </a:solidFill>
          </c:spPr>
          <c:cat>
            <c:strRef>
              <c:f>TC!$G$90:$G$91</c:f>
              <c:strCache>
                <c:ptCount val="2"/>
                <c:pt idx="0">
                  <c:v>Divulgation complète </c:v>
                </c:pt>
                <c:pt idx="1">
                  <c:v>Divulgation partielle </c:v>
                </c:pt>
              </c:strCache>
            </c:strRef>
          </c:cat>
          <c:val>
            <c:numRef>
              <c:f>TC!$H$90:$H$91</c:f>
              <c:numCache>
                <c:formatCode>0.00%</c:formatCode>
                <c:ptCount val="2"/>
                <c:pt idx="0">
                  <c:v>0.10993657505285427</c:v>
                </c:pt>
                <c:pt idx="1">
                  <c:v>0.27131782945736432</c:v>
                </c:pt>
              </c:numCache>
            </c:numRef>
          </c:val>
        </c:ser>
        <c:ser>
          <c:idx val="1"/>
          <c:order val="1"/>
          <c:tx>
            <c:strRef>
              <c:f>TC!$I$89</c:f>
              <c:strCache>
                <c:ptCount val="1"/>
                <c:pt idx="0">
                  <c:v>2013-2014</c:v>
                </c:pt>
              </c:strCache>
            </c:strRef>
          </c:tx>
          <c:spPr>
            <a:solidFill>
              <a:srgbClr val="FFC000"/>
            </a:solidFill>
          </c:spPr>
          <c:cat>
            <c:strRef>
              <c:f>TC!$G$90:$G$91</c:f>
              <c:strCache>
                <c:ptCount val="2"/>
                <c:pt idx="0">
                  <c:v>Divulgation complète </c:v>
                </c:pt>
                <c:pt idx="1">
                  <c:v>Divulgation partielle </c:v>
                </c:pt>
              </c:strCache>
            </c:strRef>
          </c:cat>
          <c:val>
            <c:numRef>
              <c:f>TC!$I$90:$I$91</c:f>
              <c:numCache>
                <c:formatCode>0.00%</c:formatCode>
                <c:ptCount val="2"/>
                <c:pt idx="0">
                  <c:v>0.11984392419175025</c:v>
                </c:pt>
                <c:pt idx="1">
                  <c:v>0.4214046822742491</c:v>
                </c:pt>
              </c:numCache>
            </c:numRef>
          </c:val>
        </c:ser>
        <c:ser>
          <c:idx val="2"/>
          <c:order val="2"/>
          <c:tx>
            <c:strRef>
              <c:f>TC!$J$89</c:f>
              <c:strCache>
                <c:ptCount val="1"/>
                <c:pt idx="0">
                  <c:v>2014-2015</c:v>
                </c:pt>
              </c:strCache>
            </c:strRef>
          </c:tx>
          <c:spPr>
            <a:solidFill>
              <a:schemeClr val="accent5">
                <a:lumMod val="75000"/>
              </a:schemeClr>
            </a:solidFill>
          </c:spPr>
          <c:cat>
            <c:strRef>
              <c:f>TC!$G$90:$G$91</c:f>
              <c:strCache>
                <c:ptCount val="2"/>
                <c:pt idx="0">
                  <c:v>Divulgation complète </c:v>
                </c:pt>
                <c:pt idx="1">
                  <c:v>Divulgation partielle </c:v>
                </c:pt>
              </c:strCache>
            </c:strRef>
          </c:cat>
          <c:val>
            <c:numRef>
              <c:f>TC!$J$90:$J$91</c:f>
              <c:numCache>
                <c:formatCode>0.00%</c:formatCode>
                <c:ptCount val="2"/>
                <c:pt idx="0">
                  <c:v>0.10454155955441302</c:v>
                </c:pt>
                <c:pt idx="1">
                  <c:v>0.56555269922879181</c:v>
                </c:pt>
              </c:numCache>
            </c:numRef>
          </c:val>
        </c:ser>
        <c:dLbls/>
        <c:axId val="252526976"/>
        <c:axId val="252528512"/>
      </c:barChart>
      <c:catAx>
        <c:axId val="252526976"/>
        <c:scaling>
          <c:orientation val="minMax"/>
        </c:scaling>
        <c:axPos val="b"/>
        <c:numFmt formatCode="General" sourceLinked="0"/>
        <c:tickLblPos val="nextTo"/>
        <c:crossAx val="252528512"/>
        <c:crosses val="autoZero"/>
        <c:auto val="1"/>
        <c:lblAlgn val="ctr"/>
        <c:lblOffset val="100"/>
      </c:catAx>
      <c:valAx>
        <c:axId val="252528512"/>
        <c:scaling>
          <c:orientation val="minMax"/>
        </c:scaling>
        <c:axPos val="l"/>
        <c:majorGridlines/>
        <c:numFmt formatCode="0%" sourceLinked="0"/>
        <c:tickLblPos val="nextTo"/>
        <c:crossAx val="252526976"/>
        <c:crosses val="autoZero"/>
        <c:crossBetween val="between"/>
      </c:valAx>
    </c:plotArea>
    <c:legend>
      <c:legendPos val="b"/>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INFC!$G$2</c:f>
              <c:strCache>
                <c:ptCount val="1"/>
                <c:pt idx="0">
                  <c:v>2012-2013</c:v>
                </c:pt>
              </c:strCache>
            </c:strRef>
          </c:tx>
          <c:spPr>
            <a:solidFill>
              <a:schemeClr val="bg1">
                <a:lumMod val="65000"/>
              </a:schemeClr>
            </a:solidFill>
          </c:spPr>
          <c:cat>
            <c:strRef>
              <c:f>INFC!$F$3:$F$8</c:f>
              <c:strCache>
                <c:ptCount val="6"/>
                <c:pt idx="0">
                  <c:v>30 jours ou moins</c:v>
                </c:pt>
                <c:pt idx="1">
                  <c:v>31 à 60 jours</c:v>
                </c:pt>
                <c:pt idx="2">
                  <c:v>61 à 120 jours</c:v>
                </c:pt>
                <c:pt idx="3">
                  <c:v>121 à 180 jours</c:v>
                </c:pt>
                <c:pt idx="4">
                  <c:v>181 à 365 jours</c:v>
                </c:pt>
                <c:pt idx="5">
                  <c:v>Plus de 365 jours</c:v>
                </c:pt>
              </c:strCache>
            </c:strRef>
          </c:cat>
          <c:val>
            <c:numRef>
              <c:f>INFC!$G$3:$G$8</c:f>
              <c:numCache>
                <c:formatCode>0.00%</c:formatCode>
                <c:ptCount val="6"/>
                <c:pt idx="0">
                  <c:v>0.41071428571428692</c:v>
                </c:pt>
                <c:pt idx="1">
                  <c:v>8.9285714285714038E-2</c:v>
                </c:pt>
                <c:pt idx="2">
                  <c:v>0.125</c:v>
                </c:pt>
                <c:pt idx="3">
                  <c:v>0.16071428571428609</c:v>
                </c:pt>
                <c:pt idx="4">
                  <c:v>0.17857142857142907</c:v>
                </c:pt>
                <c:pt idx="5">
                  <c:v>3.5714285714285712E-2</c:v>
                </c:pt>
              </c:numCache>
            </c:numRef>
          </c:val>
        </c:ser>
        <c:ser>
          <c:idx val="1"/>
          <c:order val="1"/>
          <c:tx>
            <c:strRef>
              <c:f>INFC!$H$2</c:f>
              <c:strCache>
                <c:ptCount val="1"/>
                <c:pt idx="0">
                  <c:v>2013-2014</c:v>
                </c:pt>
              </c:strCache>
            </c:strRef>
          </c:tx>
          <c:spPr>
            <a:solidFill>
              <a:srgbClr val="FFC000"/>
            </a:solidFill>
          </c:spPr>
          <c:cat>
            <c:strRef>
              <c:f>INFC!$F$3:$F$8</c:f>
              <c:strCache>
                <c:ptCount val="6"/>
                <c:pt idx="0">
                  <c:v>30 jours ou moins</c:v>
                </c:pt>
                <c:pt idx="1">
                  <c:v>31 à 60 jours</c:v>
                </c:pt>
                <c:pt idx="2">
                  <c:v>61 à 120 jours</c:v>
                </c:pt>
                <c:pt idx="3">
                  <c:v>121 à 180 jours</c:v>
                </c:pt>
                <c:pt idx="4">
                  <c:v>181 à 365 jours</c:v>
                </c:pt>
                <c:pt idx="5">
                  <c:v>Plus de 365 jours</c:v>
                </c:pt>
              </c:strCache>
            </c:strRef>
          </c:cat>
          <c:val>
            <c:numRef>
              <c:f>INFC!$H$3:$H$8</c:f>
              <c:numCache>
                <c:formatCode>0.00%</c:formatCode>
                <c:ptCount val="6"/>
                <c:pt idx="0">
                  <c:v>0.42000000000000032</c:v>
                </c:pt>
                <c:pt idx="1">
                  <c:v>0</c:v>
                </c:pt>
                <c:pt idx="2">
                  <c:v>6.0000000000000039E-2</c:v>
                </c:pt>
                <c:pt idx="3">
                  <c:v>0.2</c:v>
                </c:pt>
                <c:pt idx="4">
                  <c:v>0.18000000000000024</c:v>
                </c:pt>
                <c:pt idx="5">
                  <c:v>0.14000000000000001</c:v>
                </c:pt>
              </c:numCache>
            </c:numRef>
          </c:val>
        </c:ser>
        <c:ser>
          <c:idx val="2"/>
          <c:order val="2"/>
          <c:tx>
            <c:strRef>
              <c:f>INFC!$I$2</c:f>
              <c:strCache>
                <c:ptCount val="1"/>
                <c:pt idx="0">
                  <c:v>2014-2015</c:v>
                </c:pt>
              </c:strCache>
            </c:strRef>
          </c:tx>
          <c:spPr>
            <a:solidFill>
              <a:schemeClr val="accent5">
                <a:lumMod val="75000"/>
              </a:schemeClr>
            </a:solidFill>
          </c:spPr>
          <c:cat>
            <c:strRef>
              <c:f>INFC!$F$3:$F$8</c:f>
              <c:strCache>
                <c:ptCount val="6"/>
                <c:pt idx="0">
                  <c:v>30 jours ou moins</c:v>
                </c:pt>
                <c:pt idx="1">
                  <c:v>31 à 60 jours</c:v>
                </c:pt>
                <c:pt idx="2">
                  <c:v>61 à 120 jours</c:v>
                </c:pt>
                <c:pt idx="3">
                  <c:v>121 à 180 jours</c:v>
                </c:pt>
                <c:pt idx="4">
                  <c:v>181 à 365 jours</c:v>
                </c:pt>
                <c:pt idx="5">
                  <c:v>Plus de 365 jours</c:v>
                </c:pt>
              </c:strCache>
            </c:strRef>
          </c:cat>
          <c:val>
            <c:numRef>
              <c:f>INFC!$I$3:$I$8</c:f>
              <c:numCache>
                <c:formatCode>0.00%</c:formatCode>
                <c:ptCount val="6"/>
                <c:pt idx="0">
                  <c:v>0.93381468110709986</c:v>
                </c:pt>
                <c:pt idx="1">
                  <c:v>2.2864019253910992E-2</c:v>
                </c:pt>
                <c:pt idx="2">
                  <c:v>1.2033694344163667E-2</c:v>
                </c:pt>
                <c:pt idx="3">
                  <c:v>1.5643802647412827E-2</c:v>
                </c:pt>
                <c:pt idx="4">
                  <c:v>1.5643802647412827E-2</c:v>
                </c:pt>
                <c:pt idx="5">
                  <c:v>0</c:v>
                </c:pt>
              </c:numCache>
            </c:numRef>
          </c:val>
        </c:ser>
        <c:dLbls/>
        <c:axId val="252715008"/>
        <c:axId val="252716544"/>
      </c:barChart>
      <c:catAx>
        <c:axId val="252715008"/>
        <c:scaling>
          <c:orientation val="minMax"/>
        </c:scaling>
        <c:axPos val="b"/>
        <c:numFmt formatCode="General" sourceLinked="0"/>
        <c:tickLblPos val="nextTo"/>
        <c:crossAx val="252716544"/>
        <c:crosses val="autoZero"/>
        <c:auto val="1"/>
        <c:lblAlgn val="ctr"/>
        <c:lblOffset val="100"/>
      </c:catAx>
      <c:valAx>
        <c:axId val="252716544"/>
        <c:scaling>
          <c:orientation val="minMax"/>
        </c:scaling>
        <c:axPos val="l"/>
        <c:majorGridlines/>
        <c:numFmt formatCode="0%" sourceLinked="0"/>
        <c:tickLblPos val="nextTo"/>
        <c:crossAx val="252715008"/>
        <c:crosses val="autoZero"/>
        <c:crossBetween val="between"/>
      </c:valAx>
    </c:plotArea>
    <c:legend>
      <c:legendPos val="b"/>
    </c:legend>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INFC!$H$33</c:f>
              <c:strCache>
                <c:ptCount val="1"/>
                <c:pt idx="0">
                  <c:v>2012-2013</c:v>
                </c:pt>
              </c:strCache>
            </c:strRef>
          </c:tx>
          <c:spPr>
            <a:solidFill>
              <a:schemeClr val="bg1">
                <a:lumMod val="65000"/>
              </a:schemeClr>
            </a:solidFill>
          </c:spPr>
          <c:cat>
            <c:strRef>
              <c:f>INFC!$G$34:$G$39</c:f>
              <c:strCache>
                <c:ptCount val="6"/>
                <c:pt idx="0">
                  <c:v>30 jours ou moins</c:v>
                </c:pt>
                <c:pt idx="1">
                  <c:v>31 à 60 jours</c:v>
                </c:pt>
                <c:pt idx="2">
                  <c:v>61 à 120 jours</c:v>
                </c:pt>
                <c:pt idx="3">
                  <c:v>121 à 180 jours</c:v>
                </c:pt>
                <c:pt idx="4">
                  <c:v>181 à 365 jours</c:v>
                </c:pt>
                <c:pt idx="5">
                  <c:v>Plus de 365 jours</c:v>
                </c:pt>
              </c:strCache>
            </c:strRef>
          </c:cat>
          <c:val>
            <c:numRef>
              <c:f>INFC!$H$34:$H$39</c:f>
              <c:numCache>
                <c:formatCode>0.00%</c:formatCode>
                <c:ptCount val="6"/>
                <c:pt idx="0">
                  <c:v>0.36363636363636381</c:v>
                </c:pt>
                <c:pt idx="1">
                  <c:v>0.15151515151515202</c:v>
                </c:pt>
                <c:pt idx="2">
                  <c:v>0.33333333333333331</c:v>
                </c:pt>
                <c:pt idx="3">
                  <c:v>0.15151515151515202</c:v>
                </c:pt>
                <c:pt idx="4">
                  <c:v>0</c:v>
                </c:pt>
                <c:pt idx="5">
                  <c:v>0</c:v>
                </c:pt>
              </c:numCache>
            </c:numRef>
          </c:val>
        </c:ser>
        <c:ser>
          <c:idx val="1"/>
          <c:order val="1"/>
          <c:tx>
            <c:strRef>
              <c:f>INFC!$I$33</c:f>
              <c:strCache>
                <c:ptCount val="1"/>
                <c:pt idx="0">
                  <c:v>2013-2014</c:v>
                </c:pt>
              </c:strCache>
            </c:strRef>
          </c:tx>
          <c:spPr>
            <a:solidFill>
              <a:srgbClr val="FFC000"/>
            </a:solidFill>
          </c:spPr>
          <c:cat>
            <c:strRef>
              <c:f>INFC!$G$34:$G$39</c:f>
              <c:strCache>
                <c:ptCount val="6"/>
                <c:pt idx="0">
                  <c:v>30 jours ou moins</c:v>
                </c:pt>
                <c:pt idx="1">
                  <c:v>31 à 60 jours</c:v>
                </c:pt>
                <c:pt idx="2">
                  <c:v>61 à 120 jours</c:v>
                </c:pt>
                <c:pt idx="3">
                  <c:v>121 à 180 jours</c:v>
                </c:pt>
                <c:pt idx="4">
                  <c:v>181 à 365 jours</c:v>
                </c:pt>
                <c:pt idx="5">
                  <c:v>Plus de 365 jours</c:v>
                </c:pt>
              </c:strCache>
            </c:strRef>
          </c:cat>
          <c:val>
            <c:numRef>
              <c:f>INFC!$I$34:$I$39</c:f>
              <c:numCache>
                <c:formatCode>0.00%</c:formatCode>
                <c:ptCount val="6"/>
                <c:pt idx="0">
                  <c:v>0.18181818181818232</c:v>
                </c:pt>
                <c:pt idx="1">
                  <c:v>0.25</c:v>
                </c:pt>
                <c:pt idx="2">
                  <c:v>0.27272727272727282</c:v>
                </c:pt>
                <c:pt idx="3">
                  <c:v>0.27272727272727298</c:v>
                </c:pt>
                <c:pt idx="4">
                  <c:v>2.2727272727272822E-2</c:v>
                </c:pt>
                <c:pt idx="5">
                  <c:v>0</c:v>
                </c:pt>
              </c:numCache>
            </c:numRef>
          </c:val>
        </c:ser>
        <c:ser>
          <c:idx val="2"/>
          <c:order val="2"/>
          <c:tx>
            <c:strRef>
              <c:f>INFC!$J$33</c:f>
              <c:strCache>
                <c:ptCount val="1"/>
                <c:pt idx="0">
                  <c:v>2014-2015</c:v>
                </c:pt>
              </c:strCache>
            </c:strRef>
          </c:tx>
          <c:spPr>
            <a:solidFill>
              <a:schemeClr val="accent5">
                <a:lumMod val="75000"/>
              </a:schemeClr>
            </a:solidFill>
          </c:spPr>
          <c:cat>
            <c:strRef>
              <c:f>INFC!$G$34:$G$39</c:f>
              <c:strCache>
                <c:ptCount val="6"/>
                <c:pt idx="0">
                  <c:v>30 jours ou moins</c:v>
                </c:pt>
                <c:pt idx="1">
                  <c:v>31 à 60 jours</c:v>
                </c:pt>
                <c:pt idx="2">
                  <c:v>61 à 120 jours</c:v>
                </c:pt>
                <c:pt idx="3">
                  <c:v>121 à 180 jours</c:v>
                </c:pt>
                <c:pt idx="4">
                  <c:v>181 à 365 jours</c:v>
                </c:pt>
                <c:pt idx="5">
                  <c:v>Plus de 365 jours</c:v>
                </c:pt>
              </c:strCache>
            </c:strRef>
          </c:cat>
          <c:val>
            <c:numRef>
              <c:f>INFC!$J$34:$J$39</c:f>
              <c:numCache>
                <c:formatCode>0.00%</c:formatCode>
                <c:ptCount val="6"/>
                <c:pt idx="0">
                  <c:v>0</c:v>
                </c:pt>
                <c:pt idx="1">
                  <c:v>0.27906976744186124</c:v>
                </c:pt>
                <c:pt idx="2">
                  <c:v>0.3255813953488384</c:v>
                </c:pt>
                <c:pt idx="3">
                  <c:v>6.9767441860465296E-2</c:v>
                </c:pt>
                <c:pt idx="4">
                  <c:v>0.3023255813953506</c:v>
                </c:pt>
                <c:pt idx="5">
                  <c:v>2.3255813953488372E-2</c:v>
                </c:pt>
              </c:numCache>
            </c:numRef>
          </c:val>
        </c:ser>
        <c:dLbls/>
        <c:axId val="252747136"/>
        <c:axId val="252761216"/>
      </c:barChart>
      <c:catAx>
        <c:axId val="252747136"/>
        <c:scaling>
          <c:orientation val="minMax"/>
        </c:scaling>
        <c:axPos val="b"/>
        <c:numFmt formatCode="General" sourceLinked="0"/>
        <c:tickLblPos val="nextTo"/>
        <c:crossAx val="252761216"/>
        <c:crosses val="autoZero"/>
        <c:auto val="1"/>
        <c:lblAlgn val="ctr"/>
        <c:lblOffset val="100"/>
      </c:catAx>
      <c:valAx>
        <c:axId val="252761216"/>
        <c:scaling>
          <c:orientation val="minMax"/>
        </c:scaling>
        <c:axPos val="l"/>
        <c:majorGridlines/>
        <c:numFmt formatCode="0%" sourceLinked="0"/>
        <c:tickLblPos val="nextTo"/>
        <c:crossAx val="252747136"/>
        <c:crosses val="autoZero"/>
        <c:crossBetween val="between"/>
      </c:valAx>
    </c:plotArea>
    <c:legend>
      <c:legendPos val="b"/>
    </c:legend>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INFC!$H$95</c:f>
              <c:strCache>
                <c:ptCount val="1"/>
                <c:pt idx="0">
                  <c:v>2012-2013</c:v>
                </c:pt>
              </c:strCache>
            </c:strRef>
          </c:tx>
          <c:spPr>
            <a:solidFill>
              <a:schemeClr val="bg1">
                <a:lumMod val="65000"/>
              </a:schemeClr>
            </a:solidFill>
          </c:spPr>
          <c:cat>
            <c:strRef>
              <c:f>INFC!$G$96:$G$97</c:f>
              <c:strCache>
                <c:ptCount val="2"/>
                <c:pt idx="0">
                  <c:v>Divulgation complète </c:v>
                </c:pt>
                <c:pt idx="1">
                  <c:v>Divulgation partielle </c:v>
                </c:pt>
              </c:strCache>
            </c:strRef>
          </c:cat>
          <c:val>
            <c:numRef>
              <c:f>INFC!$H$96:$H$97</c:f>
              <c:numCache>
                <c:formatCode>0.00%</c:formatCode>
                <c:ptCount val="2"/>
                <c:pt idx="0">
                  <c:v>8.9285714285714038E-2</c:v>
                </c:pt>
                <c:pt idx="1">
                  <c:v>0.6607142857142857</c:v>
                </c:pt>
              </c:numCache>
            </c:numRef>
          </c:val>
        </c:ser>
        <c:ser>
          <c:idx val="1"/>
          <c:order val="1"/>
          <c:tx>
            <c:strRef>
              <c:f>INFC!$I$95</c:f>
              <c:strCache>
                <c:ptCount val="1"/>
                <c:pt idx="0">
                  <c:v>2013-2014</c:v>
                </c:pt>
              </c:strCache>
            </c:strRef>
          </c:tx>
          <c:spPr>
            <a:solidFill>
              <a:srgbClr val="FFC000"/>
            </a:solidFill>
          </c:spPr>
          <c:cat>
            <c:strRef>
              <c:f>INFC!$G$96:$G$97</c:f>
              <c:strCache>
                <c:ptCount val="2"/>
                <c:pt idx="0">
                  <c:v>Divulgation complète </c:v>
                </c:pt>
                <c:pt idx="1">
                  <c:v>Divulgation partielle </c:v>
                </c:pt>
              </c:strCache>
            </c:strRef>
          </c:cat>
          <c:val>
            <c:numRef>
              <c:f>INFC!$I$96:$I$97</c:f>
              <c:numCache>
                <c:formatCode>0.00%</c:formatCode>
                <c:ptCount val="2"/>
                <c:pt idx="0">
                  <c:v>0.12000000000000002</c:v>
                </c:pt>
                <c:pt idx="1">
                  <c:v>0.60000000000000064</c:v>
                </c:pt>
              </c:numCache>
            </c:numRef>
          </c:val>
        </c:ser>
        <c:ser>
          <c:idx val="2"/>
          <c:order val="2"/>
          <c:tx>
            <c:strRef>
              <c:f>INFC!$J$95</c:f>
              <c:strCache>
                <c:ptCount val="1"/>
                <c:pt idx="0">
                  <c:v>2014-2015</c:v>
                </c:pt>
              </c:strCache>
            </c:strRef>
          </c:tx>
          <c:spPr>
            <a:solidFill>
              <a:schemeClr val="accent5">
                <a:lumMod val="75000"/>
              </a:schemeClr>
            </a:solidFill>
          </c:spPr>
          <c:cat>
            <c:strRef>
              <c:f>INFC!$G$96:$G$97</c:f>
              <c:strCache>
                <c:ptCount val="2"/>
                <c:pt idx="0">
                  <c:v>Divulgation complète </c:v>
                </c:pt>
                <c:pt idx="1">
                  <c:v>Divulgation partielle </c:v>
                </c:pt>
              </c:strCache>
            </c:strRef>
          </c:cat>
          <c:val>
            <c:numRef>
              <c:f>INFC!$J$96:$J$97</c:f>
              <c:numCache>
                <c:formatCode>0.00%</c:formatCode>
                <c:ptCount val="2"/>
                <c:pt idx="0">
                  <c:v>2.4067388688327397E-2</c:v>
                </c:pt>
                <c:pt idx="1">
                  <c:v>6.3778580024067388E-2</c:v>
                </c:pt>
              </c:numCache>
            </c:numRef>
          </c:val>
        </c:ser>
        <c:dLbls/>
        <c:axId val="252795904"/>
        <c:axId val="252814080"/>
      </c:barChart>
      <c:catAx>
        <c:axId val="252795904"/>
        <c:scaling>
          <c:orientation val="minMax"/>
        </c:scaling>
        <c:axPos val="b"/>
        <c:numFmt formatCode="General" sourceLinked="0"/>
        <c:tickLblPos val="nextTo"/>
        <c:crossAx val="252814080"/>
        <c:crosses val="autoZero"/>
        <c:auto val="1"/>
        <c:lblAlgn val="ctr"/>
        <c:lblOffset val="100"/>
      </c:catAx>
      <c:valAx>
        <c:axId val="252814080"/>
        <c:scaling>
          <c:orientation val="minMax"/>
        </c:scaling>
        <c:axPos val="l"/>
        <c:majorGridlines/>
        <c:numFmt formatCode="0%" sourceLinked="0"/>
        <c:tickLblPos val="nextTo"/>
        <c:crossAx val="252795904"/>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IRCC!$H$84</c:f>
              <c:strCache>
                <c:ptCount val="1"/>
                <c:pt idx="0">
                  <c:v>2012-2013</c:v>
                </c:pt>
              </c:strCache>
            </c:strRef>
          </c:tx>
          <c:spPr>
            <a:solidFill>
              <a:schemeClr val="bg1">
                <a:lumMod val="50000"/>
              </a:schemeClr>
            </a:solidFill>
          </c:spPr>
          <c:cat>
            <c:strRef>
              <c:f>IRCC!$G$85:$G$86</c:f>
              <c:strCache>
                <c:ptCount val="2"/>
                <c:pt idx="0">
                  <c:v>Divulgation complète </c:v>
                </c:pt>
                <c:pt idx="1">
                  <c:v>Divulgation partielle </c:v>
                </c:pt>
              </c:strCache>
            </c:strRef>
          </c:cat>
          <c:val>
            <c:numRef>
              <c:f>IRCC!$H$85:$H$86</c:f>
              <c:numCache>
                <c:formatCode>0.00%</c:formatCode>
                <c:ptCount val="2"/>
                <c:pt idx="0">
                  <c:v>0.24515757109915437</c:v>
                </c:pt>
                <c:pt idx="1">
                  <c:v>0.62644119907763252</c:v>
                </c:pt>
              </c:numCache>
            </c:numRef>
          </c:val>
        </c:ser>
        <c:ser>
          <c:idx val="1"/>
          <c:order val="1"/>
          <c:tx>
            <c:strRef>
              <c:f>IRCC!$I$84</c:f>
              <c:strCache>
                <c:ptCount val="1"/>
                <c:pt idx="0">
                  <c:v>2013-2014</c:v>
                </c:pt>
              </c:strCache>
            </c:strRef>
          </c:tx>
          <c:spPr>
            <a:solidFill>
              <a:srgbClr val="FFC000"/>
            </a:solidFill>
          </c:spPr>
          <c:cat>
            <c:strRef>
              <c:f>IRCC!$G$85:$G$86</c:f>
              <c:strCache>
                <c:ptCount val="2"/>
                <c:pt idx="0">
                  <c:v>Divulgation complète </c:v>
                </c:pt>
                <c:pt idx="1">
                  <c:v>Divulgation partielle </c:v>
                </c:pt>
              </c:strCache>
            </c:strRef>
          </c:cat>
          <c:val>
            <c:numRef>
              <c:f>IRCC!$I$85:$I$86</c:f>
              <c:numCache>
                <c:formatCode>0.00%</c:formatCode>
                <c:ptCount val="2"/>
                <c:pt idx="0">
                  <c:v>0.33360090487831717</c:v>
                </c:pt>
                <c:pt idx="1">
                  <c:v>0.56923413726420302</c:v>
                </c:pt>
              </c:numCache>
            </c:numRef>
          </c:val>
        </c:ser>
        <c:ser>
          <c:idx val="2"/>
          <c:order val="2"/>
          <c:tx>
            <c:strRef>
              <c:f>IRCC!$J$84</c:f>
              <c:strCache>
                <c:ptCount val="1"/>
                <c:pt idx="0">
                  <c:v>2014-2015</c:v>
                </c:pt>
              </c:strCache>
            </c:strRef>
          </c:tx>
          <c:spPr>
            <a:solidFill>
              <a:schemeClr val="accent5">
                <a:lumMod val="75000"/>
              </a:schemeClr>
            </a:solidFill>
          </c:spPr>
          <c:cat>
            <c:strRef>
              <c:f>IRCC!$G$85:$G$86</c:f>
              <c:strCache>
                <c:ptCount val="2"/>
                <c:pt idx="0">
                  <c:v>Divulgation complète </c:v>
                </c:pt>
                <c:pt idx="1">
                  <c:v>Divulgation partielle </c:v>
                </c:pt>
              </c:strCache>
            </c:strRef>
          </c:cat>
          <c:val>
            <c:numRef>
              <c:f>IRCC!$J$85:$J$86</c:f>
              <c:numCache>
                <c:formatCode>0.00%</c:formatCode>
                <c:ptCount val="2"/>
                <c:pt idx="0">
                  <c:v>0.29578809211311302</c:v>
                </c:pt>
                <c:pt idx="1">
                  <c:v>0.60502923278845522</c:v>
                </c:pt>
              </c:numCache>
            </c:numRef>
          </c:val>
        </c:ser>
        <c:dLbls/>
        <c:axId val="221391488"/>
        <c:axId val="221401472"/>
      </c:barChart>
      <c:catAx>
        <c:axId val="221391488"/>
        <c:scaling>
          <c:orientation val="minMax"/>
        </c:scaling>
        <c:axPos val="b"/>
        <c:numFmt formatCode="General" sourceLinked="0"/>
        <c:tickLblPos val="nextTo"/>
        <c:crossAx val="221401472"/>
        <c:crosses val="autoZero"/>
        <c:auto val="1"/>
        <c:lblAlgn val="ctr"/>
        <c:lblOffset val="100"/>
      </c:catAx>
      <c:valAx>
        <c:axId val="221401472"/>
        <c:scaling>
          <c:orientation val="minMax"/>
        </c:scaling>
        <c:axPos val="l"/>
        <c:majorGridlines/>
        <c:numFmt formatCode="0%" sourceLinked="0"/>
        <c:tickLblPos val="nextTo"/>
        <c:crossAx val="221391488"/>
        <c:crosses val="autoZero"/>
        <c:crossBetween val="between"/>
      </c:valAx>
    </c:plotArea>
    <c:legend>
      <c:legendPos val="b"/>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GAC!$G$2</c:f>
              <c:strCache>
                <c:ptCount val="1"/>
                <c:pt idx="0">
                  <c:v>2012-2013</c:v>
                </c:pt>
              </c:strCache>
            </c:strRef>
          </c:tx>
          <c:spPr>
            <a:solidFill>
              <a:schemeClr val="bg1">
                <a:lumMod val="65000"/>
              </a:schemeClr>
            </a:solidFill>
          </c:spPr>
          <c:cat>
            <c:strRef>
              <c:f>GAC!$F$3:$F$8</c:f>
              <c:strCache>
                <c:ptCount val="6"/>
                <c:pt idx="0">
                  <c:v>30 jours ou moins</c:v>
                </c:pt>
                <c:pt idx="1">
                  <c:v>31 à 60 jours</c:v>
                </c:pt>
                <c:pt idx="2">
                  <c:v>61 à 120 jours</c:v>
                </c:pt>
                <c:pt idx="3">
                  <c:v>121 à 180 jours</c:v>
                </c:pt>
                <c:pt idx="4">
                  <c:v>181 à 365 jours</c:v>
                </c:pt>
                <c:pt idx="5">
                  <c:v>Plus de 365 jours</c:v>
                </c:pt>
              </c:strCache>
            </c:strRef>
          </c:cat>
          <c:val>
            <c:numRef>
              <c:f>GAC!$G$3:$G$8</c:f>
              <c:numCache>
                <c:formatCode>0.00%</c:formatCode>
                <c:ptCount val="6"/>
                <c:pt idx="0">
                  <c:v>0.42690000000000028</c:v>
                </c:pt>
                <c:pt idx="1">
                  <c:v>0.12490000000000002</c:v>
                </c:pt>
                <c:pt idx="2">
                  <c:v>0.18780000000000013</c:v>
                </c:pt>
                <c:pt idx="3">
                  <c:v>8.2300000000000012E-2</c:v>
                </c:pt>
                <c:pt idx="4">
                  <c:v>0.1258</c:v>
                </c:pt>
                <c:pt idx="5">
                  <c:v>5.2300000000000034E-2</c:v>
                </c:pt>
              </c:numCache>
            </c:numRef>
          </c:val>
        </c:ser>
        <c:ser>
          <c:idx val="1"/>
          <c:order val="1"/>
          <c:tx>
            <c:strRef>
              <c:f>GAC!$H$2</c:f>
              <c:strCache>
                <c:ptCount val="1"/>
                <c:pt idx="0">
                  <c:v>2013-2014</c:v>
                </c:pt>
              </c:strCache>
            </c:strRef>
          </c:tx>
          <c:spPr>
            <a:solidFill>
              <a:srgbClr val="FFC000"/>
            </a:solidFill>
          </c:spPr>
          <c:cat>
            <c:strRef>
              <c:f>GAC!$F$3:$F$8</c:f>
              <c:strCache>
                <c:ptCount val="6"/>
                <c:pt idx="0">
                  <c:v>30 jours ou moins</c:v>
                </c:pt>
                <c:pt idx="1">
                  <c:v>31 à 60 jours</c:v>
                </c:pt>
                <c:pt idx="2">
                  <c:v>61 à 120 jours</c:v>
                </c:pt>
                <c:pt idx="3">
                  <c:v>121 à 180 jours</c:v>
                </c:pt>
                <c:pt idx="4">
                  <c:v>181 à 365 jours</c:v>
                </c:pt>
                <c:pt idx="5">
                  <c:v>Plus de 365 jours</c:v>
                </c:pt>
              </c:strCache>
            </c:strRef>
          </c:cat>
          <c:val>
            <c:numRef>
              <c:f>GAC!$H$3:$H$8</c:f>
              <c:numCache>
                <c:formatCode>0.00%</c:formatCode>
                <c:ptCount val="6"/>
                <c:pt idx="0">
                  <c:v>0.33800000000000041</c:v>
                </c:pt>
                <c:pt idx="1">
                  <c:v>0.12640000000000001</c:v>
                </c:pt>
                <c:pt idx="2">
                  <c:v>0.2031</c:v>
                </c:pt>
                <c:pt idx="3">
                  <c:v>9.9200000000000066E-2</c:v>
                </c:pt>
                <c:pt idx="4">
                  <c:v>0.11550000000000003</c:v>
                </c:pt>
                <c:pt idx="5">
                  <c:v>0.11780000000000002</c:v>
                </c:pt>
              </c:numCache>
            </c:numRef>
          </c:val>
        </c:ser>
        <c:ser>
          <c:idx val="2"/>
          <c:order val="2"/>
          <c:tx>
            <c:strRef>
              <c:f>GAC!$I$2</c:f>
              <c:strCache>
                <c:ptCount val="1"/>
                <c:pt idx="0">
                  <c:v>2014-2015</c:v>
                </c:pt>
              </c:strCache>
            </c:strRef>
          </c:tx>
          <c:spPr>
            <a:solidFill>
              <a:schemeClr val="accent5">
                <a:lumMod val="75000"/>
              </a:schemeClr>
            </a:solidFill>
          </c:spPr>
          <c:cat>
            <c:strRef>
              <c:f>GAC!$F$3:$F$8</c:f>
              <c:strCache>
                <c:ptCount val="6"/>
                <c:pt idx="0">
                  <c:v>30 jours ou moins</c:v>
                </c:pt>
                <c:pt idx="1">
                  <c:v>31 à 60 jours</c:v>
                </c:pt>
                <c:pt idx="2">
                  <c:v>61 à 120 jours</c:v>
                </c:pt>
                <c:pt idx="3">
                  <c:v>121 à 180 jours</c:v>
                </c:pt>
                <c:pt idx="4">
                  <c:v>181 à 365 jours</c:v>
                </c:pt>
                <c:pt idx="5">
                  <c:v>Plus de 365 jours</c:v>
                </c:pt>
              </c:strCache>
            </c:strRef>
          </c:cat>
          <c:val>
            <c:numRef>
              <c:f>GAC!$I$3:$I$8</c:f>
              <c:numCache>
                <c:formatCode>0.00%</c:formatCode>
                <c:ptCount val="6"/>
                <c:pt idx="0">
                  <c:v>0.33740000000000042</c:v>
                </c:pt>
                <c:pt idx="1">
                  <c:v>0.11590000000000002</c:v>
                </c:pt>
                <c:pt idx="2">
                  <c:v>0.16970000000000013</c:v>
                </c:pt>
                <c:pt idx="3">
                  <c:v>7.420000000000003E-2</c:v>
                </c:pt>
                <c:pt idx="4">
                  <c:v>0.11690000000000002</c:v>
                </c:pt>
                <c:pt idx="5">
                  <c:v>0.18600000000000014</c:v>
                </c:pt>
              </c:numCache>
            </c:numRef>
          </c:val>
        </c:ser>
        <c:dLbls/>
        <c:axId val="252836096"/>
        <c:axId val="252919808"/>
      </c:barChart>
      <c:catAx>
        <c:axId val="252836096"/>
        <c:scaling>
          <c:orientation val="minMax"/>
        </c:scaling>
        <c:axPos val="b"/>
        <c:numFmt formatCode="General" sourceLinked="0"/>
        <c:tickLblPos val="nextTo"/>
        <c:crossAx val="252919808"/>
        <c:crosses val="autoZero"/>
        <c:auto val="1"/>
        <c:lblAlgn val="ctr"/>
        <c:lblOffset val="100"/>
      </c:catAx>
      <c:valAx>
        <c:axId val="252919808"/>
        <c:scaling>
          <c:orientation val="minMax"/>
        </c:scaling>
        <c:axPos val="l"/>
        <c:majorGridlines/>
        <c:numFmt formatCode="0%" sourceLinked="0"/>
        <c:tickLblPos val="nextTo"/>
        <c:crossAx val="252836096"/>
        <c:crosses val="autoZero"/>
        <c:crossBetween val="between"/>
      </c:valAx>
    </c:plotArea>
    <c:legend>
      <c:legendPos val="b"/>
    </c:legend>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GAC!$H$30</c:f>
              <c:strCache>
                <c:ptCount val="1"/>
                <c:pt idx="0">
                  <c:v>2012-2013</c:v>
                </c:pt>
              </c:strCache>
            </c:strRef>
          </c:tx>
          <c:spPr>
            <a:solidFill>
              <a:schemeClr val="bg1">
                <a:lumMod val="65000"/>
              </a:schemeClr>
            </a:solidFill>
          </c:spPr>
          <c:cat>
            <c:strRef>
              <c:f>GAC!$G$31:$G$36</c:f>
              <c:strCache>
                <c:ptCount val="6"/>
                <c:pt idx="0">
                  <c:v>30 jours ou moins</c:v>
                </c:pt>
                <c:pt idx="1">
                  <c:v>31 à 60 jours</c:v>
                </c:pt>
                <c:pt idx="2">
                  <c:v>61 à 120 jours</c:v>
                </c:pt>
                <c:pt idx="3">
                  <c:v>121 à 180 jours</c:v>
                </c:pt>
                <c:pt idx="4">
                  <c:v>181 à 365 jours</c:v>
                </c:pt>
                <c:pt idx="5">
                  <c:v>Plus de 365 jours</c:v>
                </c:pt>
              </c:strCache>
            </c:strRef>
          </c:cat>
          <c:val>
            <c:numRef>
              <c:f>GAC!$H$31:$H$36</c:f>
              <c:numCache>
                <c:formatCode>0.00%</c:formatCode>
                <c:ptCount val="6"/>
                <c:pt idx="0">
                  <c:v>0.20666666666666669</c:v>
                </c:pt>
                <c:pt idx="1">
                  <c:v>0.2166666666666667</c:v>
                </c:pt>
                <c:pt idx="2">
                  <c:v>0.38500000000000034</c:v>
                </c:pt>
                <c:pt idx="3">
                  <c:v>0.11</c:v>
                </c:pt>
                <c:pt idx="4">
                  <c:v>7.0000000000000021E-2</c:v>
                </c:pt>
                <c:pt idx="5">
                  <c:v>1.1666666666666679E-2</c:v>
                </c:pt>
              </c:numCache>
            </c:numRef>
          </c:val>
        </c:ser>
        <c:ser>
          <c:idx val="1"/>
          <c:order val="1"/>
          <c:tx>
            <c:strRef>
              <c:f>GAC!$I$30</c:f>
              <c:strCache>
                <c:ptCount val="1"/>
                <c:pt idx="0">
                  <c:v>2013-2014</c:v>
                </c:pt>
              </c:strCache>
            </c:strRef>
          </c:tx>
          <c:spPr>
            <a:solidFill>
              <a:srgbClr val="FFC000"/>
            </a:solidFill>
          </c:spPr>
          <c:cat>
            <c:strRef>
              <c:f>GAC!$G$31:$G$36</c:f>
              <c:strCache>
                <c:ptCount val="6"/>
                <c:pt idx="0">
                  <c:v>30 jours ou moins</c:v>
                </c:pt>
                <c:pt idx="1">
                  <c:v>31 à 60 jours</c:v>
                </c:pt>
                <c:pt idx="2">
                  <c:v>61 à 120 jours</c:v>
                </c:pt>
                <c:pt idx="3">
                  <c:v>121 à 180 jours</c:v>
                </c:pt>
                <c:pt idx="4">
                  <c:v>181 à 365 jours</c:v>
                </c:pt>
                <c:pt idx="5">
                  <c:v>Plus de 365 jours</c:v>
                </c:pt>
              </c:strCache>
            </c:strRef>
          </c:cat>
          <c:val>
            <c:numRef>
              <c:f>GAC!$I$31:$I$36</c:f>
              <c:numCache>
                <c:formatCode>0.00%</c:formatCode>
                <c:ptCount val="6"/>
                <c:pt idx="0">
                  <c:v>0.2253</c:v>
                </c:pt>
                <c:pt idx="1">
                  <c:v>0.27990000000000026</c:v>
                </c:pt>
                <c:pt idx="2">
                  <c:v>0.27990000000000026</c:v>
                </c:pt>
                <c:pt idx="3">
                  <c:v>0.13639999999999999</c:v>
                </c:pt>
                <c:pt idx="4">
                  <c:v>7.0000000000000021E-2</c:v>
                </c:pt>
                <c:pt idx="5">
                  <c:v>8.3000000000000088E-3</c:v>
                </c:pt>
              </c:numCache>
            </c:numRef>
          </c:val>
        </c:ser>
        <c:ser>
          <c:idx val="2"/>
          <c:order val="2"/>
          <c:tx>
            <c:strRef>
              <c:f>GAC!$J$30</c:f>
              <c:strCache>
                <c:ptCount val="1"/>
                <c:pt idx="0">
                  <c:v>2014-2015</c:v>
                </c:pt>
              </c:strCache>
            </c:strRef>
          </c:tx>
          <c:spPr>
            <a:solidFill>
              <a:schemeClr val="accent5">
                <a:lumMod val="75000"/>
              </a:schemeClr>
            </a:solidFill>
          </c:spPr>
          <c:cat>
            <c:strRef>
              <c:f>GAC!$G$31:$G$36</c:f>
              <c:strCache>
                <c:ptCount val="6"/>
                <c:pt idx="0">
                  <c:v>30 jours ou moins</c:v>
                </c:pt>
                <c:pt idx="1">
                  <c:v>31 à 60 jours</c:v>
                </c:pt>
                <c:pt idx="2">
                  <c:v>61 à 120 jours</c:v>
                </c:pt>
                <c:pt idx="3">
                  <c:v>121 à 180 jours</c:v>
                </c:pt>
                <c:pt idx="4">
                  <c:v>181 à 365 jours</c:v>
                </c:pt>
                <c:pt idx="5">
                  <c:v>Plus de 365 jours</c:v>
                </c:pt>
              </c:strCache>
            </c:strRef>
          </c:cat>
          <c:val>
            <c:numRef>
              <c:f>GAC!$J$31:$J$36</c:f>
              <c:numCache>
                <c:formatCode>0.00%</c:formatCode>
                <c:ptCount val="6"/>
                <c:pt idx="0">
                  <c:v>0.24577572964669739</c:v>
                </c:pt>
                <c:pt idx="1">
                  <c:v>0.30414746543778831</c:v>
                </c:pt>
                <c:pt idx="2">
                  <c:v>0.28417818740399386</c:v>
                </c:pt>
                <c:pt idx="3">
                  <c:v>0.12288786482334853</c:v>
                </c:pt>
                <c:pt idx="4">
                  <c:v>3.840245775729647E-2</c:v>
                </c:pt>
                <c:pt idx="5">
                  <c:v>4.608294930875576E-3</c:v>
                </c:pt>
              </c:numCache>
            </c:numRef>
          </c:val>
        </c:ser>
        <c:dLbls/>
        <c:axId val="252950400"/>
        <c:axId val="252951936"/>
      </c:barChart>
      <c:catAx>
        <c:axId val="252950400"/>
        <c:scaling>
          <c:orientation val="minMax"/>
        </c:scaling>
        <c:axPos val="b"/>
        <c:numFmt formatCode="General" sourceLinked="0"/>
        <c:tickLblPos val="nextTo"/>
        <c:crossAx val="252951936"/>
        <c:crosses val="autoZero"/>
        <c:auto val="1"/>
        <c:lblAlgn val="ctr"/>
        <c:lblOffset val="100"/>
      </c:catAx>
      <c:valAx>
        <c:axId val="252951936"/>
        <c:scaling>
          <c:orientation val="minMax"/>
        </c:scaling>
        <c:axPos val="l"/>
        <c:majorGridlines/>
        <c:numFmt formatCode="0%" sourceLinked="0"/>
        <c:tickLblPos val="nextTo"/>
        <c:crossAx val="252950400"/>
        <c:crosses val="autoZero"/>
        <c:crossBetween val="between"/>
      </c:valAx>
    </c:plotArea>
    <c:legend>
      <c:legendPos val="b"/>
    </c:legend>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GAC!$H$60</c:f>
              <c:strCache>
                <c:ptCount val="1"/>
                <c:pt idx="0">
                  <c:v>2014-2015</c:v>
                </c:pt>
              </c:strCache>
            </c:strRef>
          </c:tx>
          <c:dPt>
            <c:idx val="1"/>
            <c:spPr>
              <a:solidFill>
                <a:schemeClr val="accent6">
                  <a:lumMod val="50000"/>
                </a:schemeClr>
              </a:solidFill>
            </c:spPr>
          </c:dPt>
          <c:dPt>
            <c:idx val="2"/>
            <c:spPr>
              <a:solidFill>
                <a:schemeClr val="accent5">
                  <a:lumMod val="60000"/>
                  <a:lumOff val="40000"/>
                </a:schemeClr>
              </a:solidFill>
            </c:spPr>
          </c:dPt>
          <c:dPt>
            <c:idx val="3"/>
            <c:spPr>
              <a:solidFill>
                <a:schemeClr val="tx2">
                  <a:lumMod val="50000"/>
                </a:schemeClr>
              </a:solidFill>
            </c:spPr>
          </c:dPt>
          <c:dPt>
            <c:idx val="4"/>
            <c:spPr>
              <a:solidFill>
                <a:schemeClr val="bg1">
                  <a:lumMod val="50000"/>
                </a:schemeClr>
              </a:solidFill>
            </c:spPr>
          </c:dPt>
          <c:dPt>
            <c:idx val="5"/>
            <c:spPr>
              <a:solidFill>
                <a:schemeClr val="bg2">
                  <a:lumMod val="25000"/>
                </a:schemeClr>
              </a:solidFill>
            </c:spPr>
          </c:dPt>
          <c:dPt>
            <c:idx val="6"/>
            <c:spPr>
              <a:solidFill>
                <a:srgbClr val="FFC000"/>
              </a:solidFill>
            </c:spPr>
          </c:dPt>
          <c:dLbls>
            <c:dLbl>
              <c:idx val="0"/>
              <c:layout>
                <c:manualLayout>
                  <c:x val="-2.5954703704242589E-3"/>
                  <c:y val="1.3015269893588883E-3"/>
                </c:manualLayout>
              </c:layout>
              <c:tx>
                <c:rich>
                  <a:bodyPr/>
                  <a:lstStyle/>
                  <a:p>
                    <a:r>
                      <a:rPr lang="en-US"/>
                      <a:t>11,06 %</a:t>
                    </a:r>
                  </a:p>
                </c:rich>
              </c:tx>
              <c:showPercent val="1"/>
              <c:extLst>
                <c:ext xmlns:c15="http://schemas.microsoft.com/office/drawing/2012/chart" uri="{CE6537A1-D6FC-4f65-9D91-7224C49458BB}">
                  <c15:layout/>
                </c:ext>
              </c:extLst>
            </c:dLbl>
            <c:dLbl>
              <c:idx val="1"/>
              <c:layout>
                <c:manualLayout>
                  <c:x val="7.6843924271344677E-4"/>
                  <c:y val="-5.5551740625445073E-3"/>
                </c:manualLayout>
              </c:layout>
              <c:tx>
                <c:rich>
                  <a:bodyPr/>
                  <a:lstStyle/>
                  <a:p>
                    <a:r>
                      <a:rPr lang="en-US"/>
                      <a:t>7,86 %</a:t>
                    </a:r>
                  </a:p>
                </c:rich>
              </c:tx>
              <c:showPercent val="1"/>
              <c:extLst>
                <c:ext xmlns:c15="http://schemas.microsoft.com/office/drawing/2012/chart" uri="{CE6537A1-D6FC-4f65-9D91-7224C49458BB}">
                  <c15:layout/>
                </c:ext>
              </c:extLst>
            </c:dLbl>
            <c:dLbl>
              <c:idx val="2"/>
              <c:layout>
                <c:manualLayout>
                  <c:x val="7.686761020132704E-3"/>
                  <c:y val="8.43735376101243E-3"/>
                </c:manualLayout>
              </c:layout>
              <c:tx>
                <c:rich>
                  <a:bodyPr/>
                  <a:lstStyle/>
                  <a:p>
                    <a:r>
                      <a:rPr lang="en-US"/>
                      <a:t>8,85 %</a:t>
                    </a:r>
                  </a:p>
                </c:rich>
              </c:tx>
              <c:showPercent val="1"/>
              <c:extLst>
                <c:ext xmlns:c15="http://schemas.microsoft.com/office/drawing/2012/chart" uri="{CE6537A1-D6FC-4f65-9D91-7224C49458BB}">
                  <c15:layout/>
                </c:ext>
              </c:extLst>
            </c:dLbl>
            <c:dLbl>
              <c:idx val="3"/>
              <c:layout>
                <c:manualLayout>
                  <c:x val="7.1472681192031942E-3"/>
                  <c:y val="3.6096472192944394E-2"/>
                </c:manualLayout>
              </c:layout>
              <c:tx>
                <c:rich>
                  <a:bodyPr/>
                  <a:lstStyle/>
                  <a:p>
                    <a:r>
                      <a:rPr lang="en-US"/>
                      <a:t>8,60 %</a:t>
                    </a:r>
                  </a:p>
                </c:rich>
              </c:tx>
              <c:showPercent val="1"/>
              <c:extLst>
                <c:ext xmlns:c15="http://schemas.microsoft.com/office/drawing/2012/chart" uri="{CE6537A1-D6FC-4f65-9D91-7224C49458BB}">
                  <c15:layout/>
                </c:ext>
              </c:extLst>
            </c:dLbl>
            <c:dLbl>
              <c:idx val="4"/>
              <c:layout>
                <c:manualLayout>
                  <c:x val="3.0395815575935238E-3"/>
                  <c:y val="7.6107855704083491E-3"/>
                </c:manualLayout>
              </c:layout>
              <c:tx>
                <c:rich>
                  <a:bodyPr/>
                  <a:lstStyle/>
                  <a:p>
                    <a:r>
                      <a:rPr lang="en-US"/>
                      <a:t>11,30 %</a:t>
                    </a:r>
                  </a:p>
                </c:rich>
              </c:tx>
              <c:showPercent val="1"/>
              <c:extLst>
                <c:ext xmlns:c15="http://schemas.microsoft.com/office/drawing/2012/chart" uri="{CE6537A1-D6FC-4f65-9D91-7224C49458BB}">
                  <c15:layout/>
                </c:ext>
              </c:extLst>
            </c:dLbl>
            <c:dLbl>
              <c:idx val="5"/>
              <c:layout>
                <c:manualLayout>
                  <c:x val="-1.4598992129842205E-2"/>
                  <c:y val="-3.4423386030234598E-3"/>
                </c:manualLayout>
              </c:layout>
              <c:tx>
                <c:rich>
                  <a:bodyPr/>
                  <a:lstStyle/>
                  <a:p>
                    <a:r>
                      <a:rPr lang="en-US"/>
                      <a:t>21,13 %</a:t>
                    </a:r>
                  </a:p>
                </c:rich>
              </c:tx>
              <c:showPercent val="1"/>
              <c:extLst>
                <c:ext xmlns:c15="http://schemas.microsoft.com/office/drawing/2012/chart" uri="{CE6537A1-D6FC-4f65-9D91-7224C49458BB}">
                  <c15:layout/>
                </c:ext>
              </c:extLst>
            </c:dLbl>
            <c:dLbl>
              <c:idx val="6"/>
              <c:layout>
                <c:manualLayout>
                  <c:x val="-2.9966085131969541E-3"/>
                  <c:y val="3.972931799222772E-3"/>
                </c:manualLayout>
              </c:layout>
              <c:tx>
                <c:rich>
                  <a:bodyPr/>
                  <a:lstStyle/>
                  <a:p>
                    <a:r>
                      <a:rPr lang="en-US"/>
                      <a:t>31,20 %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GAC!$G$61:$G$67</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GAC!$H$61:$H$67</c:f>
              <c:numCache>
                <c:formatCode>General</c:formatCode>
                <c:ptCount val="7"/>
                <c:pt idx="0">
                  <c:v>45</c:v>
                </c:pt>
                <c:pt idx="1">
                  <c:v>32</c:v>
                </c:pt>
                <c:pt idx="2">
                  <c:v>36</c:v>
                </c:pt>
                <c:pt idx="3">
                  <c:v>35</c:v>
                </c:pt>
                <c:pt idx="4">
                  <c:v>46</c:v>
                </c:pt>
                <c:pt idx="5">
                  <c:v>86</c:v>
                </c:pt>
                <c:pt idx="6">
                  <c:v>127</c:v>
                </c:pt>
              </c:numCache>
            </c:numRef>
          </c:val>
        </c:ser>
        <c:dLbls/>
        <c:firstSliceAng val="0"/>
      </c:pieChart>
    </c:plotArea>
    <c:legend>
      <c:legendPos val="r"/>
    </c:legend>
    <c:plotVisOnly val="1"/>
    <c:dispBlanksAs val="zero"/>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GAC!$H$93</c:f>
              <c:strCache>
                <c:ptCount val="1"/>
                <c:pt idx="0">
                  <c:v>2012-2013</c:v>
                </c:pt>
              </c:strCache>
            </c:strRef>
          </c:tx>
          <c:spPr>
            <a:solidFill>
              <a:schemeClr val="bg1">
                <a:lumMod val="65000"/>
              </a:schemeClr>
            </a:solidFill>
          </c:spPr>
          <c:cat>
            <c:strRef>
              <c:f>GAC!$G$94:$G$95</c:f>
              <c:strCache>
                <c:ptCount val="2"/>
                <c:pt idx="0">
                  <c:v>Divulgation complète </c:v>
                </c:pt>
                <c:pt idx="1">
                  <c:v>Divulgation partielle </c:v>
                </c:pt>
              </c:strCache>
            </c:strRef>
          </c:cat>
          <c:val>
            <c:numRef>
              <c:f>GAC!$H$94:$H$95</c:f>
              <c:numCache>
                <c:formatCode>0.00%</c:formatCode>
                <c:ptCount val="2"/>
                <c:pt idx="0">
                  <c:v>9.4869312681510207E-2</c:v>
                </c:pt>
                <c:pt idx="1">
                  <c:v>0.57308809293320462</c:v>
                </c:pt>
              </c:numCache>
            </c:numRef>
          </c:val>
        </c:ser>
        <c:ser>
          <c:idx val="1"/>
          <c:order val="1"/>
          <c:tx>
            <c:strRef>
              <c:f>GAC!$I$93</c:f>
              <c:strCache>
                <c:ptCount val="1"/>
                <c:pt idx="0">
                  <c:v>2013-2014</c:v>
                </c:pt>
              </c:strCache>
            </c:strRef>
          </c:tx>
          <c:spPr>
            <a:solidFill>
              <a:srgbClr val="FFC000"/>
            </a:solidFill>
          </c:spPr>
          <c:cat>
            <c:strRef>
              <c:f>GAC!$G$94:$G$95</c:f>
              <c:strCache>
                <c:ptCount val="2"/>
                <c:pt idx="0">
                  <c:v>Divulgation complète </c:v>
                </c:pt>
                <c:pt idx="1">
                  <c:v>Divulgation partielle </c:v>
                </c:pt>
              </c:strCache>
            </c:strRef>
          </c:cat>
          <c:val>
            <c:numRef>
              <c:f>GAC!$I$94:$I$95</c:f>
              <c:numCache>
                <c:formatCode>0.00%</c:formatCode>
                <c:ptCount val="2"/>
                <c:pt idx="0">
                  <c:v>9.7600000000000006E-2</c:v>
                </c:pt>
                <c:pt idx="1">
                  <c:v>0.61710000000000054</c:v>
                </c:pt>
              </c:numCache>
            </c:numRef>
          </c:val>
        </c:ser>
        <c:ser>
          <c:idx val="2"/>
          <c:order val="2"/>
          <c:tx>
            <c:strRef>
              <c:f>GAC!$J$93</c:f>
              <c:strCache>
                <c:ptCount val="1"/>
                <c:pt idx="0">
                  <c:v>2014-2015</c:v>
                </c:pt>
              </c:strCache>
            </c:strRef>
          </c:tx>
          <c:spPr>
            <a:solidFill>
              <a:schemeClr val="accent5">
                <a:lumMod val="75000"/>
              </a:schemeClr>
            </a:solidFill>
          </c:spPr>
          <c:cat>
            <c:strRef>
              <c:f>GAC!$G$94:$G$95</c:f>
              <c:strCache>
                <c:ptCount val="2"/>
                <c:pt idx="0">
                  <c:v>Divulgation complète </c:v>
                </c:pt>
                <c:pt idx="1">
                  <c:v>Divulgation partielle </c:v>
                </c:pt>
              </c:strCache>
            </c:strRef>
          </c:cat>
          <c:val>
            <c:numRef>
              <c:f>GAC!$J$94:$J$95</c:f>
              <c:numCache>
                <c:formatCode>0.00%</c:formatCode>
                <c:ptCount val="2"/>
                <c:pt idx="0">
                  <c:v>9.1463414634146339E-2</c:v>
                </c:pt>
                <c:pt idx="1">
                  <c:v>0.58434959349593496</c:v>
                </c:pt>
              </c:numCache>
            </c:numRef>
          </c:val>
        </c:ser>
        <c:dLbls/>
        <c:axId val="252973824"/>
        <c:axId val="252975360"/>
      </c:barChart>
      <c:catAx>
        <c:axId val="252973824"/>
        <c:scaling>
          <c:orientation val="minMax"/>
        </c:scaling>
        <c:axPos val="b"/>
        <c:numFmt formatCode="General" sourceLinked="0"/>
        <c:tickLblPos val="nextTo"/>
        <c:crossAx val="252975360"/>
        <c:crosses val="autoZero"/>
        <c:auto val="1"/>
        <c:lblAlgn val="ctr"/>
        <c:lblOffset val="100"/>
      </c:catAx>
      <c:valAx>
        <c:axId val="252975360"/>
        <c:scaling>
          <c:orientation val="minMax"/>
        </c:scaling>
        <c:axPos val="l"/>
        <c:majorGridlines/>
        <c:numFmt formatCode="0%" sourceLinked="0"/>
        <c:tickLblPos val="nextTo"/>
        <c:crossAx val="252973824"/>
        <c:crosses val="autoZero"/>
        <c:crossBetween val="between"/>
      </c:valAx>
    </c:plotArea>
    <c:legend>
      <c:legendPos val="b"/>
    </c:legend>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LAC!$G$2</c:f>
              <c:strCache>
                <c:ptCount val="1"/>
                <c:pt idx="0">
                  <c:v>2012-2013</c:v>
                </c:pt>
              </c:strCache>
            </c:strRef>
          </c:tx>
          <c:spPr>
            <a:solidFill>
              <a:schemeClr val="bg1">
                <a:lumMod val="65000"/>
              </a:schemeClr>
            </a:solidFill>
          </c:spPr>
          <c:cat>
            <c:strRef>
              <c:f>LAC!$F$3:$F$8</c:f>
              <c:strCache>
                <c:ptCount val="6"/>
                <c:pt idx="0">
                  <c:v>30 jours ou moins</c:v>
                </c:pt>
                <c:pt idx="1">
                  <c:v>31 à 60 jours</c:v>
                </c:pt>
                <c:pt idx="2">
                  <c:v>61 à 120 jours</c:v>
                </c:pt>
                <c:pt idx="3">
                  <c:v>121 à 180 jours</c:v>
                </c:pt>
                <c:pt idx="4">
                  <c:v>181 à 365 jours</c:v>
                </c:pt>
                <c:pt idx="5">
                  <c:v>Plus de 365 jours</c:v>
                </c:pt>
              </c:strCache>
            </c:strRef>
          </c:cat>
          <c:val>
            <c:numRef>
              <c:f>LAC!$G$3:$G$8</c:f>
              <c:numCache>
                <c:formatCode>0.00%</c:formatCode>
                <c:ptCount val="6"/>
                <c:pt idx="0">
                  <c:v>0.74370000000000158</c:v>
                </c:pt>
                <c:pt idx="1">
                  <c:v>4.2330000000000083E-2</c:v>
                </c:pt>
                <c:pt idx="2">
                  <c:v>7.2080000000000102E-2</c:v>
                </c:pt>
                <c:pt idx="3">
                  <c:v>4.5760000000000127E-2</c:v>
                </c:pt>
                <c:pt idx="4">
                  <c:v>8.1230000000000024E-2</c:v>
                </c:pt>
                <c:pt idx="5">
                  <c:v>1.4870000000000001E-2</c:v>
                </c:pt>
              </c:numCache>
            </c:numRef>
          </c:val>
        </c:ser>
        <c:ser>
          <c:idx val="1"/>
          <c:order val="1"/>
          <c:tx>
            <c:strRef>
              <c:f>LAC!$H$2</c:f>
              <c:strCache>
                <c:ptCount val="1"/>
                <c:pt idx="0">
                  <c:v>2013-2014</c:v>
                </c:pt>
              </c:strCache>
            </c:strRef>
          </c:tx>
          <c:spPr>
            <a:solidFill>
              <a:srgbClr val="FFC000"/>
            </a:solidFill>
          </c:spPr>
          <c:cat>
            <c:strRef>
              <c:f>LAC!$F$3:$F$8</c:f>
              <c:strCache>
                <c:ptCount val="6"/>
                <c:pt idx="0">
                  <c:v>30 jours ou moins</c:v>
                </c:pt>
                <c:pt idx="1">
                  <c:v>31 à 60 jours</c:v>
                </c:pt>
                <c:pt idx="2">
                  <c:v>61 à 120 jours</c:v>
                </c:pt>
                <c:pt idx="3">
                  <c:v>121 à 180 jours</c:v>
                </c:pt>
                <c:pt idx="4">
                  <c:v>181 à 365 jours</c:v>
                </c:pt>
                <c:pt idx="5">
                  <c:v>Plus de 365 jours</c:v>
                </c:pt>
              </c:strCache>
            </c:strRef>
          </c:cat>
          <c:val>
            <c:numRef>
              <c:f>LAC!$H$3:$H$8</c:f>
              <c:numCache>
                <c:formatCode>0.00%</c:formatCode>
                <c:ptCount val="6"/>
                <c:pt idx="0">
                  <c:v>0.67460000000000209</c:v>
                </c:pt>
                <c:pt idx="1">
                  <c:v>6.7000000000000073E-2</c:v>
                </c:pt>
                <c:pt idx="2">
                  <c:v>0.12110000000000012</c:v>
                </c:pt>
                <c:pt idx="3">
                  <c:v>3.7870000000000098E-2</c:v>
                </c:pt>
                <c:pt idx="4">
                  <c:v>6.9200000000000039E-2</c:v>
                </c:pt>
                <c:pt idx="5">
                  <c:v>3.0300000000000018E-2</c:v>
                </c:pt>
              </c:numCache>
            </c:numRef>
          </c:val>
        </c:ser>
        <c:ser>
          <c:idx val="2"/>
          <c:order val="2"/>
          <c:tx>
            <c:strRef>
              <c:f>LAC!$I$2</c:f>
              <c:strCache>
                <c:ptCount val="1"/>
                <c:pt idx="0">
                  <c:v>2014-2015</c:v>
                </c:pt>
              </c:strCache>
            </c:strRef>
          </c:tx>
          <c:spPr>
            <a:solidFill>
              <a:schemeClr val="accent5">
                <a:lumMod val="75000"/>
              </a:schemeClr>
            </a:solidFill>
          </c:spPr>
          <c:cat>
            <c:strRef>
              <c:f>LAC!$F$3:$F$8</c:f>
              <c:strCache>
                <c:ptCount val="6"/>
                <c:pt idx="0">
                  <c:v>30 jours ou moins</c:v>
                </c:pt>
                <c:pt idx="1">
                  <c:v>31 à 60 jours</c:v>
                </c:pt>
                <c:pt idx="2">
                  <c:v>61 à 120 jours</c:v>
                </c:pt>
                <c:pt idx="3">
                  <c:v>121 à 180 jours</c:v>
                </c:pt>
                <c:pt idx="4">
                  <c:v>181 à 365 jours</c:v>
                </c:pt>
                <c:pt idx="5">
                  <c:v>Plus de 365 jours</c:v>
                </c:pt>
              </c:strCache>
            </c:strRef>
          </c:cat>
          <c:val>
            <c:numRef>
              <c:f>LAC!$I$3:$I$8</c:f>
              <c:numCache>
                <c:formatCode>0.00%</c:formatCode>
                <c:ptCount val="6"/>
                <c:pt idx="0">
                  <c:v>0.77344000000000102</c:v>
                </c:pt>
                <c:pt idx="1">
                  <c:v>5.8460000000000067E-2</c:v>
                </c:pt>
                <c:pt idx="2">
                  <c:v>7.7950000000000075E-2</c:v>
                </c:pt>
                <c:pt idx="3">
                  <c:v>2.9230000000000041E-2</c:v>
                </c:pt>
                <c:pt idx="4">
                  <c:v>4.0190000000000024E-2</c:v>
                </c:pt>
                <c:pt idx="5">
                  <c:v>2.070000000000001E-2</c:v>
                </c:pt>
              </c:numCache>
            </c:numRef>
          </c:val>
        </c:ser>
        <c:dLbls/>
        <c:axId val="253022208"/>
        <c:axId val="253023744"/>
      </c:barChart>
      <c:catAx>
        <c:axId val="253022208"/>
        <c:scaling>
          <c:orientation val="minMax"/>
        </c:scaling>
        <c:axPos val="b"/>
        <c:numFmt formatCode="General" sourceLinked="0"/>
        <c:tickLblPos val="nextTo"/>
        <c:crossAx val="253023744"/>
        <c:crosses val="autoZero"/>
        <c:auto val="1"/>
        <c:lblAlgn val="ctr"/>
        <c:lblOffset val="100"/>
      </c:catAx>
      <c:valAx>
        <c:axId val="253023744"/>
        <c:scaling>
          <c:orientation val="minMax"/>
        </c:scaling>
        <c:axPos val="l"/>
        <c:majorGridlines/>
        <c:numFmt formatCode="0%" sourceLinked="0"/>
        <c:tickLblPos val="nextTo"/>
        <c:crossAx val="253022208"/>
        <c:crosses val="autoZero"/>
        <c:crossBetween val="between"/>
      </c:valAx>
    </c:plotArea>
    <c:legend>
      <c:legendPos val="b"/>
    </c:legend>
    <c:plotVisOnly val="1"/>
    <c:dispBlanksAs val="gap"/>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LAC!$H$31</c:f>
              <c:strCache>
                <c:ptCount val="1"/>
                <c:pt idx="0">
                  <c:v>2012-2013</c:v>
                </c:pt>
              </c:strCache>
            </c:strRef>
          </c:tx>
          <c:spPr>
            <a:solidFill>
              <a:schemeClr val="bg1">
                <a:lumMod val="65000"/>
              </a:schemeClr>
            </a:solidFill>
          </c:spPr>
          <c:cat>
            <c:strRef>
              <c:f>LAC!$G$32:$G$37</c:f>
              <c:strCache>
                <c:ptCount val="6"/>
                <c:pt idx="0">
                  <c:v>30 jours ou moins</c:v>
                </c:pt>
                <c:pt idx="1">
                  <c:v>31 à 60 jours</c:v>
                </c:pt>
                <c:pt idx="2">
                  <c:v>61 à 120 jours</c:v>
                </c:pt>
                <c:pt idx="3">
                  <c:v>121 à 180 jours</c:v>
                </c:pt>
                <c:pt idx="4">
                  <c:v>181 à 365 jours</c:v>
                </c:pt>
                <c:pt idx="5">
                  <c:v>Plus de 365 jours</c:v>
                </c:pt>
              </c:strCache>
            </c:strRef>
          </c:cat>
          <c:val>
            <c:numRef>
              <c:f>LAC!$H$32:$H$37</c:f>
              <c:numCache>
                <c:formatCode>0.0%</c:formatCode>
                <c:ptCount val="6"/>
                <c:pt idx="0">
                  <c:v>9.056603773584937E-2</c:v>
                </c:pt>
                <c:pt idx="1">
                  <c:v>0.15471698113207627</c:v>
                </c:pt>
                <c:pt idx="2">
                  <c:v>0.15849056603773623</c:v>
                </c:pt>
                <c:pt idx="3">
                  <c:v>0.16981132075471697</c:v>
                </c:pt>
                <c:pt idx="4">
                  <c:v>0.37358490566037855</c:v>
                </c:pt>
                <c:pt idx="5">
                  <c:v>5.2830188679245292E-2</c:v>
                </c:pt>
              </c:numCache>
            </c:numRef>
          </c:val>
        </c:ser>
        <c:ser>
          <c:idx val="1"/>
          <c:order val="1"/>
          <c:tx>
            <c:strRef>
              <c:f>LAC!$I$31</c:f>
              <c:strCache>
                <c:ptCount val="1"/>
                <c:pt idx="0">
                  <c:v>2013-2014</c:v>
                </c:pt>
              </c:strCache>
            </c:strRef>
          </c:tx>
          <c:spPr>
            <a:solidFill>
              <a:srgbClr val="FFC000"/>
            </a:solidFill>
          </c:spPr>
          <c:cat>
            <c:strRef>
              <c:f>LAC!$G$32:$G$37</c:f>
              <c:strCache>
                <c:ptCount val="6"/>
                <c:pt idx="0">
                  <c:v>30 jours ou moins</c:v>
                </c:pt>
                <c:pt idx="1">
                  <c:v>31 à 60 jours</c:v>
                </c:pt>
                <c:pt idx="2">
                  <c:v>61 à 120 jours</c:v>
                </c:pt>
                <c:pt idx="3">
                  <c:v>121 à 180 jours</c:v>
                </c:pt>
                <c:pt idx="4">
                  <c:v>181 à 365 jours</c:v>
                </c:pt>
                <c:pt idx="5">
                  <c:v>Plus de 365 jours</c:v>
                </c:pt>
              </c:strCache>
            </c:strRef>
          </c:cat>
          <c:val>
            <c:numRef>
              <c:f>LAC!$I$32:$I$37</c:f>
              <c:numCache>
                <c:formatCode>0.0%</c:formatCode>
                <c:ptCount val="6"/>
                <c:pt idx="0">
                  <c:v>8.4269662921348326E-2</c:v>
                </c:pt>
                <c:pt idx="1">
                  <c:v>0.16853932584269704</c:v>
                </c:pt>
                <c:pt idx="2">
                  <c:v>0.17415730337078653</c:v>
                </c:pt>
                <c:pt idx="3">
                  <c:v>0.19662921348314608</c:v>
                </c:pt>
                <c:pt idx="4">
                  <c:v>0.28932584269662931</c:v>
                </c:pt>
                <c:pt idx="5">
                  <c:v>8.707865168539318E-2</c:v>
                </c:pt>
              </c:numCache>
            </c:numRef>
          </c:val>
        </c:ser>
        <c:ser>
          <c:idx val="2"/>
          <c:order val="2"/>
          <c:tx>
            <c:strRef>
              <c:f>LAC!$J$31</c:f>
              <c:strCache>
                <c:ptCount val="1"/>
                <c:pt idx="0">
                  <c:v>2014-2015</c:v>
                </c:pt>
              </c:strCache>
            </c:strRef>
          </c:tx>
          <c:spPr>
            <a:solidFill>
              <a:schemeClr val="accent5">
                <a:lumMod val="75000"/>
              </a:schemeClr>
            </a:solidFill>
          </c:spPr>
          <c:cat>
            <c:strRef>
              <c:f>LAC!$G$32:$G$37</c:f>
              <c:strCache>
                <c:ptCount val="6"/>
                <c:pt idx="0">
                  <c:v>30 jours ou moins</c:v>
                </c:pt>
                <c:pt idx="1">
                  <c:v>31 à 60 jours</c:v>
                </c:pt>
                <c:pt idx="2">
                  <c:v>61 à 120 jours</c:v>
                </c:pt>
                <c:pt idx="3">
                  <c:v>121 à 180 jours</c:v>
                </c:pt>
                <c:pt idx="4">
                  <c:v>181 à 365 jours</c:v>
                </c:pt>
                <c:pt idx="5">
                  <c:v>Plus de 365 jours</c:v>
                </c:pt>
              </c:strCache>
            </c:strRef>
          </c:cat>
          <c:val>
            <c:numRef>
              <c:f>LAC!$J$32:$J$37</c:f>
              <c:numCache>
                <c:formatCode>0.0%</c:formatCode>
                <c:ptCount val="6"/>
                <c:pt idx="0">
                  <c:v>8.5561497326203495E-2</c:v>
                </c:pt>
                <c:pt idx="1">
                  <c:v>0.11764705882352942</c:v>
                </c:pt>
                <c:pt idx="2">
                  <c:v>0.18716577540106971</c:v>
                </c:pt>
                <c:pt idx="3">
                  <c:v>0.29946524064171121</c:v>
                </c:pt>
                <c:pt idx="4">
                  <c:v>0.24598930481283496</c:v>
                </c:pt>
                <c:pt idx="5">
                  <c:v>6.4171122994652399E-2</c:v>
                </c:pt>
              </c:numCache>
            </c:numRef>
          </c:val>
        </c:ser>
        <c:dLbls/>
        <c:axId val="253132160"/>
        <c:axId val="253162624"/>
      </c:barChart>
      <c:catAx>
        <c:axId val="253132160"/>
        <c:scaling>
          <c:orientation val="minMax"/>
        </c:scaling>
        <c:axPos val="b"/>
        <c:numFmt formatCode="General" sourceLinked="0"/>
        <c:tickLblPos val="nextTo"/>
        <c:crossAx val="253162624"/>
        <c:crosses val="autoZero"/>
        <c:auto val="1"/>
        <c:lblAlgn val="ctr"/>
        <c:lblOffset val="100"/>
      </c:catAx>
      <c:valAx>
        <c:axId val="253162624"/>
        <c:scaling>
          <c:orientation val="minMax"/>
        </c:scaling>
        <c:axPos val="l"/>
        <c:majorGridlines/>
        <c:numFmt formatCode="0%" sourceLinked="0"/>
        <c:tickLblPos val="nextTo"/>
        <c:crossAx val="253132160"/>
        <c:crosses val="autoZero"/>
        <c:crossBetween val="between"/>
      </c:valAx>
    </c:plotArea>
    <c:legend>
      <c:legendPos val="b"/>
    </c:legend>
    <c:plotVisOnly val="1"/>
    <c:dispBlanksAs val="gap"/>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LAC!$H$60</c:f>
              <c:strCache>
                <c:ptCount val="1"/>
                <c:pt idx="0">
                  <c:v>2014-2015</c:v>
                </c:pt>
              </c:strCache>
            </c:strRef>
          </c:tx>
          <c:dPt>
            <c:idx val="0"/>
            <c:spPr>
              <a:solidFill>
                <a:schemeClr val="accent5">
                  <a:lumMod val="50000"/>
                </a:schemeClr>
              </a:solidFill>
            </c:spPr>
          </c:dPt>
          <c:dPt>
            <c:idx val="1"/>
            <c:spPr>
              <a:solidFill>
                <a:schemeClr val="bg1">
                  <a:lumMod val="50000"/>
                </a:schemeClr>
              </a:solidFill>
            </c:spPr>
          </c:dPt>
          <c:dPt>
            <c:idx val="2"/>
            <c:spPr>
              <a:solidFill>
                <a:schemeClr val="tx2">
                  <a:lumMod val="75000"/>
                </a:schemeClr>
              </a:solidFill>
            </c:spPr>
          </c:dPt>
          <c:dPt>
            <c:idx val="3"/>
            <c:spPr>
              <a:solidFill>
                <a:schemeClr val="accent5">
                  <a:lumMod val="60000"/>
                  <a:lumOff val="40000"/>
                </a:schemeClr>
              </a:solidFill>
            </c:spPr>
          </c:dPt>
          <c:dPt>
            <c:idx val="4"/>
            <c:spPr>
              <a:solidFill>
                <a:schemeClr val="accent6">
                  <a:lumMod val="50000"/>
                </a:schemeClr>
              </a:solidFill>
            </c:spPr>
          </c:dPt>
          <c:dPt>
            <c:idx val="5"/>
            <c:spPr>
              <a:solidFill>
                <a:schemeClr val="bg2">
                  <a:lumMod val="50000"/>
                </a:schemeClr>
              </a:solidFill>
            </c:spPr>
          </c:dPt>
          <c:dPt>
            <c:idx val="6"/>
            <c:spPr>
              <a:solidFill>
                <a:srgbClr val="FFC000"/>
              </a:solidFill>
            </c:spPr>
          </c:dPt>
          <c:dLbls>
            <c:dLbl>
              <c:idx val="0"/>
              <c:layout>
                <c:manualLayout>
                  <c:x val="-6.1226212503882986E-3"/>
                  <c:y val="-2.2277772336327085E-2"/>
                </c:manualLayout>
              </c:layout>
              <c:tx>
                <c:rich>
                  <a:bodyPr/>
                  <a:lstStyle/>
                  <a:p>
                    <a:r>
                      <a:rPr lang="en-US"/>
                      <a:t>30,56 %</a:t>
                    </a:r>
                  </a:p>
                </c:rich>
              </c:tx>
              <c:showPercent val="1"/>
              <c:extLst>
                <c:ext xmlns:c15="http://schemas.microsoft.com/office/drawing/2012/chart" uri="{CE6537A1-D6FC-4f65-9D91-7224C49458BB}">
                  <c15:layout/>
                </c:ext>
              </c:extLst>
            </c:dLbl>
            <c:dLbl>
              <c:idx val="1"/>
              <c:layout>
                <c:manualLayout>
                  <c:x val="1.1681844624038821E-2"/>
                  <c:y val="-1.9332758918285443E-2"/>
                </c:manualLayout>
              </c:layout>
              <c:tx>
                <c:rich>
                  <a:bodyPr/>
                  <a:lstStyle/>
                  <a:p>
                    <a:r>
                      <a:rPr lang="en-US"/>
                      <a:t>16,67 %</a:t>
                    </a:r>
                  </a:p>
                </c:rich>
              </c:tx>
              <c:showPercent val="1"/>
              <c:extLst>
                <c:ext xmlns:c15="http://schemas.microsoft.com/office/drawing/2012/chart" uri="{CE6537A1-D6FC-4f65-9D91-7224C49458BB}">
                  <c15:layout/>
                </c:ext>
              </c:extLst>
            </c:dLbl>
            <c:dLbl>
              <c:idx val="2"/>
              <c:layout>
                <c:manualLayout>
                  <c:x val="-2.0655256948249774E-2"/>
                  <c:y val="-1.5077668017628752E-2"/>
                </c:manualLayout>
              </c:layout>
              <c:tx>
                <c:rich>
                  <a:bodyPr/>
                  <a:lstStyle/>
                  <a:p>
                    <a:r>
                      <a:rPr lang="en-US"/>
                      <a:t>25,00 %</a:t>
                    </a:r>
                  </a:p>
                </c:rich>
              </c:tx>
              <c:showPercent val="1"/>
              <c:extLst>
                <c:ext xmlns:c15="http://schemas.microsoft.com/office/drawing/2012/chart" uri="{CE6537A1-D6FC-4f65-9D91-7224C49458BB}">
                  <c15:layout/>
                </c:ext>
              </c:extLst>
            </c:dLbl>
            <c:dLbl>
              <c:idx val="3"/>
              <c:layout>
                <c:manualLayout>
                  <c:x val="8.8076381707311718E-3"/>
                  <c:y val="-2.1947604260663896E-2"/>
                </c:manualLayout>
              </c:layout>
              <c:tx>
                <c:rich>
                  <a:bodyPr/>
                  <a:lstStyle/>
                  <a:p>
                    <a:r>
                      <a:rPr lang="en-US"/>
                      <a:t>13,89 %</a:t>
                    </a:r>
                  </a:p>
                </c:rich>
              </c:tx>
              <c:showPercent val="1"/>
              <c:extLst>
                <c:ext xmlns:c15="http://schemas.microsoft.com/office/drawing/2012/chart" uri="{CE6537A1-D6FC-4f65-9D91-7224C49458BB}">
                  <c15:layout/>
                </c:ext>
              </c:extLst>
            </c:dLbl>
            <c:dLbl>
              <c:idx val="4"/>
              <c:layout>
                <c:manualLayout>
                  <c:x val="1.1362788463064274E-3"/>
                  <c:y val="1.1287044910934831E-2"/>
                </c:manualLayout>
              </c:layout>
              <c:tx>
                <c:rich>
                  <a:bodyPr/>
                  <a:lstStyle/>
                  <a:p>
                    <a:r>
                      <a:rPr lang="en-US"/>
                      <a:t>8,33 %</a:t>
                    </a:r>
                  </a:p>
                </c:rich>
              </c:tx>
              <c:showPercent val="1"/>
              <c:extLst>
                <c:ext xmlns:c15="http://schemas.microsoft.com/office/drawing/2012/chart" uri="{CE6537A1-D6FC-4f65-9D91-7224C49458BB}">
                  <c15:layout/>
                </c:ext>
              </c:extLst>
            </c:dLbl>
            <c:dLbl>
              <c:idx val="5"/>
              <c:layout>
                <c:manualLayout>
                  <c:x val="-3.0305270909066978E-3"/>
                  <c:y val="3.5575011868095645E-4"/>
                </c:manualLayout>
              </c:layout>
              <c:tx>
                <c:rich>
                  <a:bodyPr/>
                  <a:lstStyle/>
                  <a:p>
                    <a:r>
                      <a:rPr lang="en-US"/>
                      <a:t>2,78 %</a:t>
                    </a:r>
                  </a:p>
                </c:rich>
              </c:tx>
              <c:showPercent val="1"/>
              <c:extLst>
                <c:ext xmlns:c15="http://schemas.microsoft.com/office/drawing/2012/chart" uri="{CE6537A1-D6FC-4f65-9D91-7224C49458BB}">
                  <c15:layout/>
                </c:ext>
              </c:extLst>
            </c:dLbl>
            <c:dLbl>
              <c:idx val="6"/>
              <c:layout>
                <c:manualLayout>
                  <c:x val="6.2207510750842123E-3"/>
                  <c:y val="-3.6151144384195147E-3"/>
                </c:manualLayout>
              </c:layout>
              <c:tx>
                <c:rich>
                  <a:bodyPr/>
                  <a:lstStyle/>
                  <a:p>
                    <a:r>
                      <a:rPr lang="en-US"/>
                      <a:t>2,78 %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LAC!$G$61:$G$67</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LAC!$H$61:$H$67</c:f>
              <c:numCache>
                <c:formatCode>0</c:formatCode>
                <c:ptCount val="7"/>
                <c:pt idx="0">
                  <c:v>11</c:v>
                </c:pt>
                <c:pt idx="1">
                  <c:v>6</c:v>
                </c:pt>
                <c:pt idx="2">
                  <c:v>9</c:v>
                </c:pt>
                <c:pt idx="3">
                  <c:v>5</c:v>
                </c:pt>
                <c:pt idx="4">
                  <c:v>3</c:v>
                </c:pt>
                <c:pt idx="5">
                  <c:v>1</c:v>
                </c:pt>
                <c:pt idx="6">
                  <c:v>1</c:v>
                </c:pt>
              </c:numCache>
            </c:numRef>
          </c:val>
        </c:ser>
        <c:dLbls/>
        <c:firstSliceAng val="0"/>
      </c:pieChart>
    </c:plotArea>
    <c:legend>
      <c:legendPos val="r"/>
    </c:legend>
    <c:plotVisOnly val="1"/>
    <c:dispBlanksAs val="zero"/>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LAC!$H$91</c:f>
              <c:strCache>
                <c:ptCount val="1"/>
                <c:pt idx="0">
                  <c:v>2012-2013</c:v>
                </c:pt>
              </c:strCache>
            </c:strRef>
          </c:tx>
          <c:spPr>
            <a:solidFill>
              <a:schemeClr val="bg1">
                <a:lumMod val="65000"/>
              </a:schemeClr>
            </a:solidFill>
          </c:spPr>
          <c:cat>
            <c:strRef>
              <c:f>LAC!$G$92:$G$93</c:f>
              <c:strCache>
                <c:ptCount val="2"/>
                <c:pt idx="0">
                  <c:v>Divulgation complète </c:v>
                </c:pt>
                <c:pt idx="1">
                  <c:v>Divulgation partielle </c:v>
                </c:pt>
              </c:strCache>
            </c:strRef>
          </c:cat>
          <c:val>
            <c:numRef>
              <c:f>LAC!$H$92:$H$93</c:f>
              <c:numCache>
                <c:formatCode>0.00%</c:formatCode>
                <c:ptCount val="2"/>
                <c:pt idx="0">
                  <c:v>0.33981693363844584</c:v>
                </c:pt>
                <c:pt idx="1">
                  <c:v>0.47711670480549268</c:v>
                </c:pt>
              </c:numCache>
            </c:numRef>
          </c:val>
        </c:ser>
        <c:ser>
          <c:idx val="1"/>
          <c:order val="1"/>
          <c:tx>
            <c:strRef>
              <c:f>LAC!$I$91</c:f>
              <c:strCache>
                <c:ptCount val="1"/>
                <c:pt idx="0">
                  <c:v>2013-2014</c:v>
                </c:pt>
              </c:strCache>
            </c:strRef>
          </c:tx>
          <c:spPr>
            <a:solidFill>
              <a:srgbClr val="FFC000"/>
            </a:solidFill>
          </c:spPr>
          <c:cat>
            <c:strRef>
              <c:f>LAC!$G$92:$G$93</c:f>
              <c:strCache>
                <c:ptCount val="2"/>
                <c:pt idx="0">
                  <c:v>Divulgation complète </c:v>
                </c:pt>
                <c:pt idx="1">
                  <c:v>Divulgation partielle </c:v>
                </c:pt>
              </c:strCache>
            </c:strRef>
          </c:cat>
          <c:val>
            <c:numRef>
              <c:f>LAC!$I$92:$I$93</c:f>
              <c:numCache>
                <c:formatCode>0.00%</c:formatCode>
                <c:ptCount val="2"/>
                <c:pt idx="0">
                  <c:v>0.334415584415585</c:v>
                </c:pt>
                <c:pt idx="1">
                  <c:v>0.50919999999999999</c:v>
                </c:pt>
              </c:numCache>
            </c:numRef>
          </c:val>
        </c:ser>
        <c:ser>
          <c:idx val="2"/>
          <c:order val="2"/>
          <c:tx>
            <c:strRef>
              <c:f>LAC!$J$91</c:f>
              <c:strCache>
                <c:ptCount val="1"/>
                <c:pt idx="0">
                  <c:v>2014-2015</c:v>
                </c:pt>
              </c:strCache>
            </c:strRef>
          </c:tx>
          <c:spPr>
            <a:solidFill>
              <a:schemeClr val="accent5">
                <a:lumMod val="75000"/>
              </a:schemeClr>
            </a:solidFill>
          </c:spPr>
          <c:cat>
            <c:strRef>
              <c:f>LAC!$G$92:$G$93</c:f>
              <c:strCache>
                <c:ptCount val="2"/>
                <c:pt idx="0">
                  <c:v>Divulgation complète </c:v>
                </c:pt>
                <c:pt idx="1">
                  <c:v>Divulgation partielle </c:v>
                </c:pt>
              </c:strCache>
            </c:strRef>
          </c:cat>
          <c:val>
            <c:numRef>
              <c:f>LAC!$J$92:$J$93</c:f>
              <c:numCache>
                <c:formatCode>0.00%</c:formatCode>
                <c:ptCount val="2"/>
                <c:pt idx="0">
                  <c:v>0.33617539585870987</c:v>
                </c:pt>
                <c:pt idx="1">
                  <c:v>0.47868453105968461</c:v>
                </c:pt>
              </c:numCache>
            </c:numRef>
          </c:val>
        </c:ser>
        <c:dLbls/>
        <c:axId val="253230464"/>
        <c:axId val="253240448"/>
      </c:barChart>
      <c:catAx>
        <c:axId val="253230464"/>
        <c:scaling>
          <c:orientation val="minMax"/>
        </c:scaling>
        <c:axPos val="b"/>
        <c:numFmt formatCode="General" sourceLinked="0"/>
        <c:tickLblPos val="nextTo"/>
        <c:crossAx val="253240448"/>
        <c:crosses val="autoZero"/>
        <c:auto val="1"/>
        <c:lblAlgn val="ctr"/>
        <c:lblOffset val="100"/>
      </c:catAx>
      <c:valAx>
        <c:axId val="253240448"/>
        <c:scaling>
          <c:orientation val="minMax"/>
        </c:scaling>
        <c:axPos val="l"/>
        <c:majorGridlines/>
        <c:numFmt formatCode="0%" sourceLinked="0"/>
        <c:tickLblPos val="nextTo"/>
        <c:crossAx val="253230464"/>
        <c:crosses val="autoZero"/>
        <c:crossBetween val="between"/>
      </c:valAx>
    </c:plotArea>
    <c:legend>
      <c:legendPos val="b"/>
    </c:legend>
    <c:plotVisOnly val="1"/>
    <c:dispBlanksAs val="gap"/>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ISED!$G$2</c:f>
              <c:strCache>
                <c:ptCount val="1"/>
                <c:pt idx="0">
                  <c:v>2012-2013</c:v>
                </c:pt>
              </c:strCache>
            </c:strRef>
          </c:tx>
          <c:spPr>
            <a:solidFill>
              <a:schemeClr val="bg1">
                <a:lumMod val="65000"/>
              </a:schemeClr>
            </a:solidFill>
          </c:spPr>
          <c:cat>
            <c:strRef>
              <c:f>ISED!$F$3:$F$8</c:f>
              <c:strCache>
                <c:ptCount val="6"/>
                <c:pt idx="0">
                  <c:v>30 jours ou moins</c:v>
                </c:pt>
                <c:pt idx="1">
                  <c:v>31 à 60 jours</c:v>
                </c:pt>
                <c:pt idx="2">
                  <c:v>61 à 120 jours</c:v>
                </c:pt>
                <c:pt idx="3">
                  <c:v>121 à 180 jours</c:v>
                </c:pt>
                <c:pt idx="4">
                  <c:v>181 à 365 jours</c:v>
                </c:pt>
                <c:pt idx="5">
                  <c:v>Plus de 365 jours</c:v>
                </c:pt>
              </c:strCache>
            </c:strRef>
          </c:cat>
          <c:val>
            <c:numRef>
              <c:f>ISED!$G$3:$G$8</c:f>
              <c:numCache>
                <c:formatCode>0.00%</c:formatCode>
                <c:ptCount val="6"/>
                <c:pt idx="0">
                  <c:v>0.64186046511627903</c:v>
                </c:pt>
                <c:pt idx="1">
                  <c:v>8.1395348837209655E-2</c:v>
                </c:pt>
                <c:pt idx="2">
                  <c:v>9.8837209302325577E-2</c:v>
                </c:pt>
                <c:pt idx="3">
                  <c:v>6.0465116279069767E-2</c:v>
                </c:pt>
                <c:pt idx="4">
                  <c:v>2.5581395348837209E-2</c:v>
                </c:pt>
                <c:pt idx="5">
                  <c:v>9.1860465116279585E-2</c:v>
                </c:pt>
              </c:numCache>
            </c:numRef>
          </c:val>
        </c:ser>
        <c:ser>
          <c:idx val="1"/>
          <c:order val="1"/>
          <c:tx>
            <c:strRef>
              <c:f>ISED!$H$2</c:f>
              <c:strCache>
                <c:ptCount val="1"/>
                <c:pt idx="0">
                  <c:v>2013-2014</c:v>
                </c:pt>
              </c:strCache>
            </c:strRef>
          </c:tx>
          <c:spPr>
            <a:solidFill>
              <a:srgbClr val="FFC000"/>
            </a:solidFill>
          </c:spPr>
          <c:cat>
            <c:strRef>
              <c:f>ISED!$F$3:$F$8</c:f>
              <c:strCache>
                <c:ptCount val="6"/>
                <c:pt idx="0">
                  <c:v>30 jours ou moins</c:v>
                </c:pt>
                <c:pt idx="1">
                  <c:v>31 à 60 jours</c:v>
                </c:pt>
                <c:pt idx="2">
                  <c:v>61 à 120 jours</c:v>
                </c:pt>
                <c:pt idx="3">
                  <c:v>121 à 180 jours</c:v>
                </c:pt>
                <c:pt idx="4">
                  <c:v>181 à 365 jours</c:v>
                </c:pt>
                <c:pt idx="5">
                  <c:v>Plus de 365 jours</c:v>
                </c:pt>
              </c:strCache>
            </c:strRef>
          </c:cat>
          <c:val>
            <c:numRef>
              <c:f>ISED!$H$3:$H$8</c:f>
              <c:numCache>
                <c:formatCode>0.00%</c:formatCode>
                <c:ptCount val="6"/>
                <c:pt idx="0">
                  <c:v>0.60000000000000064</c:v>
                </c:pt>
                <c:pt idx="1">
                  <c:v>0.10982658959537571</c:v>
                </c:pt>
                <c:pt idx="2">
                  <c:v>0.14450867052023153</c:v>
                </c:pt>
                <c:pt idx="3">
                  <c:v>9.8265895953757662E-2</c:v>
                </c:pt>
                <c:pt idx="4">
                  <c:v>2.1965317919075265E-2</c:v>
                </c:pt>
                <c:pt idx="5">
                  <c:v>2.5433526011560754E-2</c:v>
                </c:pt>
              </c:numCache>
            </c:numRef>
          </c:val>
        </c:ser>
        <c:ser>
          <c:idx val="2"/>
          <c:order val="2"/>
          <c:tx>
            <c:strRef>
              <c:f>ISED!$I$2</c:f>
              <c:strCache>
                <c:ptCount val="1"/>
                <c:pt idx="0">
                  <c:v>2014-2015</c:v>
                </c:pt>
              </c:strCache>
            </c:strRef>
          </c:tx>
          <c:spPr>
            <a:solidFill>
              <a:schemeClr val="accent5">
                <a:lumMod val="75000"/>
              </a:schemeClr>
            </a:solidFill>
          </c:spPr>
          <c:cat>
            <c:strRef>
              <c:f>ISED!$F$3:$F$8</c:f>
              <c:strCache>
                <c:ptCount val="6"/>
                <c:pt idx="0">
                  <c:v>30 jours ou moins</c:v>
                </c:pt>
                <c:pt idx="1">
                  <c:v>31 à 60 jours</c:v>
                </c:pt>
                <c:pt idx="2">
                  <c:v>61 à 120 jours</c:v>
                </c:pt>
                <c:pt idx="3">
                  <c:v>121 à 180 jours</c:v>
                </c:pt>
                <c:pt idx="4">
                  <c:v>181 à 365 jours</c:v>
                </c:pt>
                <c:pt idx="5">
                  <c:v>Plus de 365 jours</c:v>
                </c:pt>
              </c:strCache>
            </c:strRef>
          </c:cat>
          <c:val>
            <c:numRef>
              <c:f>ISED!$I$3:$I$8</c:f>
              <c:numCache>
                <c:formatCode>0.00%</c:formatCode>
                <c:ptCount val="6"/>
                <c:pt idx="0">
                  <c:v>0.67375886524822848</c:v>
                </c:pt>
                <c:pt idx="1">
                  <c:v>9.5035460992908161E-2</c:v>
                </c:pt>
                <c:pt idx="2">
                  <c:v>0.10780141843971631</c:v>
                </c:pt>
                <c:pt idx="3">
                  <c:v>7.94326241134755E-2</c:v>
                </c:pt>
                <c:pt idx="4">
                  <c:v>2.1276595744680847E-2</c:v>
                </c:pt>
                <c:pt idx="5">
                  <c:v>2.269503546099301E-2</c:v>
                </c:pt>
              </c:numCache>
            </c:numRef>
          </c:val>
        </c:ser>
        <c:dLbls/>
        <c:axId val="253275136"/>
        <c:axId val="253285120"/>
      </c:barChart>
      <c:catAx>
        <c:axId val="253275136"/>
        <c:scaling>
          <c:orientation val="minMax"/>
        </c:scaling>
        <c:axPos val="b"/>
        <c:numFmt formatCode="General" sourceLinked="0"/>
        <c:tickLblPos val="nextTo"/>
        <c:crossAx val="253285120"/>
        <c:crosses val="autoZero"/>
        <c:auto val="1"/>
        <c:lblAlgn val="ctr"/>
        <c:lblOffset val="100"/>
      </c:catAx>
      <c:valAx>
        <c:axId val="253285120"/>
        <c:scaling>
          <c:orientation val="minMax"/>
        </c:scaling>
        <c:axPos val="l"/>
        <c:majorGridlines/>
        <c:numFmt formatCode="0%" sourceLinked="0"/>
        <c:tickLblPos val="nextTo"/>
        <c:crossAx val="253275136"/>
        <c:crosses val="autoZero"/>
        <c:crossBetween val="between"/>
      </c:valAx>
    </c:plotArea>
    <c:legend>
      <c:legendPos val="b"/>
    </c:legend>
    <c:plotVisOnly val="1"/>
    <c:dispBlanksAs val="gap"/>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ISED!$H$31</c:f>
              <c:strCache>
                <c:ptCount val="1"/>
                <c:pt idx="0">
                  <c:v>2012-2013</c:v>
                </c:pt>
              </c:strCache>
            </c:strRef>
          </c:tx>
          <c:spPr>
            <a:solidFill>
              <a:schemeClr val="bg1">
                <a:lumMod val="65000"/>
              </a:schemeClr>
            </a:solidFill>
          </c:spPr>
          <c:cat>
            <c:strRef>
              <c:f>ISED!$G$32:$G$37</c:f>
              <c:strCache>
                <c:ptCount val="6"/>
                <c:pt idx="0">
                  <c:v>30 jours ou moins</c:v>
                </c:pt>
                <c:pt idx="1">
                  <c:v>31 à 60 jours</c:v>
                </c:pt>
                <c:pt idx="2">
                  <c:v>61 à 120 jours</c:v>
                </c:pt>
                <c:pt idx="3">
                  <c:v>121 à 180 jours</c:v>
                </c:pt>
                <c:pt idx="4">
                  <c:v>181 à 365 jours</c:v>
                </c:pt>
                <c:pt idx="5">
                  <c:v>Plus de 365 jours</c:v>
                </c:pt>
              </c:strCache>
            </c:strRef>
          </c:cat>
          <c:val>
            <c:numRef>
              <c:f>ISED!$H$32:$H$37</c:f>
              <c:numCache>
                <c:formatCode>0.00%</c:formatCode>
                <c:ptCount val="6"/>
                <c:pt idx="0">
                  <c:v>0.13265306122448967</c:v>
                </c:pt>
                <c:pt idx="1">
                  <c:v>0.29591836734693988</c:v>
                </c:pt>
                <c:pt idx="2">
                  <c:v>0.36734693877551083</c:v>
                </c:pt>
                <c:pt idx="3">
                  <c:v>0.15306122448979628</c:v>
                </c:pt>
                <c:pt idx="4">
                  <c:v>4.0816326530612394E-2</c:v>
                </c:pt>
                <c:pt idx="5">
                  <c:v>1.0204081632653093E-2</c:v>
                </c:pt>
              </c:numCache>
            </c:numRef>
          </c:val>
        </c:ser>
        <c:ser>
          <c:idx val="1"/>
          <c:order val="1"/>
          <c:tx>
            <c:strRef>
              <c:f>ISED!$I$31</c:f>
              <c:strCache>
                <c:ptCount val="1"/>
                <c:pt idx="0">
                  <c:v>2013-2014</c:v>
                </c:pt>
              </c:strCache>
            </c:strRef>
          </c:tx>
          <c:spPr>
            <a:solidFill>
              <a:srgbClr val="FFC000"/>
            </a:solidFill>
          </c:spPr>
          <c:cat>
            <c:strRef>
              <c:f>ISED!$G$32:$G$37</c:f>
              <c:strCache>
                <c:ptCount val="6"/>
                <c:pt idx="0">
                  <c:v>30 jours ou moins</c:v>
                </c:pt>
                <c:pt idx="1">
                  <c:v>31 à 60 jours</c:v>
                </c:pt>
                <c:pt idx="2">
                  <c:v>61 à 120 jours</c:v>
                </c:pt>
                <c:pt idx="3">
                  <c:v>121 à 180 jours</c:v>
                </c:pt>
                <c:pt idx="4">
                  <c:v>181 à 365 jours</c:v>
                </c:pt>
                <c:pt idx="5">
                  <c:v>Plus de 365 jours</c:v>
                </c:pt>
              </c:strCache>
            </c:strRef>
          </c:cat>
          <c:val>
            <c:numRef>
              <c:f>ISED!$I$32:$I$37</c:f>
              <c:numCache>
                <c:formatCode>0.00%</c:formatCode>
                <c:ptCount val="6"/>
                <c:pt idx="0">
                  <c:v>0.36909871244635195</c:v>
                </c:pt>
                <c:pt idx="1">
                  <c:v>0.25751072961373389</c:v>
                </c:pt>
                <c:pt idx="2">
                  <c:v>0.29828326180257597</c:v>
                </c:pt>
                <c:pt idx="3">
                  <c:v>7.2961373390557943E-2</c:v>
                </c:pt>
                <c:pt idx="4">
                  <c:v>2.145922746781128E-3</c:v>
                </c:pt>
                <c:pt idx="5">
                  <c:v>0</c:v>
                </c:pt>
              </c:numCache>
            </c:numRef>
          </c:val>
        </c:ser>
        <c:ser>
          <c:idx val="2"/>
          <c:order val="2"/>
          <c:tx>
            <c:strRef>
              <c:f>ISED!$J$31</c:f>
              <c:strCache>
                <c:ptCount val="1"/>
                <c:pt idx="0">
                  <c:v>2014-2015</c:v>
                </c:pt>
              </c:strCache>
            </c:strRef>
          </c:tx>
          <c:spPr>
            <a:solidFill>
              <a:schemeClr val="accent5">
                <a:lumMod val="75000"/>
              </a:schemeClr>
            </a:solidFill>
          </c:spPr>
          <c:cat>
            <c:strRef>
              <c:f>ISED!$G$32:$G$37</c:f>
              <c:strCache>
                <c:ptCount val="6"/>
                <c:pt idx="0">
                  <c:v>30 jours ou moins</c:v>
                </c:pt>
                <c:pt idx="1">
                  <c:v>31 à 60 jours</c:v>
                </c:pt>
                <c:pt idx="2">
                  <c:v>61 à 120 jours</c:v>
                </c:pt>
                <c:pt idx="3">
                  <c:v>121 à 180 jours</c:v>
                </c:pt>
                <c:pt idx="4">
                  <c:v>181 à 365 jours</c:v>
                </c:pt>
                <c:pt idx="5">
                  <c:v>Plus de 365 jours</c:v>
                </c:pt>
              </c:strCache>
            </c:strRef>
          </c:cat>
          <c:val>
            <c:numRef>
              <c:f>ISED!$J$32:$J$37</c:f>
              <c:numCache>
                <c:formatCode>0.00%</c:formatCode>
                <c:ptCount val="6"/>
                <c:pt idx="0">
                  <c:v>0.19488817891373769</c:v>
                </c:pt>
                <c:pt idx="1">
                  <c:v>0.40894568690095912</c:v>
                </c:pt>
                <c:pt idx="2">
                  <c:v>0.34824281150159725</c:v>
                </c:pt>
                <c:pt idx="3">
                  <c:v>3.8338658146964855E-2</c:v>
                </c:pt>
                <c:pt idx="4">
                  <c:v>9.5846645367412605E-3</c:v>
                </c:pt>
                <c:pt idx="5">
                  <c:v>0</c:v>
                </c:pt>
              </c:numCache>
            </c:numRef>
          </c:val>
        </c:ser>
        <c:dLbls/>
        <c:axId val="253323904"/>
        <c:axId val="253346176"/>
      </c:barChart>
      <c:catAx>
        <c:axId val="253323904"/>
        <c:scaling>
          <c:orientation val="minMax"/>
        </c:scaling>
        <c:axPos val="b"/>
        <c:numFmt formatCode="General" sourceLinked="0"/>
        <c:tickLblPos val="nextTo"/>
        <c:crossAx val="253346176"/>
        <c:crosses val="autoZero"/>
        <c:auto val="1"/>
        <c:lblAlgn val="ctr"/>
        <c:lblOffset val="100"/>
      </c:catAx>
      <c:valAx>
        <c:axId val="253346176"/>
        <c:scaling>
          <c:orientation val="minMax"/>
        </c:scaling>
        <c:axPos val="l"/>
        <c:majorGridlines/>
        <c:numFmt formatCode="0%" sourceLinked="0"/>
        <c:tickLblPos val="nextTo"/>
        <c:crossAx val="253323904"/>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CBSA!$N$2</c:f>
              <c:strCache>
                <c:ptCount val="1"/>
                <c:pt idx="0">
                  <c:v>2012-2013</c:v>
                </c:pt>
              </c:strCache>
            </c:strRef>
          </c:tx>
          <c:spPr>
            <a:solidFill>
              <a:schemeClr val="bg1">
                <a:lumMod val="65000"/>
              </a:schemeClr>
            </a:solidFill>
          </c:spPr>
          <c:cat>
            <c:strRef>
              <c:f>CBSA!$M$3:$M$8</c:f>
              <c:strCache>
                <c:ptCount val="6"/>
                <c:pt idx="0">
                  <c:v>30 jours ou moins</c:v>
                </c:pt>
                <c:pt idx="1">
                  <c:v>31 à 60 jours</c:v>
                </c:pt>
                <c:pt idx="2">
                  <c:v>61 à 120 jours</c:v>
                </c:pt>
                <c:pt idx="3">
                  <c:v>121 à 180 jours</c:v>
                </c:pt>
                <c:pt idx="4">
                  <c:v>181 à 365 jours</c:v>
                </c:pt>
                <c:pt idx="5">
                  <c:v>Plus de 365 jours</c:v>
                </c:pt>
              </c:strCache>
            </c:strRef>
          </c:cat>
          <c:val>
            <c:numRef>
              <c:f>CBSA!$N$3:$N$8</c:f>
              <c:numCache>
                <c:formatCode>0.00%</c:formatCode>
                <c:ptCount val="6"/>
                <c:pt idx="0">
                  <c:v>0.70670000000000255</c:v>
                </c:pt>
                <c:pt idx="1">
                  <c:v>0.18056035973711604</c:v>
                </c:pt>
                <c:pt idx="2">
                  <c:v>6.7104808024904872E-2</c:v>
                </c:pt>
                <c:pt idx="3">
                  <c:v>1.9024558976132911E-2</c:v>
                </c:pt>
                <c:pt idx="4">
                  <c:v>1.7295053614666305E-2</c:v>
                </c:pt>
                <c:pt idx="5">
                  <c:v>9.3393289519197505E-3</c:v>
                </c:pt>
              </c:numCache>
            </c:numRef>
          </c:val>
        </c:ser>
        <c:ser>
          <c:idx val="1"/>
          <c:order val="1"/>
          <c:tx>
            <c:strRef>
              <c:f>CBSA!$O$2</c:f>
              <c:strCache>
                <c:ptCount val="1"/>
                <c:pt idx="0">
                  <c:v>2013-2014</c:v>
                </c:pt>
              </c:strCache>
            </c:strRef>
          </c:tx>
          <c:spPr>
            <a:solidFill>
              <a:srgbClr val="FFC000"/>
            </a:solidFill>
          </c:spPr>
          <c:cat>
            <c:strRef>
              <c:f>CBSA!$M$3:$M$8</c:f>
              <c:strCache>
                <c:ptCount val="6"/>
                <c:pt idx="0">
                  <c:v>30 jours ou moins</c:v>
                </c:pt>
                <c:pt idx="1">
                  <c:v>31 à 60 jours</c:v>
                </c:pt>
                <c:pt idx="2">
                  <c:v>61 à 120 jours</c:v>
                </c:pt>
                <c:pt idx="3">
                  <c:v>121 à 180 jours</c:v>
                </c:pt>
                <c:pt idx="4">
                  <c:v>181 à 365 jours</c:v>
                </c:pt>
                <c:pt idx="5">
                  <c:v>Plus de 365 jours</c:v>
                </c:pt>
              </c:strCache>
            </c:strRef>
          </c:cat>
          <c:val>
            <c:numRef>
              <c:f>CBSA!$O$3:$O$8</c:f>
              <c:numCache>
                <c:formatCode>0.00%</c:formatCode>
                <c:ptCount val="6"/>
                <c:pt idx="0">
                  <c:v>0.76857072811963711</c:v>
                </c:pt>
                <c:pt idx="1">
                  <c:v>0.13115959794067167</c:v>
                </c:pt>
                <c:pt idx="2">
                  <c:v>5.0257416033341905E-2</c:v>
                </c:pt>
                <c:pt idx="3">
                  <c:v>1.593527825447414E-2</c:v>
                </c:pt>
                <c:pt idx="4">
                  <c:v>2.1573915175288231E-2</c:v>
                </c:pt>
                <c:pt idx="5">
                  <c:v>1.2503064476587441E-2</c:v>
                </c:pt>
              </c:numCache>
            </c:numRef>
          </c:val>
        </c:ser>
        <c:ser>
          <c:idx val="2"/>
          <c:order val="2"/>
          <c:tx>
            <c:strRef>
              <c:f>CBSA!$P$2</c:f>
              <c:strCache>
                <c:ptCount val="1"/>
                <c:pt idx="0">
                  <c:v>2014-2015</c:v>
                </c:pt>
              </c:strCache>
            </c:strRef>
          </c:tx>
          <c:spPr>
            <a:solidFill>
              <a:schemeClr val="accent5">
                <a:lumMod val="75000"/>
              </a:schemeClr>
            </a:solidFill>
          </c:spPr>
          <c:cat>
            <c:strRef>
              <c:f>CBSA!$M$3:$M$8</c:f>
              <c:strCache>
                <c:ptCount val="6"/>
                <c:pt idx="0">
                  <c:v>30 jours ou moins</c:v>
                </c:pt>
                <c:pt idx="1">
                  <c:v>31 à 60 jours</c:v>
                </c:pt>
                <c:pt idx="2">
                  <c:v>61 à 120 jours</c:v>
                </c:pt>
                <c:pt idx="3">
                  <c:v>121 à 180 jours</c:v>
                </c:pt>
                <c:pt idx="4">
                  <c:v>181 à 365 jours</c:v>
                </c:pt>
                <c:pt idx="5">
                  <c:v>Plus de 365 jours</c:v>
                </c:pt>
              </c:strCache>
            </c:strRef>
          </c:cat>
          <c:val>
            <c:numRef>
              <c:f>CBSA!$P$3:$P$8</c:f>
              <c:numCache>
                <c:formatCode>0.00%</c:formatCode>
                <c:ptCount val="6"/>
                <c:pt idx="0">
                  <c:v>0.75860041164363989</c:v>
                </c:pt>
                <c:pt idx="1">
                  <c:v>0.18053513672449445</c:v>
                </c:pt>
                <c:pt idx="2">
                  <c:v>3.1608350485151655E-2</c:v>
                </c:pt>
                <c:pt idx="3">
                  <c:v>7.4977947662452308E-3</c:v>
                </c:pt>
                <c:pt idx="4">
                  <c:v>7.4977947662452308E-3</c:v>
                </c:pt>
                <c:pt idx="5">
                  <c:v>1.4260511614231206E-2</c:v>
                </c:pt>
              </c:numCache>
            </c:numRef>
          </c:val>
        </c:ser>
        <c:dLbls/>
        <c:axId val="221436928"/>
        <c:axId val="221455104"/>
      </c:barChart>
      <c:catAx>
        <c:axId val="221436928"/>
        <c:scaling>
          <c:orientation val="minMax"/>
        </c:scaling>
        <c:axPos val="b"/>
        <c:numFmt formatCode="General" sourceLinked="0"/>
        <c:tickLblPos val="nextTo"/>
        <c:crossAx val="221455104"/>
        <c:crosses val="autoZero"/>
        <c:auto val="1"/>
        <c:lblAlgn val="ctr"/>
        <c:lblOffset val="100"/>
      </c:catAx>
      <c:valAx>
        <c:axId val="221455104"/>
        <c:scaling>
          <c:orientation val="minMax"/>
          <c:max val="0.8"/>
        </c:scaling>
        <c:axPos val="l"/>
        <c:majorGridlines/>
        <c:numFmt formatCode="0%" sourceLinked="0"/>
        <c:tickLblPos val="nextTo"/>
        <c:crossAx val="221436928"/>
        <c:crosses val="autoZero"/>
        <c:crossBetween val="between"/>
      </c:valAx>
    </c:plotArea>
    <c:legend>
      <c:legendPos val="b"/>
    </c:legend>
    <c:plotVisOnly val="1"/>
    <c:dispBlanksAs val="gap"/>
  </c:chart>
  <c:spPr>
    <a:ln cmpd="dbl"/>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ISED!$H$58</c:f>
              <c:strCache>
                <c:ptCount val="1"/>
                <c:pt idx="0">
                  <c:v>2014-2015</c:v>
                </c:pt>
              </c:strCache>
            </c:strRef>
          </c:tx>
          <c:spPr>
            <a:solidFill>
              <a:schemeClr val="accent5">
                <a:lumMod val="50000"/>
              </a:schemeClr>
            </a:solidFill>
          </c:spPr>
          <c:dPt>
            <c:idx val="0"/>
            <c:spPr>
              <a:solidFill>
                <a:schemeClr val="accent5">
                  <a:lumMod val="75000"/>
                </a:schemeClr>
              </a:solidFill>
            </c:spPr>
          </c:dPt>
          <c:dPt>
            <c:idx val="1"/>
            <c:spPr>
              <a:solidFill>
                <a:schemeClr val="tx1">
                  <a:lumMod val="85000"/>
                  <a:lumOff val="15000"/>
                </a:schemeClr>
              </a:solidFill>
            </c:spPr>
          </c:dPt>
          <c:dPt>
            <c:idx val="2"/>
            <c:spPr>
              <a:solidFill>
                <a:schemeClr val="bg2">
                  <a:lumMod val="75000"/>
                </a:schemeClr>
              </a:solidFill>
            </c:spPr>
          </c:dPt>
          <c:dPt>
            <c:idx val="3"/>
            <c:spPr>
              <a:solidFill>
                <a:schemeClr val="accent6">
                  <a:lumMod val="50000"/>
                </a:schemeClr>
              </a:solidFill>
            </c:spPr>
          </c:dPt>
          <c:dPt>
            <c:idx val="5"/>
            <c:spPr>
              <a:solidFill>
                <a:schemeClr val="accent5">
                  <a:lumMod val="60000"/>
                  <a:lumOff val="40000"/>
                </a:schemeClr>
              </a:solidFill>
            </c:spPr>
          </c:dPt>
          <c:dPt>
            <c:idx val="6"/>
            <c:spPr>
              <a:solidFill>
                <a:srgbClr val="FFC000"/>
              </a:solidFill>
            </c:spPr>
          </c:dPt>
          <c:dLbls>
            <c:dLbl>
              <c:idx val="0"/>
              <c:layout>
                <c:manualLayout>
                  <c:x val="-1.3777262175385977E-2"/>
                  <c:y val="-1.2165324314840405E-2"/>
                </c:manualLayout>
              </c:layout>
              <c:tx>
                <c:rich>
                  <a:bodyPr/>
                  <a:lstStyle/>
                  <a:p>
                    <a:r>
                      <a:rPr lang="en-US"/>
                      <a:t>13,51 %</a:t>
                    </a:r>
                  </a:p>
                </c:rich>
              </c:tx>
              <c:showPercent val="1"/>
              <c:extLst>
                <c:ext xmlns:c15="http://schemas.microsoft.com/office/drawing/2012/chart" uri="{CE6537A1-D6FC-4f65-9D91-7224C49458BB}">
                  <c15:layout/>
                </c:ext>
              </c:extLst>
            </c:dLbl>
            <c:dLbl>
              <c:idx val="1"/>
              <c:layout>
                <c:manualLayout>
                  <c:x val="9.8546534142248624E-3"/>
                  <c:y val="-5.0605038006612812E-3"/>
                </c:manualLayout>
              </c:layout>
              <c:tx>
                <c:rich>
                  <a:bodyPr/>
                  <a:lstStyle/>
                  <a:p>
                    <a:r>
                      <a:rPr lang="en-US"/>
                      <a:t>10,81 %</a:t>
                    </a:r>
                  </a:p>
                </c:rich>
              </c:tx>
              <c:showPercent val="1"/>
              <c:extLst>
                <c:ext xmlns:c15="http://schemas.microsoft.com/office/drawing/2012/chart" uri="{CE6537A1-D6FC-4f65-9D91-7224C49458BB}">
                  <c15:layout/>
                </c:ext>
              </c:extLst>
            </c:dLbl>
            <c:dLbl>
              <c:idx val="2"/>
              <c:layout>
                <c:manualLayout>
                  <c:x val="9.5607240475222462E-3"/>
                  <c:y val="7.1964325715031911E-3"/>
                </c:manualLayout>
              </c:layout>
              <c:tx>
                <c:rich>
                  <a:bodyPr/>
                  <a:lstStyle/>
                  <a:p>
                    <a:r>
                      <a:rPr lang="en-US"/>
                      <a:t>13,51 %</a:t>
                    </a:r>
                  </a:p>
                </c:rich>
              </c:tx>
              <c:showPercent val="1"/>
              <c:extLst>
                <c:ext xmlns:c15="http://schemas.microsoft.com/office/drawing/2012/chart" uri="{CE6537A1-D6FC-4f65-9D91-7224C49458BB}">
                  <c15:layout/>
                </c:ext>
              </c:extLst>
            </c:dLbl>
            <c:dLbl>
              <c:idx val="3"/>
              <c:layout>
                <c:manualLayout>
                  <c:x val="7.4827095850094026E-3"/>
                  <c:y val="-3.634527465401243E-3"/>
                </c:manualLayout>
              </c:layout>
              <c:tx>
                <c:rich>
                  <a:bodyPr/>
                  <a:lstStyle/>
                  <a:p>
                    <a:r>
                      <a:rPr lang="en-US"/>
                      <a:t>16,22 %</a:t>
                    </a:r>
                  </a:p>
                </c:rich>
              </c:tx>
              <c:showPercent val="1"/>
              <c:extLst>
                <c:ext xmlns:c15="http://schemas.microsoft.com/office/drawing/2012/chart" uri="{CE6537A1-D6FC-4f65-9D91-7224C49458BB}">
                  <c15:layout/>
                </c:ext>
              </c:extLst>
            </c:dLbl>
            <c:dLbl>
              <c:idx val="4"/>
              <c:layout>
                <c:manualLayout>
                  <c:x val="-6.1559587520492905E-3"/>
                  <c:y val="1.0615820559355824E-2"/>
                </c:manualLayout>
              </c:layout>
              <c:tx>
                <c:rich>
                  <a:bodyPr/>
                  <a:lstStyle/>
                  <a:p>
                    <a:r>
                      <a:rPr lang="en-US"/>
                      <a:t>5,41 %</a:t>
                    </a:r>
                  </a:p>
                </c:rich>
              </c:tx>
              <c:showPercent val="1"/>
              <c:extLst>
                <c:ext xmlns:c15="http://schemas.microsoft.com/office/drawing/2012/chart" uri="{CE6537A1-D6FC-4f65-9D91-7224C49458BB}">
                  <c15:layout/>
                </c:ext>
              </c:extLst>
            </c:dLbl>
            <c:dLbl>
              <c:idx val="5"/>
              <c:layout>
                <c:manualLayout>
                  <c:x val="3.3418160078318553E-4"/>
                  <c:y val="1.1436146364398542E-2"/>
                </c:manualLayout>
              </c:layout>
              <c:tx>
                <c:rich>
                  <a:bodyPr/>
                  <a:lstStyle/>
                  <a:p>
                    <a:r>
                      <a:rPr lang="en-US"/>
                      <a:t>16,22 %</a:t>
                    </a:r>
                  </a:p>
                </c:rich>
              </c:tx>
              <c:showPercent val="1"/>
              <c:extLst>
                <c:ext xmlns:c15="http://schemas.microsoft.com/office/drawing/2012/chart" uri="{CE6537A1-D6FC-4f65-9D91-7224C49458BB}">
                  <c15:layout/>
                </c:ext>
              </c:extLst>
            </c:dLbl>
            <c:dLbl>
              <c:idx val="6"/>
              <c:layout>
                <c:manualLayout>
                  <c:x val="-2.4612139512132701E-4"/>
                  <c:y val="5.7883088911929552E-3"/>
                </c:manualLayout>
              </c:layout>
              <c:tx>
                <c:rich>
                  <a:bodyPr/>
                  <a:lstStyle/>
                  <a:p>
                    <a:r>
                      <a:rPr lang="en-US"/>
                      <a:t>24,32 %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ISED!$G$59:$G$65</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ISED!$H$59:$H$65</c:f>
              <c:numCache>
                <c:formatCode>General</c:formatCode>
                <c:ptCount val="7"/>
                <c:pt idx="0">
                  <c:v>5</c:v>
                </c:pt>
                <c:pt idx="1">
                  <c:v>4</c:v>
                </c:pt>
                <c:pt idx="2">
                  <c:v>5</c:v>
                </c:pt>
                <c:pt idx="3">
                  <c:v>6</c:v>
                </c:pt>
                <c:pt idx="4">
                  <c:v>2</c:v>
                </c:pt>
                <c:pt idx="5">
                  <c:v>6</c:v>
                </c:pt>
                <c:pt idx="6">
                  <c:v>9</c:v>
                </c:pt>
              </c:numCache>
            </c:numRef>
          </c:val>
        </c:ser>
        <c:dLbls/>
        <c:firstSliceAng val="0"/>
      </c:pieChart>
    </c:plotArea>
    <c:legend>
      <c:legendPos val="r"/>
    </c:legend>
    <c:plotVisOnly val="1"/>
    <c:dispBlanksAs val="zero"/>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ISED!$H$88</c:f>
              <c:strCache>
                <c:ptCount val="1"/>
                <c:pt idx="0">
                  <c:v>2012-2013</c:v>
                </c:pt>
              </c:strCache>
            </c:strRef>
          </c:tx>
          <c:spPr>
            <a:solidFill>
              <a:schemeClr val="bg1">
                <a:lumMod val="65000"/>
              </a:schemeClr>
            </a:solidFill>
          </c:spPr>
          <c:cat>
            <c:strRef>
              <c:f>ISED!$G$89:$G$90</c:f>
              <c:strCache>
                <c:ptCount val="2"/>
                <c:pt idx="0">
                  <c:v>Divulgation complète </c:v>
                </c:pt>
                <c:pt idx="1">
                  <c:v>Divulgation partielle </c:v>
                </c:pt>
              </c:strCache>
            </c:strRef>
          </c:cat>
          <c:val>
            <c:numRef>
              <c:f>ISED!$H$89:$H$90</c:f>
              <c:numCache>
                <c:formatCode>0.00%</c:formatCode>
                <c:ptCount val="2"/>
                <c:pt idx="0">
                  <c:v>0.10348837209302308</c:v>
                </c:pt>
                <c:pt idx="1">
                  <c:v>0.36046511627907052</c:v>
                </c:pt>
              </c:numCache>
            </c:numRef>
          </c:val>
        </c:ser>
        <c:ser>
          <c:idx val="1"/>
          <c:order val="1"/>
          <c:tx>
            <c:strRef>
              <c:f>ISED!$I$88</c:f>
              <c:strCache>
                <c:ptCount val="1"/>
                <c:pt idx="0">
                  <c:v>2013-2014</c:v>
                </c:pt>
              </c:strCache>
            </c:strRef>
          </c:tx>
          <c:spPr>
            <a:solidFill>
              <a:srgbClr val="FFC000"/>
            </a:solidFill>
          </c:spPr>
          <c:cat>
            <c:strRef>
              <c:f>ISED!$G$89:$G$90</c:f>
              <c:strCache>
                <c:ptCount val="2"/>
                <c:pt idx="0">
                  <c:v>Divulgation complète </c:v>
                </c:pt>
                <c:pt idx="1">
                  <c:v>Divulgation partielle </c:v>
                </c:pt>
              </c:strCache>
            </c:strRef>
          </c:cat>
          <c:val>
            <c:numRef>
              <c:f>ISED!$I$89:$I$90</c:f>
              <c:numCache>
                <c:formatCode>0.00%</c:formatCode>
                <c:ptCount val="2"/>
                <c:pt idx="0">
                  <c:v>7.2832369942196773E-2</c:v>
                </c:pt>
                <c:pt idx="1">
                  <c:v>0.36994219653179189</c:v>
                </c:pt>
              </c:numCache>
            </c:numRef>
          </c:val>
        </c:ser>
        <c:ser>
          <c:idx val="2"/>
          <c:order val="2"/>
          <c:tx>
            <c:strRef>
              <c:f>ISED!$J$88</c:f>
              <c:strCache>
                <c:ptCount val="1"/>
                <c:pt idx="0">
                  <c:v>2014-2015</c:v>
                </c:pt>
              </c:strCache>
            </c:strRef>
          </c:tx>
          <c:spPr>
            <a:solidFill>
              <a:schemeClr val="accent5">
                <a:lumMod val="75000"/>
              </a:schemeClr>
            </a:solidFill>
          </c:spPr>
          <c:cat>
            <c:strRef>
              <c:f>ISED!$G$89:$G$90</c:f>
              <c:strCache>
                <c:ptCount val="2"/>
                <c:pt idx="0">
                  <c:v>Divulgation complète </c:v>
                </c:pt>
                <c:pt idx="1">
                  <c:v>Divulgation partielle </c:v>
                </c:pt>
              </c:strCache>
            </c:strRef>
          </c:cat>
          <c:val>
            <c:numRef>
              <c:f>ISED!$J$89:$J$90</c:f>
              <c:numCache>
                <c:formatCode>0.00%</c:formatCode>
                <c:ptCount val="2"/>
                <c:pt idx="0">
                  <c:v>0.39574468085106451</c:v>
                </c:pt>
                <c:pt idx="1">
                  <c:v>0.32198581560283823</c:v>
                </c:pt>
              </c:numCache>
            </c:numRef>
          </c:val>
        </c:ser>
        <c:dLbls/>
        <c:axId val="253368960"/>
        <c:axId val="253383040"/>
      </c:barChart>
      <c:catAx>
        <c:axId val="253368960"/>
        <c:scaling>
          <c:orientation val="minMax"/>
        </c:scaling>
        <c:axPos val="b"/>
        <c:numFmt formatCode="General" sourceLinked="0"/>
        <c:tickLblPos val="nextTo"/>
        <c:crossAx val="253383040"/>
        <c:crosses val="autoZero"/>
        <c:auto val="1"/>
        <c:lblAlgn val="ctr"/>
        <c:lblOffset val="100"/>
      </c:catAx>
      <c:valAx>
        <c:axId val="253383040"/>
        <c:scaling>
          <c:orientation val="minMax"/>
        </c:scaling>
        <c:axPos val="l"/>
        <c:majorGridlines/>
        <c:numFmt formatCode="0%" sourceLinked="0"/>
        <c:tickLblPos val="nextTo"/>
        <c:crossAx val="253368960"/>
        <c:crosses val="autoZero"/>
        <c:crossBetween val="between"/>
      </c:valAx>
    </c:plotArea>
    <c:legend>
      <c:legendPos val="b"/>
    </c:legend>
    <c:plotVisOnly val="1"/>
    <c:dispBlanksAs val="gap"/>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PSPC!$G$2</c:f>
              <c:strCache>
                <c:ptCount val="1"/>
                <c:pt idx="0">
                  <c:v>2012-2013</c:v>
                </c:pt>
              </c:strCache>
            </c:strRef>
          </c:tx>
          <c:spPr>
            <a:solidFill>
              <a:schemeClr val="bg1">
                <a:lumMod val="65000"/>
              </a:schemeClr>
            </a:solidFill>
          </c:spPr>
          <c:cat>
            <c:strRef>
              <c:f>PSPC!$F$3:$F$8</c:f>
              <c:strCache>
                <c:ptCount val="6"/>
                <c:pt idx="0">
                  <c:v>30 jours ou moins</c:v>
                </c:pt>
                <c:pt idx="1">
                  <c:v>31 à 60 jours</c:v>
                </c:pt>
                <c:pt idx="2">
                  <c:v>61 à 120 jours</c:v>
                </c:pt>
                <c:pt idx="3">
                  <c:v>121 à 180 jours</c:v>
                </c:pt>
                <c:pt idx="4">
                  <c:v>181 à 365 jours</c:v>
                </c:pt>
                <c:pt idx="5">
                  <c:v>Plus de 365 jours</c:v>
                </c:pt>
              </c:strCache>
            </c:strRef>
          </c:cat>
          <c:val>
            <c:numRef>
              <c:f>PSPC!$G$3:$G$8</c:f>
              <c:numCache>
                <c:formatCode>0.00%</c:formatCode>
                <c:ptCount val="6"/>
                <c:pt idx="0">
                  <c:v>0.42312423124231341</c:v>
                </c:pt>
                <c:pt idx="1">
                  <c:v>0.13407134071340721</c:v>
                </c:pt>
                <c:pt idx="2">
                  <c:v>0.16605166051660536</c:v>
                </c:pt>
                <c:pt idx="3">
                  <c:v>9.3480934809347979E-2</c:v>
                </c:pt>
                <c:pt idx="4">
                  <c:v>0.1180811808118082</c:v>
                </c:pt>
                <c:pt idx="5">
                  <c:v>6.5190651906519334E-2</c:v>
                </c:pt>
              </c:numCache>
            </c:numRef>
          </c:val>
        </c:ser>
        <c:ser>
          <c:idx val="1"/>
          <c:order val="1"/>
          <c:tx>
            <c:strRef>
              <c:f>PSPC!$H$2</c:f>
              <c:strCache>
                <c:ptCount val="1"/>
                <c:pt idx="0">
                  <c:v>2013-2014</c:v>
                </c:pt>
              </c:strCache>
            </c:strRef>
          </c:tx>
          <c:spPr>
            <a:solidFill>
              <a:srgbClr val="FFC000"/>
            </a:solidFill>
          </c:spPr>
          <c:cat>
            <c:strRef>
              <c:f>PSPC!$F$3:$F$8</c:f>
              <c:strCache>
                <c:ptCount val="6"/>
                <c:pt idx="0">
                  <c:v>30 jours ou moins</c:v>
                </c:pt>
                <c:pt idx="1">
                  <c:v>31 à 60 jours</c:v>
                </c:pt>
                <c:pt idx="2">
                  <c:v>61 à 120 jours</c:v>
                </c:pt>
                <c:pt idx="3">
                  <c:v>121 à 180 jours</c:v>
                </c:pt>
                <c:pt idx="4">
                  <c:v>181 à 365 jours</c:v>
                </c:pt>
                <c:pt idx="5">
                  <c:v>Plus de 365 jours</c:v>
                </c:pt>
              </c:strCache>
            </c:strRef>
          </c:cat>
          <c:val>
            <c:numRef>
              <c:f>PSPC!$H$3:$H$8</c:f>
              <c:numCache>
                <c:formatCode>0.00%</c:formatCode>
                <c:ptCount val="6"/>
                <c:pt idx="0">
                  <c:v>0.41666666666666763</c:v>
                </c:pt>
                <c:pt idx="1">
                  <c:v>9.6618357487922704E-2</c:v>
                </c:pt>
                <c:pt idx="2">
                  <c:v>0.20772946859903446</c:v>
                </c:pt>
                <c:pt idx="3">
                  <c:v>0.1062801932367152</c:v>
                </c:pt>
                <c:pt idx="4">
                  <c:v>0.12439613526570076</c:v>
                </c:pt>
                <c:pt idx="5">
                  <c:v>4.8309178743961352E-2</c:v>
                </c:pt>
              </c:numCache>
            </c:numRef>
          </c:val>
        </c:ser>
        <c:ser>
          <c:idx val="2"/>
          <c:order val="2"/>
          <c:tx>
            <c:strRef>
              <c:f>PSPC!$I$2</c:f>
              <c:strCache>
                <c:ptCount val="1"/>
                <c:pt idx="0">
                  <c:v>2014-2015</c:v>
                </c:pt>
              </c:strCache>
            </c:strRef>
          </c:tx>
          <c:spPr>
            <a:solidFill>
              <a:schemeClr val="accent5">
                <a:lumMod val="75000"/>
              </a:schemeClr>
            </a:solidFill>
          </c:spPr>
          <c:cat>
            <c:strRef>
              <c:f>PSPC!$F$3:$F$8</c:f>
              <c:strCache>
                <c:ptCount val="6"/>
                <c:pt idx="0">
                  <c:v>30 jours ou moins</c:v>
                </c:pt>
                <c:pt idx="1">
                  <c:v>31 à 60 jours</c:v>
                </c:pt>
                <c:pt idx="2">
                  <c:v>61 à 120 jours</c:v>
                </c:pt>
                <c:pt idx="3">
                  <c:v>121 à 180 jours</c:v>
                </c:pt>
                <c:pt idx="4">
                  <c:v>181 à 365 jours</c:v>
                </c:pt>
                <c:pt idx="5">
                  <c:v>Plus de 365 jours</c:v>
                </c:pt>
              </c:strCache>
            </c:strRef>
          </c:cat>
          <c:val>
            <c:numRef>
              <c:f>PSPC!$I$3:$I$8</c:f>
              <c:numCache>
                <c:formatCode>0.00%</c:formatCode>
                <c:ptCount val="6"/>
                <c:pt idx="0">
                  <c:v>0.50546021840873634</c:v>
                </c:pt>
                <c:pt idx="1">
                  <c:v>0.13884555382215291</c:v>
                </c:pt>
                <c:pt idx="2">
                  <c:v>0.20436817472698909</c:v>
                </c:pt>
                <c:pt idx="3">
                  <c:v>5.9282371294851921E-2</c:v>
                </c:pt>
                <c:pt idx="4">
                  <c:v>5.7722308892355793E-2</c:v>
                </c:pt>
                <c:pt idx="5">
                  <c:v>3.4321372854914316E-2</c:v>
                </c:pt>
              </c:numCache>
            </c:numRef>
          </c:val>
        </c:ser>
        <c:dLbls/>
        <c:axId val="253401344"/>
        <c:axId val="253419520"/>
      </c:barChart>
      <c:catAx>
        <c:axId val="253401344"/>
        <c:scaling>
          <c:orientation val="minMax"/>
        </c:scaling>
        <c:axPos val="b"/>
        <c:numFmt formatCode="General" sourceLinked="0"/>
        <c:tickLblPos val="nextTo"/>
        <c:crossAx val="253419520"/>
        <c:crosses val="autoZero"/>
        <c:auto val="1"/>
        <c:lblAlgn val="ctr"/>
        <c:lblOffset val="100"/>
      </c:catAx>
      <c:valAx>
        <c:axId val="253419520"/>
        <c:scaling>
          <c:orientation val="minMax"/>
        </c:scaling>
        <c:axPos val="l"/>
        <c:majorGridlines/>
        <c:numFmt formatCode="0%" sourceLinked="0"/>
        <c:tickLblPos val="nextTo"/>
        <c:crossAx val="253401344"/>
        <c:crosses val="autoZero"/>
        <c:crossBetween val="between"/>
      </c:valAx>
    </c:plotArea>
    <c:legend>
      <c:legendPos val="b"/>
    </c:legend>
    <c:plotVisOnly val="1"/>
    <c:dispBlanksAs val="gap"/>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PSPC!$H$28</c:f>
              <c:strCache>
                <c:ptCount val="1"/>
                <c:pt idx="0">
                  <c:v>2012-2013</c:v>
                </c:pt>
              </c:strCache>
            </c:strRef>
          </c:tx>
          <c:spPr>
            <a:solidFill>
              <a:schemeClr val="bg1">
                <a:lumMod val="65000"/>
              </a:schemeClr>
            </a:solidFill>
          </c:spPr>
          <c:cat>
            <c:strRef>
              <c:f>PSPC!$G$29:$G$34</c:f>
              <c:strCache>
                <c:ptCount val="6"/>
                <c:pt idx="0">
                  <c:v>30 jours ou moins</c:v>
                </c:pt>
                <c:pt idx="1">
                  <c:v>31 à 60 jours</c:v>
                </c:pt>
                <c:pt idx="2">
                  <c:v>61 à 120 jours</c:v>
                </c:pt>
                <c:pt idx="3">
                  <c:v>121 à 180 jours</c:v>
                </c:pt>
                <c:pt idx="4">
                  <c:v>181 à 365 jours</c:v>
                </c:pt>
                <c:pt idx="5">
                  <c:v>Plus de 365 jours</c:v>
                </c:pt>
              </c:strCache>
            </c:strRef>
          </c:cat>
          <c:val>
            <c:numRef>
              <c:f>PSPC!$H$29:$H$34</c:f>
              <c:numCache>
                <c:formatCode>0.00%</c:formatCode>
                <c:ptCount val="6"/>
                <c:pt idx="0">
                  <c:v>0.10744985673352436</c:v>
                </c:pt>
                <c:pt idx="1">
                  <c:v>0.32664756446991483</c:v>
                </c:pt>
                <c:pt idx="2">
                  <c:v>0.27077363896848139</c:v>
                </c:pt>
                <c:pt idx="3">
                  <c:v>6.8767908309455589E-2</c:v>
                </c:pt>
                <c:pt idx="4">
                  <c:v>0.18194842406876849</c:v>
                </c:pt>
                <c:pt idx="5">
                  <c:v>4.4412607449857047E-2</c:v>
                </c:pt>
              </c:numCache>
            </c:numRef>
          </c:val>
        </c:ser>
        <c:ser>
          <c:idx val="1"/>
          <c:order val="1"/>
          <c:tx>
            <c:strRef>
              <c:f>PSPC!$I$28</c:f>
              <c:strCache>
                <c:ptCount val="1"/>
                <c:pt idx="0">
                  <c:v>2013-2014</c:v>
                </c:pt>
              </c:strCache>
            </c:strRef>
          </c:tx>
          <c:spPr>
            <a:solidFill>
              <a:srgbClr val="FFC000"/>
            </a:solidFill>
          </c:spPr>
          <c:cat>
            <c:strRef>
              <c:f>PSPC!$G$29:$G$34</c:f>
              <c:strCache>
                <c:ptCount val="6"/>
                <c:pt idx="0">
                  <c:v>30 jours ou moins</c:v>
                </c:pt>
                <c:pt idx="1">
                  <c:v>31 à 60 jours</c:v>
                </c:pt>
                <c:pt idx="2">
                  <c:v>61 à 120 jours</c:v>
                </c:pt>
                <c:pt idx="3">
                  <c:v>121 à 180 jours</c:v>
                </c:pt>
                <c:pt idx="4">
                  <c:v>181 à 365 jours</c:v>
                </c:pt>
                <c:pt idx="5">
                  <c:v>Plus de 365 jours</c:v>
                </c:pt>
              </c:strCache>
            </c:strRef>
          </c:cat>
          <c:val>
            <c:numRef>
              <c:f>PSPC!$I$29:$I$34</c:f>
              <c:numCache>
                <c:formatCode>0.00%</c:formatCode>
                <c:ptCount val="6"/>
                <c:pt idx="0">
                  <c:v>0.10995542347696879</c:v>
                </c:pt>
                <c:pt idx="1">
                  <c:v>0.32689450222882754</c:v>
                </c:pt>
                <c:pt idx="2">
                  <c:v>0.34621099554234863</c:v>
                </c:pt>
                <c:pt idx="3">
                  <c:v>8.7667161961367007E-2</c:v>
                </c:pt>
                <c:pt idx="4">
                  <c:v>0.11589895988112929</c:v>
                </c:pt>
                <c:pt idx="5">
                  <c:v>1.3372956909361066E-2</c:v>
                </c:pt>
              </c:numCache>
            </c:numRef>
          </c:val>
        </c:ser>
        <c:ser>
          <c:idx val="2"/>
          <c:order val="2"/>
          <c:tx>
            <c:strRef>
              <c:f>PSPC!$J$28</c:f>
              <c:strCache>
                <c:ptCount val="1"/>
                <c:pt idx="0">
                  <c:v>2014-2015</c:v>
                </c:pt>
              </c:strCache>
            </c:strRef>
          </c:tx>
          <c:spPr>
            <a:solidFill>
              <a:schemeClr val="accent5">
                <a:lumMod val="75000"/>
              </a:schemeClr>
            </a:solidFill>
          </c:spPr>
          <c:cat>
            <c:strRef>
              <c:f>PSPC!$G$29:$G$34</c:f>
              <c:strCache>
                <c:ptCount val="6"/>
                <c:pt idx="0">
                  <c:v>30 jours ou moins</c:v>
                </c:pt>
                <c:pt idx="1">
                  <c:v>31 à 60 jours</c:v>
                </c:pt>
                <c:pt idx="2">
                  <c:v>61 à 120 jours</c:v>
                </c:pt>
                <c:pt idx="3">
                  <c:v>121 à 180 jours</c:v>
                </c:pt>
                <c:pt idx="4">
                  <c:v>181 à 365 jours</c:v>
                </c:pt>
                <c:pt idx="5">
                  <c:v>Plus de 365 jours</c:v>
                </c:pt>
              </c:strCache>
            </c:strRef>
          </c:cat>
          <c:val>
            <c:numRef>
              <c:f>PSPC!$J$29:$J$34</c:f>
              <c:numCache>
                <c:formatCode>0.00%</c:formatCode>
                <c:ptCount val="6"/>
                <c:pt idx="0">
                  <c:v>0.15322580645161291</c:v>
                </c:pt>
                <c:pt idx="1">
                  <c:v>0.34946236559139787</c:v>
                </c:pt>
                <c:pt idx="2">
                  <c:v>0.30107526881720542</c:v>
                </c:pt>
                <c:pt idx="3">
                  <c:v>0.10752688172043047</c:v>
                </c:pt>
                <c:pt idx="4">
                  <c:v>8.6021505376344246E-2</c:v>
                </c:pt>
                <c:pt idx="5">
                  <c:v>2.688172043010762E-3</c:v>
                </c:pt>
              </c:numCache>
            </c:numRef>
          </c:val>
        </c:ser>
        <c:dLbls/>
        <c:axId val="253507456"/>
        <c:axId val="253508992"/>
      </c:barChart>
      <c:catAx>
        <c:axId val="253507456"/>
        <c:scaling>
          <c:orientation val="minMax"/>
        </c:scaling>
        <c:axPos val="b"/>
        <c:numFmt formatCode="General" sourceLinked="1"/>
        <c:tickLblPos val="nextTo"/>
        <c:crossAx val="253508992"/>
        <c:crosses val="autoZero"/>
        <c:auto val="1"/>
        <c:lblAlgn val="ctr"/>
        <c:lblOffset val="100"/>
      </c:catAx>
      <c:valAx>
        <c:axId val="253508992"/>
        <c:scaling>
          <c:orientation val="minMax"/>
        </c:scaling>
        <c:axPos val="l"/>
        <c:majorGridlines/>
        <c:numFmt formatCode="0%" sourceLinked="0"/>
        <c:tickLblPos val="nextTo"/>
        <c:crossAx val="253507456"/>
        <c:crosses val="autoZero"/>
        <c:crossBetween val="between"/>
      </c:valAx>
    </c:plotArea>
    <c:legend>
      <c:legendPos val="b"/>
    </c:legend>
    <c:plotVisOnly val="1"/>
    <c:dispBlanksAs val="gap"/>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PSPC!$H$54</c:f>
              <c:strCache>
                <c:ptCount val="1"/>
                <c:pt idx="0">
                  <c:v>2014-2015</c:v>
                </c:pt>
              </c:strCache>
            </c:strRef>
          </c:tx>
          <c:dPt>
            <c:idx val="0"/>
            <c:spPr>
              <a:solidFill>
                <a:schemeClr val="accent5">
                  <a:lumMod val="75000"/>
                </a:schemeClr>
              </a:solidFill>
            </c:spPr>
          </c:dPt>
          <c:dPt>
            <c:idx val="1"/>
            <c:spPr>
              <a:solidFill>
                <a:schemeClr val="tx1">
                  <a:lumMod val="75000"/>
                  <a:lumOff val="25000"/>
                </a:schemeClr>
              </a:solidFill>
            </c:spPr>
          </c:dPt>
          <c:dPt>
            <c:idx val="2"/>
            <c:spPr>
              <a:solidFill>
                <a:schemeClr val="accent5">
                  <a:lumMod val="60000"/>
                  <a:lumOff val="40000"/>
                </a:schemeClr>
              </a:solidFill>
            </c:spPr>
          </c:dPt>
          <c:dPt>
            <c:idx val="3"/>
            <c:spPr>
              <a:solidFill>
                <a:schemeClr val="tx2">
                  <a:lumMod val="50000"/>
                </a:schemeClr>
              </a:solidFill>
            </c:spPr>
          </c:dPt>
          <c:dPt>
            <c:idx val="4"/>
            <c:spPr>
              <a:solidFill>
                <a:srgbClr val="FFC000"/>
              </a:solidFill>
            </c:spPr>
          </c:dPt>
          <c:dPt>
            <c:idx val="5"/>
            <c:spPr>
              <a:solidFill>
                <a:schemeClr val="accent6">
                  <a:lumMod val="50000"/>
                </a:schemeClr>
              </a:solidFill>
            </c:spPr>
          </c:dPt>
          <c:dLbls>
            <c:dLbl>
              <c:idx val="0"/>
              <c:layout>
                <c:manualLayout>
                  <c:x val="-1.3306863939075502E-2"/>
                  <c:y val="-1.3520975143492164E-2"/>
                </c:manualLayout>
              </c:layout>
              <c:tx>
                <c:rich>
                  <a:bodyPr/>
                  <a:lstStyle/>
                  <a:p>
                    <a:r>
                      <a:rPr lang="en-US"/>
                      <a:t>6,45 %</a:t>
                    </a:r>
                  </a:p>
                </c:rich>
              </c:tx>
              <c:showPercent val="1"/>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layout>
                <c:manualLayout>
                  <c:x val="9.2839290349973139E-3"/>
                  <c:y val="7.4657683616605672E-3"/>
                </c:manualLayout>
              </c:layout>
              <c:tx>
                <c:rich>
                  <a:bodyPr/>
                  <a:lstStyle/>
                  <a:p>
                    <a:r>
                      <a:rPr lang="en-US"/>
                      <a:t>6,45 %</a:t>
                    </a:r>
                  </a:p>
                </c:rich>
              </c:tx>
              <c:showPercent val="1"/>
              <c:extLst>
                <c:ext xmlns:c15="http://schemas.microsoft.com/office/drawing/2012/chart" uri="{CE6537A1-D6FC-4f65-9D91-7224C49458BB}">
                  <c15:layout/>
                </c:ext>
              </c:extLst>
            </c:dLbl>
            <c:dLbl>
              <c:idx val="3"/>
              <c:layout>
                <c:manualLayout>
                  <c:x val="1.3287671832485989E-2"/>
                  <c:y val="5.3745537118078911E-3"/>
                </c:manualLayout>
              </c:layout>
              <c:tx>
                <c:rich>
                  <a:bodyPr/>
                  <a:lstStyle/>
                  <a:p>
                    <a:r>
                      <a:rPr lang="en-US"/>
                      <a:t>12,90 %</a:t>
                    </a:r>
                  </a:p>
                </c:rich>
              </c:tx>
              <c:showPercent val="1"/>
              <c:extLst>
                <c:ext xmlns:c15="http://schemas.microsoft.com/office/drawing/2012/chart" uri="{CE6537A1-D6FC-4f65-9D91-7224C49458BB}">
                  <c15:layout/>
                </c:ext>
              </c:extLst>
            </c:dLbl>
            <c:dLbl>
              <c:idx val="4"/>
              <c:layout>
                <c:manualLayout>
                  <c:x val="1.1619978780937595E-2"/>
                  <c:y val="3.5724470780638044E-3"/>
                </c:manualLayout>
              </c:layout>
              <c:tx>
                <c:rich>
                  <a:bodyPr/>
                  <a:lstStyle/>
                  <a:p>
                    <a:r>
                      <a:rPr lang="en-US"/>
                      <a:t>6,45 %</a:t>
                    </a:r>
                  </a:p>
                </c:rich>
              </c:tx>
              <c:showPercent val="1"/>
              <c:extLst>
                <c:ext xmlns:c15="http://schemas.microsoft.com/office/drawing/2012/chart" uri="{CE6537A1-D6FC-4f65-9D91-7224C49458BB}">
                  <c15:layout/>
                </c:ext>
              </c:extLst>
            </c:dLbl>
            <c:dLbl>
              <c:idx val="5"/>
              <c:layout>
                <c:manualLayout>
                  <c:x val="1.7700846237219153E-2"/>
                  <c:y val="-1.2820691282251161E-3"/>
                </c:manualLayout>
              </c:layout>
              <c:tx>
                <c:rich>
                  <a:bodyPr/>
                  <a:lstStyle/>
                  <a:p>
                    <a:r>
                      <a:rPr lang="en-US"/>
                      <a:t>22,58 %</a:t>
                    </a:r>
                  </a:p>
                </c:rich>
              </c:tx>
              <c:showPercent val="1"/>
              <c:extLst>
                <c:ext xmlns:c15="http://schemas.microsoft.com/office/drawing/2012/chart" uri="{CE6537A1-D6FC-4f65-9D91-7224C49458BB}">
                  <c15:layout/>
                </c:ext>
              </c:extLst>
            </c:dLbl>
            <c:dLbl>
              <c:idx val="6"/>
              <c:layout>
                <c:manualLayout>
                  <c:x val="-1.3265786096901284E-2"/>
                  <c:y val="-2.8644893620742396E-2"/>
                </c:manualLayout>
              </c:layout>
              <c:tx>
                <c:rich>
                  <a:bodyPr/>
                  <a:lstStyle/>
                  <a:p>
                    <a:r>
                      <a:rPr lang="en-US"/>
                      <a:t>45,16 %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PSPC!$G$55:$G$61</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PSPC!$H$55:$H$61</c:f>
              <c:numCache>
                <c:formatCode>General</c:formatCode>
                <c:ptCount val="7"/>
                <c:pt idx="0">
                  <c:v>2</c:v>
                </c:pt>
                <c:pt idx="1">
                  <c:v>0</c:v>
                </c:pt>
                <c:pt idx="2">
                  <c:v>2</c:v>
                </c:pt>
                <c:pt idx="3">
                  <c:v>4</c:v>
                </c:pt>
                <c:pt idx="4">
                  <c:v>2</c:v>
                </c:pt>
                <c:pt idx="5">
                  <c:v>7</c:v>
                </c:pt>
                <c:pt idx="6">
                  <c:v>14</c:v>
                </c:pt>
              </c:numCache>
            </c:numRef>
          </c:val>
        </c:ser>
        <c:dLbls/>
        <c:firstSliceAng val="0"/>
      </c:pieChart>
    </c:plotArea>
    <c:legend>
      <c:legendPos val="r"/>
    </c:legend>
    <c:plotVisOnly val="1"/>
    <c:dispBlanksAs val="zero"/>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PSPC!$H$81</c:f>
              <c:strCache>
                <c:ptCount val="1"/>
                <c:pt idx="0">
                  <c:v>2012-2013</c:v>
                </c:pt>
              </c:strCache>
            </c:strRef>
          </c:tx>
          <c:spPr>
            <a:solidFill>
              <a:schemeClr val="bg1">
                <a:lumMod val="65000"/>
              </a:schemeClr>
            </a:solidFill>
          </c:spPr>
          <c:cat>
            <c:strRef>
              <c:f>PSPC!$G$82:$G$83</c:f>
              <c:strCache>
                <c:ptCount val="2"/>
                <c:pt idx="0">
                  <c:v>Divulgation complète </c:v>
                </c:pt>
                <c:pt idx="1">
                  <c:v>Divulgation partielle </c:v>
                </c:pt>
              </c:strCache>
            </c:strRef>
          </c:cat>
          <c:val>
            <c:numRef>
              <c:f>PSPC!$H$82:$H$83</c:f>
              <c:numCache>
                <c:formatCode>0.00%</c:formatCode>
                <c:ptCount val="2"/>
                <c:pt idx="0">
                  <c:v>0.1586715867158672</c:v>
                </c:pt>
                <c:pt idx="1">
                  <c:v>0.5461254612546127</c:v>
                </c:pt>
              </c:numCache>
            </c:numRef>
          </c:val>
        </c:ser>
        <c:ser>
          <c:idx val="1"/>
          <c:order val="1"/>
          <c:tx>
            <c:strRef>
              <c:f>PSPC!$I$81</c:f>
              <c:strCache>
                <c:ptCount val="1"/>
                <c:pt idx="0">
                  <c:v>2013-2014</c:v>
                </c:pt>
              </c:strCache>
            </c:strRef>
          </c:tx>
          <c:spPr>
            <a:solidFill>
              <a:srgbClr val="FFC000"/>
            </a:solidFill>
          </c:spPr>
          <c:cat>
            <c:strRef>
              <c:f>PSPC!$G$82:$G$83</c:f>
              <c:strCache>
                <c:ptCount val="2"/>
                <c:pt idx="0">
                  <c:v>Divulgation complète </c:v>
                </c:pt>
                <c:pt idx="1">
                  <c:v>Divulgation partielle </c:v>
                </c:pt>
              </c:strCache>
            </c:strRef>
          </c:cat>
          <c:val>
            <c:numRef>
              <c:f>PSPC!$I$82:$I$83</c:f>
              <c:numCache>
                <c:formatCode>0.00%</c:formatCode>
                <c:ptCount val="2"/>
                <c:pt idx="0">
                  <c:v>0.17874396135265699</c:v>
                </c:pt>
                <c:pt idx="1">
                  <c:v>0.55314009661835983</c:v>
                </c:pt>
              </c:numCache>
            </c:numRef>
          </c:val>
        </c:ser>
        <c:ser>
          <c:idx val="2"/>
          <c:order val="2"/>
          <c:tx>
            <c:strRef>
              <c:f>PSPC!$J$81</c:f>
              <c:strCache>
                <c:ptCount val="1"/>
                <c:pt idx="0">
                  <c:v>2014-2015</c:v>
                </c:pt>
              </c:strCache>
            </c:strRef>
          </c:tx>
          <c:spPr>
            <a:solidFill>
              <a:schemeClr val="accent5">
                <a:lumMod val="75000"/>
              </a:schemeClr>
            </a:solidFill>
          </c:spPr>
          <c:cat>
            <c:strRef>
              <c:f>PSPC!$G$82:$G$83</c:f>
              <c:strCache>
                <c:ptCount val="2"/>
                <c:pt idx="0">
                  <c:v>Divulgation complète </c:v>
                </c:pt>
                <c:pt idx="1">
                  <c:v>Divulgation partielle </c:v>
                </c:pt>
              </c:strCache>
            </c:strRef>
          </c:cat>
          <c:val>
            <c:numRef>
              <c:f>PSPC!$J$82:$J$83</c:f>
              <c:numCache>
                <c:formatCode>0.00%</c:formatCode>
                <c:ptCount val="2"/>
                <c:pt idx="0">
                  <c:v>0.20904836193447793</c:v>
                </c:pt>
                <c:pt idx="1">
                  <c:v>0.54446177847113886</c:v>
                </c:pt>
              </c:numCache>
            </c:numRef>
          </c:val>
        </c:ser>
        <c:dLbls/>
        <c:axId val="253613568"/>
        <c:axId val="253615104"/>
      </c:barChart>
      <c:catAx>
        <c:axId val="253613568"/>
        <c:scaling>
          <c:orientation val="minMax"/>
        </c:scaling>
        <c:axPos val="b"/>
        <c:numFmt formatCode="General" sourceLinked="0"/>
        <c:tickLblPos val="nextTo"/>
        <c:crossAx val="253615104"/>
        <c:crosses val="autoZero"/>
        <c:auto val="1"/>
        <c:lblAlgn val="ctr"/>
        <c:lblOffset val="100"/>
      </c:catAx>
      <c:valAx>
        <c:axId val="253615104"/>
        <c:scaling>
          <c:orientation val="minMax"/>
        </c:scaling>
        <c:axPos val="l"/>
        <c:majorGridlines/>
        <c:numFmt formatCode="0%" sourceLinked="0"/>
        <c:tickLblPos val="nextTo"/>
        <c:crossAx val="253613568"/>
        <c:crosses val="autoZero"/>
        <c:crossBetween val="between"/>
      </c:valAx>
    </c:plotArea>
    <c:legend>
      <c:legendPos val="b"/>
    </c:legend>
    <c:plotVisOnly val="1"/>
    <c:dispBlanksAs val="gap"/>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NRCAN!$G$2</c:f>
              <c:strCache>
                <c:ptCount val="1"/>
                <c:pt idx="0">
                  <c:v>2012-2013</c:v>
                </c:pt>
              </c:strCache>
            </c:strRef>
          </c:tx>
          <c:spPr>
            <a:solidFill>
              <a:schemeClr val="bg1">
                <a:lumMod val="65000"/>
              </a:schemeClr>
            </a:solidFill>
          </c:spPr>
          <c:dPt>
            <c:idx val="0"/>
          </c:dPt>
          <c:cat>
            <c:strRef>
              <c:f>NRCAN!$F$3:$F$8</c:f>
              <c:strCache>
                <c:ptCount val="6"/>
                <c:pt idx="0">
                  <c:v>30 jours ou moins</c:v>
                </c:pt>
                <c:pt idx="1">
                  <c:v>31 à 60 jours</c:v>
                </c:pt>
                <c:pt idx="2">
                  <c:v>61 à 120 jours</c:v>
                </c:pt>
                <c:pt idx="3">
                  <c:v>121 à 180 jours</c:v>
                </c:pt>
                <c:pt idx="4">
                  <c:v>181 à 365 jours</c:v>
                </c:pt>
                <c:pt idx="5">
                  <c:v>Plus de 365 jours</c:v>
                </c:pt>
              </c:strCache>
            </c:strRef>
          </c:cat>
          <c:val>
            <c:numRef>
              <c:f>NRCAN!$G$3:$G$8</c:f>
              <c:numCache>
                <c:formatCode>0.00%</c:formatCode>
                <c:ptCount val="6"/>
                <c:pt idx="0">
                  <c:v>0.60262008733624461</c:v>
                </c:pt>
                <c:pt idx="1">
                  <c:v>8.8791848617176455E-2</c:v>
                </c:pt>
                <c:pt idx="2">
                  <c:v>0.15720524017467294</c:v>
                </c:pt>
                <c:pt idx="3">
                  <c:v>9.1703056768559041E-2</c:v>
                </c:pt>
                <c:pt idx="4">
                  <c:v>5.2401746724890827E-2</c:v>
                </c:pt>
                <c:pt idx="5">
                  <c:v>7.2780203784570717E-3</c:v>
                </c:pt>
              </c:numCache>
            </c:numRef>
          </c:val>
        </c:ser>
        <c:ser>
          <c:idx val="1"/>
          <c:order val="1"/>
          <c:tx>
            <c:strRef>
              <c:f>NRCAN!$H$2</c:f>
              <c:strCache>
                <c:ptCount val="1"/>
                <c:pt idx="0">
                  <c:v>2013-2014</c:v>
                </c:pt>
              </c:strCache>
            </c:strRef>
          </c:tx>
          <c:spPr>
            <a:solidFill>
              <a:srgbClr val="FFC000"/>
            </a:solidFill>
          </c:spPr>
          <c:cat>
            <c:strRef>
              <c:f>NRCAN!$F$3:$F$8</c:f>
              <c:strCache>
                <c:ptCount val="6"/>
                <c:pt idx="0">
                  <c:v>30 jours ou moins</c:v>
                </c:pt>
                <c:pt idx="1">
                  <c:v>31 à 60 jours</c:v>
                </c:pt>
                <c:pt idx="2">
                  <c:v>61 à 120 jours</c:v>
                </c:pt>
                <c:pt idx="3">
                  <c:v>121 à 180 jours</c:v>
                </c:pt>
                <c:pt idx="4">
                  <c:v>181 à 365 jours</c:v>
                </c:pt>
                <c:pt idx="5">
                  <c:v>Plus de 365 jours</c:v>
                </c:pt>
              </c:strCache>
            </c:strRef>
          </c:cat>
          <c:val>
            <c:numRef>
              <c:f>NRCAN!$H$3:$H$8</c:f>
              <c:numCache>
                <c:formatCode>0.00%</c:formatCode>
                <c:ptCount val="6"/>
                <c:pt idx="0">
                  <c:v>0.49781021897810285</c:v>
                </c:pt>
                <c:pt idx="1">
                  <c:v>0.10072992700729946</c:v>
                </c:pt>
                <c:pt idx="2">
                  <c:v>0.23211678832116794</c:v>
                </c:pt>
                <c:pt idx="3">
                  <c:v>8.1751824817518234E-2</c:v>
                </c:pt>
                <c:pt idx="4">
                  <c:v>8.4671532846715331E-2</c:v>
                </c:pt>
                <c:pt idx="5">
                  <c:v>2.9197080291970797E-3</c:v>
                </c:pt>
              </c:numCache>
            </c:numRef>
          </c:val>
        </c:ser>
        <c:ser>
          <c:idx val="2"/>
          <c:order val="2"/>
          <c:tx>
            <c:strRef>
              <c:f>NRCAN!$I$2</c:f>
              <c:strCache>
                <c:ptCount val="1"/>
                <c:pt idx="0">
                  <c:v>2014-2015</c:v>
                </c:pt>
              </c:strCache>
            </c:strRef>
          </c:tx>
          <c:spPr>
            <a:solidFill>
              <a:schemeClr val="accent5">
                <a:lumMod val="75000"/>
              </a:schemeClr>
            </a:solidFill>
          </c:spPr>
          <c:cat>
            <c:strRef>
              <c:f>NRCAN!$F$3:$F$8</c:f>
              <c:strCache>
                <c:ptCount val="6"/>
                <c:pt idx="0">
                  <c:v>30 jours ou moins</c:v>
                </c:pt>
                <c:pt idx="1">
                  <c:v>31 à 60 jours</c:v>
                </c:pt>
                <c:pt idx="2">
                  <c:v>61 à 120 jours</c:v>
                </c:pt>
                <c:pt idx="3">
                  <c:v>121 à 180 jours</c:v>
                </c:pt>
                <c:pt idx="4">
                  <c:v>181 à 365 jours</c:v>
                </c:pt>
                <c:pt idx="5">
                  <c:v>Plus de 365 jours</c:v>
                </c:pt>
              </c:strCache>
            </c:strRef>
          </c:cat>
          <c:val>
            <c:numRef>
              <c:f>NRCAN!$I$3:$I$8</c:f>
              <c:numCache>
                <c:formatCode>0.00%</c:formatCode>
                <c:ptCount val="6"/>
                <c:pt idx="0">
                  <c:v>0.44292237442922439</c:v>
                </c:pt>
                <c:pt idx="1">
                  <c:v>0.13242009132420091</c:v>
                </c:pt>
                <c:pt idx="2">
                  <c:v>0.19634703196347064</c:v>
                </c:pt>
                <c:pt idx="3">
                  <c:v>0.10654490106544914</c:v>
                </c:pt>
                <c:pt idx="4">
                  <c:v>8.8280060882800743E-2</c:v>
                </c:pt>
                <c:pt idx="5">
                  <c:v>3.3485540334855401E-2</c:v>
                </c:pt>
              </c:numCache>
            </c:numRef>
          </c:val>
        </c:ser>
        <c:dLbls/>
        <c:axId val="253658240"/>
        <c:axId val="253659776"/>
      </c:barChart>
      <c:catAx>
        <c:axId val="253658240"/>
        <c:scaling>
          <c:orientation val="minMax"/>
        </c:scaling>
        <c:axPos val="b"/>
        <c:numFmt formatCode="General" sourceLinked="0"/>
        <c:tickLblPos val="nextTo"/>
        <c:crossAx val="253659776"/>
        <c:crosses val="autoZero"/>
        <c:auto val="1"/>
        <c:lblAlgn val="ctr"/>
        <c:lblOffset val="100"/>
      </c:catAx>
      <c:valAx>
        <c:axId val="253659776"/>
        <c:scaling>
          <c:orientation val="minMax"/>
        </c:scaling>
        <c:axPos val="l"/>
        <c:majorGridlines/>
        <c:numFmt formatCode="0%" sourceLinked="0"/>
        <c:tickLblPos val="nextTo"/>
        <c:crossAx val="253658240"/>
        <c:crosses val="autoZero"/>
        <c:crossBetween val="between"/>
      </c:valAx>
    </c:plotArea>
    <c:legend>
      <c:legendPos val="b"/>
    </c:legend>
    <c:plotVisOnly val="1"/>
    <c:dispBlanksAs val="gap"/>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NRCAN!$H$30</c:f>
              <c:strCache>
                <c:ptCount val="1"/>
                <c:pt idx="0">
                  <c:v>2012-2013</c:v>
                </c:pt>
              </c:strCache>
            </c:strRef>
          </c:tx>
          <c:spPr>
            <a:solidFill>
              <a:schemeClr val="bg1">
                <a:lumMod val="65000"/>
              </a:schemeClr>
            </a:solidFill>
          </c:spPr>
          <c:cat>
            <c:strRef>
              <c:f>NRCAN!$G$31:$G$36</c:f>
              <c:strCache>
                <c:ptCount val="6"/>
                <c:pt idx="0">
                  <c:v>30 jours ou moins</c:v>
                </c:pt>
                <c:pt idx="1">
                  <c:v>31 à 60 jours</c:v>
                </c:pt>
                <c:pt idx="2">
                  <c:v>61 à 120 jours</c:v>
                </c:pt>
                <c:pt idx="3">
                  <c:v>121 à 180 jours</c:v>
                </c:pt>
                <c:pt idx="4">
                  <c:v>181 à 365 jours</c:v>
                </c:pt>
                <c:pt idx="5">
                  <c:v>Plus de 365 jours</c:v>
                </c:pt>
              </c:strCache>
            </c:strRef>
          </c:cat>
          <c:val>
            <c:numRef>
              <c:f>NRCAN!$H$31:$H$36</c:f>
              <c:numCache>
                <c:formatCode>0.00%</c:formatCode>
                <c:ptCount val="6"/>
                <c:pt idx="0">
                  <c:v>8.0000000000000043E-2</c:v>
                </c:pt>
                <c:pt idx="1">
                  <c:v>0.31333333333333335</c:v>
                </c:pt>
                <c:pt idx="2">
                  <c:v>0.42000000000000032</c:v>
                </c:pt>
                <c:pt idx="3">
                  <c:v>0.11333333333333333</c:v>
                </c:pt>
                <c:pt idx="4">
                  <c:v>6.0000000000000032E-2</c:v>
                </c:pt>
                <c:pt idx="5">
                  <c:v>1.3333333333333341E-2</c:v>
                </c:pt>
              </c:numCache>
            </c:numRef>
          </c:val>
        </c:ser>
        <c:ser>
          <c:idx val="1"/>
          <c:order val="1"/>
          <c:tx>
            <c:strRef>
              <c:f>NRCAN!$I$30</c:f>
              <c:strCache>
                <c:ptCount val="1"/>
                <c:pt idx="0">
                  <c:v>2013-2014</c:v>
                </c:pt>
              </c:strCache>
            </c:strRef>
          </c:tx>
          <c:spPr>
            <a:solidFill>
              <a:srgbClr val="FFC000"/>
            </a:solidFill>
          </c:spPr>
          <c:cat>
            <c:strRef>
              <c:f>NRCAN!$G$31:$G$36</c:f>
              <c:strCache>
                <c:ptCount val="6"/>
                <c:pt idx="0">
                  <c:v>30 jours ou moins</c:v>
                </c:pt>
                <c:pt idx="1">
                  <c:v>31 à 60 jours</c:v>
                </c:pt>
                <c:pt idx="2">
                  <c:v>61 à 120 jours</c:v>
                </c:pt>
                <c:pt idx="3">
                  <c:v>121 à 180 jours</c:v>
                </c:pt>
                <c:pt idx="4">
                  <c:v>181 à 365 jours</c:v>
                </c:pt>
                <c:pt idx="5">
                  <c:v>Plus de 365 jours</c:v>
                </c:pt>
              </c:strCache>
            </c:strRef>
          </c:cat>
          <c:val>
            <c:numRef>
              <c:f>NRCAN!$I$31:$I$36</c:f>
              <c:numCache>
                <c:formatCode>0.00%</c:formatCode>
                <c:ptCount val="6"/>
                <c:pt idx="0">
                  <c:v>0.12359550561797752</c:v>
                </c:pt>
                <c:pt idx="1">
                  <c:v>0.15730337078651691</c:v>
                </c:pt>
                <c:pt idx="2">
                  <c:v>0.36235955056179775</c:v>
                </c:pt>
                <c:pt idx="3">
                  <c:v>0.11797752808988764</c:v>
                </c:pt>
                <c:pt idx="4">
                  <c:v>0.23876404494382047</c:v>
                </c:pt>
                <c:pt idx="5">
                  <c:v>0</c:v>
                </c:pt>
              </c:numCache>
            </c:numRef>
          </c:val>
        </c:ser>
        <c:ser>
          <c:idx val="2"/>
          <c:order val="2"/>
          <c:tx>
            <c:strRef>
              <c:f>NRCAN!$J$30</c:f>
              <c:strCache>
                <c:ptCount val="1"/>
                <c:pt idx="0">
                  <c:v>2014-2015</c:v>
                </c:pt>
              </c:strCache>
            </c:strRef>
          </c:tx>
          <c:spPr>
            <a:solidFill>
              <a:schemeClr val="accent5">
                <a:lumMod val="75000"/>
              </a:schemeClr>
            </a:solidFill>
          </c:spPr>
          <c:cat>
            <c:strRef>
              <c:f>NRCAN!$G$31:$G$36</c:f>
              <c:strCache>
                <c:ptCount val="6"/>
                <c:pt idx="0">
                  <c:v>30 jours ou moins</c:v>
                </c:pt>
                <c:pt idx="1">
                  <c:v>31 à 60 jours</c:v>
                </c:pt>
                <c:pt idx="2">
                  <c:v>61 à 120 jours</c:v>
                </c:pt>
                <c:pt idx="3">
                  <c:v>121 à 180 jours</c:v>
                </c:pt>
                <c:pt idx="4">
                  <c:v>181 à 365 jours</c:v>
                </c:pt>
                <c:pt idx="5">
                  <c:v>Plus de 365 jours</c:v>
                </c:pt>
              </c:strCache>
            </c:strRef>
          </c:cat>
          <c:val>
            <c:numRef>
              <c:f>NRCAN!$J$31:$J$36</c:f>
              <c:numCache>
                <c:formatCode>0.00%</c:formatCode>
                <c:ptCount val="6"/>
                <c:pt idx="0">
                  <c:v>0.17061611374407584</c:v>
                </c:pt>
                <c:pt idx="1">
                  <c:v>0.20379146919431312</c:v>
                </c:pt>
                <c:pt idx="2">
                  <c:v>0.44075829383886306</c:v>
                </c:pt>
                <c:pt idx="3">
                  <c:v>0.10189573459715642</c:v>
                </c:pt>
                <c:pt idx="4">
                  <c:v>7.8199052132701424E-2</c:v>
                </c:pt>
                <c:pt idx="5">
                  <c:v>4.7393364928910156E-3</c:v>
                </c:pt>
              </c:numCache>
            </c:numRef>
          </c:val>
        </c:ser>
        <c:dLbls/>
        <c:axId val="252654336"/>
        <c:axId val="252655872"/>
      </c:barChart>
      <c:catAx>
        <c:axId val="252654336"/>
        <c:scaling>
          <c:orientation val="minMax"/>
        </c:scaling>
        <c:axPos val="b"/>
        <c:numFmt formatCode="General" sourceLinked="0"/>
        <c:tickLblPos val="nextTo"/>
        <c:crossAx val="252655872"/>
        <c:crosses val="autoZero"/>
        <c:auto val="1"/>
        <c:lblAlgn val="ctr"/>
        <c:lblOffset val="100"/>
      </c:catAx>
      <c:valAx>
        <c:axId val="252655872"/>
        <c:scaling>
          <c:orientation val="minMax"/>
        </c:scaling>
        <c:axPos val="l"/>
        <c:majorGridlines/>
        <c:numFmt formatCode="0%" sourceLinked="0"/>
        <c:tickLblPos val="nextTo"/>
        <c:crossAx val="252654336"/>
        <c:crosses val="autoZero"/>
        <c:crossBetween val="between"/>
      </c:valAx>
    </c:plotArea>
    <c:legend>
      <c:legendPos val="b"/>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NRCAN!$H$55</c:f>
              <c:strCache>
                <c:ptCount val="1"/>
                <c:pt idx="0">
                  <c:v>2014-2015</c:v>
                </c:pt>
              </c:strCache>
            </c:strRef>
          </c:tx>
          <c:spPr>
            <a:solidFill>
              <a:schemeClr val="accent5">
                <a:lumMod val="50000"/>
              </a:schemeClr>
            </a:solidFill>
          </c:spPr>
          <c:dPt>
            <c:idx val="1"/>
            <c:spPr>
              <a:solidFill>
                <a:schemeClr val="accent6">
                  <a:lumMod val="50000"/>
                </a:schemeClr>
              </a:solidFill>
            </c:spPr>
          </c:dPt>
          <c:dPt>
            <c:idx val="2"/>
            <c:spPr>
              <a:solidFill>
                <a:schemeClr val="tx1">
                  <a:lumMod val="75000"/>
                  <a:lumOff val="25000"/>
                </a:schemeClr>
              </a:solidFill>
            </c:spPr>
          </c:dPt>
          <c:dPt>
            <c:idx val="3"/>
            <c:spPr>
              <a:solidFill>
                <a:schemeClr val="accent5">
                  <a:lumMod val="60000"/>
                  <a:lumOff val="40000"/>
                </a:schemeClr>
              </a:solidFill>
            </c:spPr>
          </c:dPt>
          <c:dPt>
            <c:idx val="4"/>
            <c:spPr>
              <a:solidFill>
                <a:schemeClr val="tx2">
                  <a:lumMod val="50000"/>
                </a:schemeClr>
              </a:solidFill>
            </c:spPr>
          </c:dPt>
          <c:dPt>
            <c:idx val="5"/>
            <c:spPr>
              <a:solidFill>
                <a:srgbClr val="FFC000"/>
              </a:solidFill>
            </c:spPr>
          </c:dPt>
          <c:dPt>
            <c:idx val="6"/>
            <c:spPr>
              <a:solidFill>
                <a:schemeClr val="bg2">
                  <a:lumMod val="50000"/>
                </a:schemeClr>
              </a:solidFill>
            </c:spPr>
          </c:dPt>
          <c:dLbls>
            <c:dLbl>
              <c:idx val="0"/>
              <c:layout>
                <c:manualLayout>
                  <c:x val="-5.4428680285932019E-5"/>
                  <c:y val="-1.0544442079875151E-2"/>
                </c:manualLayout>
              </c:layout>
              <c:tx>
                <c:rich>
                  <a:bodyPr/>
                  <a:lstStyle/>
                  <a:p>
                    <a:r>
                      <a:rPr lang="en-US"/>
                      <a:t>22,03 %</a:t>
                    </a:r>
                  </a:p>
                </c:rich>
              </c:tx>
              <c:showPercent val="1"/>
              <c:extLst>
                <c:ext xmlns:c15="http://schemas.microsoft.com/office/drawing/2012/chart" uri="{CE6537A1-D6FC-4f65-9D91-7224C49458BB}">
                  <c15:layout/>
                </c:ext>
              </c:extLst>
            </c:dLbl>
            <c:dLbl>
              <c:idx val="1"/>
              <c:layout>
                <c:manualLayout>
                  <c:x val="1.1069195128743958E-3"/>
                  <c:y val="-3.4591683564638084E-2"/>
                </c:manualLayout>
              </c:layout>
              <c:tx>
                <c:rich>
                  <a:bodyPr/>
                  <a:lstStyle/>
                  <a:p>
                    <a:r>
                      <a:rPr lang="en-US"/>
                      <a:t>13,56 %</a:t>
                    </a:r>
                  </a:p>
                </c:rich>
              </c:tx>
              <c:showPercent val="1"/>
              <c:extLst>
                <c:ext xmlns:c15="http://schemas.microsoft.com/office/drawing/2012/chart" uri="{CE6537A1-D6FC-4f65-9D91-7224C49458BB}">
                  <c15:layout/>
                </c:ext>
              </c:extLst>
            </c:dLbl>
            <c:dLbl>
              <c:idx val="2"/>
              <c:layout>
                <c:manualLayout>
                  <c:x val="2.8930467292875351E-3"/>
                  <c:y val="-1.3947014984330973E-2"/>
                </c:manualLayout>
              </c:layout>
              <c:tx>
                <c:rich>
                  <a:bodyPr/>
                  <a:lstStyle/>
                  <a:p>
                    <a:r>
                      <a:rPr lang="en-US"/>
                      <a:t>8,47 %</a:t>
                    </a:r>
                  </a:p>
                </c:rich>
              </c:tx>
              <c:showPercent val="1"/>
              <c:extLst>
                <c:ext xmlns:c15="http://schemas.microsoft.com/office/drawing/2012/chart" uri="{CE6537A1-D6FC-4f65-9D91-7224C49458BB}">
                  <c15:layout/>
                </c:ext>
              </c:extLst>
            </c:dLbl>
            <c:dLbl>
              <c:idx val="3"/>
              <c:layout>
                <c:manualLayout>
                  <c:x val="1.0411761230810782E-2"/>
                  <c:y val="3.66918600057936E-3"/>
                </c:manualLayout>
              </c:layout>
              <c:tx>
                <c:rich>
                  <a:bodyPr/>
                  <a:lstStyle/>
                  <a:p>
                    <a:r>
                      <a:rPr lang="en-US"/>
                      <a:t>10,17 %</a:t>
                    </a:r>
                  </a:p>
                </c:rich>
              </c:tx>
              <c:showPercent val="1"/>
              <c:extLst>
                <c:ext xmlns:c15="http://schemas.microsoft.com/office/drawing/2012/chart" uri="{CE6537A1-D6FC-4f65-9D91-7224C49458BB}">
                  <c15:layout/>
                </c:ext>
              </c:extLst>
            </c:dLbl>
            <c:dLbl>
              <c:idx val="4"/>
              <c:layout>
                <c:manualLayout>
                  <c:x val="5.0063500127000282E-3"/>
                  <c:y val="3.5855146485067758E-3"/>
                </c:manualLayout>
              </c:layout>
              <c:tx>
                <c:rich>
                  <a:bodyPr/>
                  <a:lstStyle/>
                  <a:p>
                    <a:r>
                      <a:rPr lang="en-US"/>
                      <a:t>13,56 %</a:t>
                    </a:r>
                  </a:p>
                </c:rich>
              </c:tx>
              <c:showPercent val="1"/>
              <c:extLst>
                <c:ext xmlns:c15="http://schemas.microsoft.com/office/drawing/2012/chart" uri="{CE6537A1-D6FC-4f65-9D91-7224C49458BB}">
                  <c15:layout/>
                </c:ext>
              </c:extLst>
            </c:dLbl>
            <c:dLbl>
              <c:idx val="5"/>
              <c:layout>
                <c:manualLayout>
                  <c:x val="-1.0726441452882908E-2"/>
                  <c:y val="2.8481237142654473E-3"/>
                </c:manualLayout>
              </c:layout>
              <c:tx>
                <c:rich>
                  <a:bodyPr/>
                  <a:lstStyle/>
                  <a:p>
                    <a:r>
                      <a:rPr lang="en-US"/>
                      <a:t>20,34 %</a:t>
                    </a:r>
                  </a:p>
                </c:rich>
              </c:tx>
              <c:showPercent val="1"/>
              <c:extLst>
                <c:ext xmlns:c15="http://schemas.microsoft.com/office/drawing/2012/chart" uri="{CE6537A1-D6FC-4f65-9D91-7224C49458BB}">
                  <c15:layout/>
                </c:ext>
              </c:extLst>
            </c:dLbl>
            <c:dLbl>
              <c:idx val="6"/>
              <c:layout>
                <c:manualLayout>
                  <c:x val="-9.5203018977466549E-3"/>
                  <c:y val="3.9409094133503594E-3"/>
                </c:manualLayout>
              </c:layout>
              <c:tx>
                <c:rich>
                  <a:bodyPr/>
                  <a:lstStyle/>
                  <a:p>
                    <a:r>
                      <a:rPr lang="en-US"/>
                      <a:t>11,86 %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NRCAN!$G$56:$G$62</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NRCAN!$H$56:$H$62</c:f>
              <c:numCache>
                <c:formatCode>General</c:formatCode>
                <c:ptCount val="7"/>
                <c:pt idx="0">
                  <c:v>13</c:v>
                </c:pt>
                <c:pt idx="1">
                  <c:v>8</c:v>
                </c:pt>
                <c:pt idx="2">
                  <c:v>5</c:v>
                </c:pt>
                <c:pt idx="3">
                  <c:v>6</c:v>
                </c:pt>
                <c:pt idx="4">
                  <c:v>8</c:v>
                </c:pt>
                <c:pt idx="5">
                  <c:v>12</c:v>
                </c:pt>
                <c:pt idx="6">
                  <c:v>7</c:v>
                </c:pt>
              </c:numCache>
            </c:numRef>
          </c:val>
        </c:ser>
        <c:dLbls/>
        <c:firstSliceAng val="0"/>
      </c:pieChart>
    </c:plotArea>
    <c:legend>
      <c:legendPos val="r"/>
    </c:legend>
    <c:plotVisOnly val="1"/>
    <c:dispBlanksAs val="zero"/>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NRCAN!$H$84</c:f>
              <c:strCache>
                <c:ptCount val="1"/>
                <c:pt idx="0">
                  <c:v>2012-2013</c:v>
                </c:pt>
              </c:strCache>
            </c:strRef>
          </c:tx>
          <c:spPr>
            <a:solidFill>
              <a:schemeClr val="bg1">
                <a:lumMod val="65000"/>
              </a:schemeClr>
            </a:solidFill>
          </c:spPr>
          <c:cat>
            <c:strRef>
              <c:f>NRCAN!$G$85:$G$86</c:f>
              <c:strCache>
                <c:ptCount val="2"/>
                <c:pt idx="0">
                  <c:v>Divulgation complète </c:v>
                </c:pt>
                <c:pt idx="1">
                  <c:v>Divulgation partielle </c:v>
                </c:pt>
              </c:strCache>
            </c:strRef>
          </c:cat>
          <c:val>
            <c:numRef>
              <c:f>NRCAN!$H$85:$H$86</c:f>
              <c:numCache>
                <c:formatCode>0.00%</c:formatCode>
                <c:ptCount val="2"/>
                <c:pt idx="0">
                  <c:v>0.2692867540029113</c:v>
                </c:pt>
                <c:pt idx="1">
                  <c:v>0.48180494905385846</c:v>
                </c:pt>
              </c:numCache>
            </c:numRef>
          </c:val>
        </c:ser>
        <c:ser>
          <c:idx val="1"/>
          <c:order val="1"/>
          <c:tx>
            <c:strRef>
              <c:f>NRCAN!$I$84</c:f>
              <c:strCache>
                <c:ptCount val="1"/>
                <c:pt idx="0">
                  <c:v>2013-2014</c:v>
                </c:pt>
              </c:strCache>
            </c:strRef>
          </c:tx>
          <c:spPr>
            <a:solidFill>
              <a:srgbClr val="FFC000"/>
            </a:solidFill>
          </c:spPr>
          <c:cat>
            <c:strRef>
              <c:f>NRCAN!$G$85:$G$86</c:f>
              <c:strCache>
                <c:ptCount val="2"/>
                <c:pt idx="0">
                  <c:v>Divulgation complète </c:v>
                </c:pt>
                <c:pt idx="1">
                  <c:v>Divulgation partielle </c:v>
                </c:pt>
              </c:strCache>
            </c:strRef>
          </c:cat>
          <c:val>
            <c:numRef>
              <c:f>NRCAN!$I$85:$I$86</c:f>
              <c:numCache>
                <c:formatCode>0.00%</c:formatCode>
                <c:ptCount val="2"/>
                <c:pt idx="0">
                  <c:v>0.20875912408759151</c:v>
                </c:pt>
                <c:pt idx="1">
                  <c:v>0.48905109489051096</c:v>
                </c:pt>
              </c:numCache>
            </c:numRef>
          </c:val>
        </c:ser>
        <c:ser>
          <c:idx val="2"/>
          <c:order val="2"/>
          <c:tx>
            <c:strRef>
              <c:f>NRCAN!$J$84</c:f>
              <c:strCache>
                <c:ptCount val="1"/>
                <c:pt idx="0">
                  <c:v>2014-2015</c:v>
                </c:pt>
              </c:strCache>
            </c:strRef>
          </c:tx>
          <c:spPr>
            <a:solidFill>
              <a:schemeClr val="accent5">
                <a:lumMod val="75000"/>
              </a:schemeClr>
            </a:solidFill>
          </c:spPr>
          <c:cat>
            <c:strRef>
              <c:f>NRCAN!$G$85:$G$86</c:f>
              <c:strCache>
                <c:ptCount val="2"/>
                <c:pt idx="0">
                  <c:v>Divulgation complète </c:v>
                </c:pt>
                <c:pt idx="1">
                  <c:v>Divulgation partielle </c:v>
                </c:pt>
              </c:strCache>
            </c:strRef>
          </c:cat>
          <c:val>
            <c:numRef>
              <c:f>NRCAN!$J$85:$J$86</c:f>
              <c:numCache>
                <c:formatCode>0.00%</c:formatCode>
                <c:ptCount val="2"/>
                <c:pt idx="0">
                  <c:v>0.23287671232876683</c:v>
                </c:pt>
                <c:pt idx="1">
                  <c:v>0.54337899543379065</c:v>
                </c:pt>
              </c:numCache>
            </c:numRef>
          </c:val>
        </c:ser>
        <c:dLbls/>
        <c:axId val="253698432"/>
        <c:axId val="253699968"/>
      </c:barChart>
      <c:catAx>
        <c:axId val="253698432"/>
        <c:scaling>
          <c:orientation val="minMax"/>
        </c:scaling>
        <c:axPos val="b"/>
        <c:numFmt formatCode="General" sourceLinked="0"/>
        <c:tickLblPos val="nextTo"/>
        <c:crossAx val="253699968"/>
        <c:crosses val="autoZero"/>
        <c:auto val="1"/>
        <c:lblAlgn val="ctr"/>
        <c:lblOffset val="100"/>
      </c:catAx>
      <c:valAx>
        <c:axId val="253699968"/>
        <c:scaling>
          <c:orientation val="minMax"/>
        </c:scaling>
        <c:axPos val="l"/>
        <c:majorGridlines/>
        <c:numFmt formatCode="0%" sourceLinked="0"/>
        <c:tickLblPos val="nextTo"/>
        <c:crossAx val="253698432"/>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CBSA!$N$28</c:f>
              <c:strCache>
                <c:ptCount val="1"/>
                <c:pt idx="0">
                  <c:v>2012-2013</c:v>
                </c:pt>
              </c:strCache>
            </c:strRef>
          </c:tx>
          <c:spPr>
            <a:solidFill>
              <a:schemeClr val="bg1">
                <a:lumMod val="65000"/>
              </a:schemeClr>
            </a:solidFill>
          </c:spPr>
          <c:cat>
            <c:strRef>
              <c:f>CBSA!$M$29:$M$34</c:f>
              <c:strCache>
                <c:ptCount val="6"/>
                <c:pt idx="0">
                  <c:v>30 jours ou moins</c:v>
                </c:pt>
                <c:pt idx="1">
                  <c:v>31 à 60 jours</c:v>
                </c:pt>
                <c:pt idx="2">
                  <c:v>61 à 120 jours</c:v>
                </c:pt>
                <c:pt idx="3">
                  <c:v>121 à 180 jours</c:v>
                </c:pt>
                <c:pt idx="4">
                  <c:v>181 à 365 jours</c:v>
                </c:pt>
                <c:pt idx="5">
                  <c:v>Plus de 365 jours</c:v>
                </c:pt>
              </c:strCache>
            </c:strRef>
          </c:cat>
          <c:val>
            <c:numRef>
              <c:f>CBSA!$N$29:$N$34</c:f>
              <c:numCache>
                <c:formatCode>0.00%</c:formatCode>
                <c:ptCount val="6"/>
                <c:pt idx="0">
                  <c:v>0.53680000000000005</c:v>
                </c:pt>
                <c:pt idx="1">
                  <c:v>0.25979999999999998</c:v>
                </c:pt>
                <c:pt idx="2">
                  <c:v>0.1716</c:v>
                </c:pt>
                <c:pt idx="3">
                  <c:v>2.4500000000000001E-2</c:v>
                </c:pt>
                <c:pt idx="4">
                  <c:v>2.5000000000000092E-3</c:v>
                </c:pt>
                <c:pt idx="5">
                  <c:v>4.9000000000000259E-3</c:v>
                </c:pt>
              </c:numCache>
            </c:numRef>
          </c:val>
        </c:ser>
        <c:ser>
          <c:idx val="1"/>
          <c:order val="1"/>
          <c:tx>
            <c:strRef>
              <c:f>CBSA!$O$28</c:f>
              <c:strCache>
                <c:ptCount val="1"/>
                <c:pt idx="0">
                  <c:v>2013-2014</c:v>
                </c:pt>
              </c:strCache>
            </c:strRef>
          </c:tx>
          <c:spPr>
            <a:solidFill>
              <a:srgbClr val="FFC000"/>
            </a:solidFill>
          </c:spPr>
          <c:cat>
            <c:strRef>
              <c:f>CBSA!$M$29:$M$34</c:f>
              <c:strCache>
                <c:ptCount val="6"/>
                <c:pt idx="0">
                  <c:v>30 jours ou moins</c:v>
                </c:pt>
                <c:pt idx="1">
                  <c:v>31 à 60 jours</c:v>
                </c:pt>
                <c:pt idx="2">
                  <c:v>61 à 120 jours</c:v>
                </c:pt>
                <c:pt idx="3">
                  <c:v>121 à 180 jours</c:v>
                </c:pt>
                <c:pt idx="4">
                  <c:v>181 à 365 jours</c:v>
                </c:pt>
                <c:pt idx="5">
                  <c:v>Plus de 365 jours</c:v>
                </c:pt>
              </c:strCache>
            </c:strRef>
          </c:cat>
          <c:val>
            <c:numRef>
              <c:f>CBSA!$O$29:$O$34</c:f>
              <c:numCache>
                <c:formatCode>0.00%</c:formatCode>
                <c:ptCount val="6"/>
                <c:pt idx="0">
                  <c:v>0.41540000000000032</c:v>
                </c:pt>
                <c:pt idx="1">
                  <c:v>0.32550000000000145</c:v>
                </c:pt>
                <c:pt idx="2">
                  <c:v>0.18420000000000067</c:v>
                </c:pt>
                <c:pt idx="3">
                  <c:v>6.2100000000000023E-2</c:v>
                </c:pt>
                <c:pt idx="4">
                  <c:v>1.0699999999999998E-2</c:v>
                </c:pt>
                <c:pt idx="5">
                  <c:v>2.0999999999999999E-3</c:v>
                </c:pt>
              </c:numCache>
            </c:numRef>
          </c:val>
        </c:ser>
        <c:ser>
          <c:idx val="2"/>
          <c:order val="2"/>
          <c:tx>
            <c:strRef>
              <c:f>CBSA!$P$28</c:f>
              <c:strCache>
                <c:ptCount val="1"/>
                <c:pt idx="0">
                  <c:v>2014-2015</c:v>
                </c:pt>
              </c:strCache>
            </c:strRef>
          </c:tx>
          <c:spPr>
            <a:solidFill>
              <a:schemeClr val="accent5">
                <a:lumMod val="75000"/>
              </a:schemeClr>
            </a:solidFill>
          </c:spPr>
          <c:cat>
            <c:strRef>
              <c:f>CBSA!$M$29:$M$34</c:f>
              <c:strCache>
                <c:ptCount val="6"/>
                <c:pt idx="0">
                  <c:v>30 jours ou moins</c:v>
                </c:pt>
                <c:pt idx="1">
                  <c:v>31 à 60 jours</c:v>
                </c:pt>
                <c:pt idx="2">
                  <c:v>61 à 120 jours</c:v>
                </c:pt>
                <c:pt idx="3">
                  <c:v>121 à 180 jours</c:v>
                </c:pt>
                <c:pt idx="4">
                  <c:v>181 à 365 jours</c:v>
                </c:pt>
                <c:pt idx="5">
                  <c:v>Plus de 365 jours</c:v>
                </c:pt>
              </c:strCache>
            </c:strRef>
          </c:cat>
          <c:val>
            <c:numRef>
              <c:f>CBSA!$P$29:$P$34</c:f>
              <c:numCache>
                <c:formatCode>0.00%</c:formatCode>
                <c:ptCount val="6"/>
                <c:pt idx="0">
                  <c:v>0.45840000000000031</c:v>
                </c:pt>
                <c:pt idx="1">
                  <c:v>0.25169999999999998</c:v>
                </c:pt>
                <c:pt idx="2">
                  <c:v>0.1326</c:v>
                </c:pt>
                <c:pt idx="3">
                  <c:v>9.4400000000000026E-2</c:v>
                </c:pt>
                <c:pt idx="4">
                  <c:v>4.9400000000000034E-2</c:v>
                </c:pt>
                <c:pt idx="5">
                  <c:v>1.3500000000000061E-2</c:v>
                </c:pt>
              </c:numCache>
            </c:numRef>
          </c:val>
        </c:ser>
        <c:dLbls/>
        <c:axId val="221485696"/>
        <c:axId val="221499776"/>
      </c:barChart>
      <c:catAx>
        <c:axId val="221485696"/>
        <c:scaling>
          <c:orientation val="minMax"/>
        </c:scaling>
        <c:axPos val="b"/>
        <c:numFmt formatCode="General" sourceLinked="0"/>
        <c:tickLblPos val="nextTo"/>
        <c:crossAx val="221499776"/>
        <c:crosses val="autoZero"/>
        <c:auto val="1"/>
        <c:lblAlgn val="ctr"/>
        <c:lblOffset val="100"/>
      </c:catAx>
      <c:valAx>
        <c:axId val="221499776"/>
        <c:scaling>
          <c:orientation val="minMax"/>
        </c:scaling>
        <c:axPos val="l"/>
        <c:majorGridlines/>
        <c:numFmt formatCode="0%" sourceLinked="0"/>
        <c:tickLblPos val="nextTo"/>
        <c:crossAx val="221485696"/>
        <c:crosses val="autoZero"/>
        <c:crossBetween val="between"/>
      </c:valAx>
    </c:plotArea>
    <c:legend>
      <c:legendPos val="b"/>
    </c:legend>
    <c:plotVisOnly val="1"/>
    <c:dispBlanksAs val="gap"/>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PCO!$G$2</c:f>
              <c:strCache>
                <c:ptCount val="1"/>
                <c:pt idx="0">
                  <c:v>2012-2013</c:v>
                </c:pt>
              </c:strCache>
            </c:strRef>
          </c:tx>
          <c:spPr>
            <a:solidFill>
              <a:schemeClr val="bg1">
                <a:lumMod val="65000"/>
              </a:schemeClr>
            </a:solidFill>
          </c:spPr>
          <c:cat>
            <c:strRef>
              <c:f>PCO!$F$3:$F$8</c:f>
              <c:strCache>
                <c:ptCount val="6"/>
                <c:pt idx="0">
                  <c:v>30 jours ou moins</c:v>
                </c:pt>
                <c:pt idx="1">
                  <c:v>31 à 60 jours</c:v>
                </c:pt>
                <c:pt idx="2">
                  <c:v>61 à 120 jours</c:v>
                </c:pt>
                <c:pt idx="3">
                  <c:v>121 à 180 jours</c:v>
                </c:pt>
                <c:pt idx="4">
                  <c:v>181 à 365 jours</c:v>
                </c:pt>
                <c:pt idx="5">
                  <c:v>Plus de 365 jours</c:v>
                </c:pt>
              </c:strCache>
            </c:strRef>
          </c:cat>
          <c:val>
            <c:numRef>
              <c:f>PCO!$G$3:$G$8</c:f>
              <c:numCache>
                <c:formatCode>0.00%</c:formatCode>
                <c:ptCount val="6"/>
                <c:pt idx="0">
                  <c:v>0.580689655172414</c:v>
                </c:pt>
                <c:pt idx="1">
                  <c:v>0.11448275862068982</c:v>
                </c:pt>
                <c:pt idx="2">
                  <c:v>0.19862068965517238</c:v>
                </c:pt>
                <c:pt idx="3">
                  <c:v>6.8965517241379323E-2</c:v>
                </c:pt>
                <c:pt idx="4">
                  <c:v>2.4827586206896547E-2</c:v>
                </c:pt>
                <c:pt idx="5">
                  <c:v>1.2413793103448274E-2</c:v>
                </c:pt>
              </c:numCache>
            </c:numRef>
          </c:val>
        </c:ser>
        <c:ser>
          <c:idx val="1"/>
          <c:order val="1"/>
          <c:tx>
            <c:strRef>
              <c:f>PCO!$H$2</c:f>
              <c:strCache>
                <c:ptCount val="1"/>
                <c:pt idx="0">
                  <c:v>2013-2014</c:v>
                </c:pt>
              </c:strCache>
            </c:strRef>
          </c:tx>
          <c:spPr>
            <a:solidFill>
              <a:srgbClr val="FFC000"/>
            </a:solidFill>
          </c:spPr>
          <c:cat>
            <c:strRef>
              <c:f>PCO!$F$3:$F$8</c:f>
              <c:strCache>
                <c:ptCount val="6"/>
                <c:pt idx="0">
                  <c:v>30 jours ou moins</c:v>
                </c:pt>
                <c:pt idx="1">
                  <c:v>31 à 60 jours</c:v>
                </c:pt>
                <c:pt idx="2">
                  <c:v>61 à 120 jours</c:v>
                </c:pt>
                <c:pt idx="3">
                  <c:v>121 à 180 jours</c:v>
                </c:pt>
                <c:pt idx="4">
                  <c:v>181 à 365 jours</c:v>
                </c:pt>
                <c:pt idx="5">
                  <c:v>Plus de 365 jours</c:v>
                </c:pt>
              </c:strCache>
            </c:strRef>
          </c:cat>
          <c:val>
            <c:numRef>
              <c:f>PCO!$H$3:$H$8</c:f>
              <c:numCache>
                <c:formatCode>0.00%</c:formatCode>
                <c:ptCount val="6"/>
                <c:pt idx="0">
                  <c:v>0.50518134715025798</c:v>
                </c:pt>
                <c:pt idx="1">
                  <c:v>0.10880829015544041</c:v>
                </c:pt>
                <c:pt idx="2">
                  <c:v>0.23834196891191708</c:v>
                </c:pt>
                <c:pt idx="3">
                  <c:v>6.9948186528497408E-2</c:v>
                </c:pt>
                <c:pt idx="4">
                  <c:v>6.3471502590673565E-2</c:v>
                </c:pt>
                <c:pt idx="5">
                  <c:v>1.424870466321247E-2</c:v>
                </c:pt>
              </c:numCache>
            </c:numRef>
          </c:val>
        </c:ser>
        <c:ser>
          <c:idx val="2"/>
          <c:order val="2"/>
          <c:tx>
            <c:strRef>
              <c:f>PCO!$I$2</c:f>
              <c:strCache>
                <c:ptCount val="1"/>
                <c:pt idx="0">
                  <c:v>2014-2015</c:v>
                </c:pt>
              </c:strCache>
            </c:strRef>
          </c:tx>
          <c:spPr>
            <a:solidFill>
              <a:schemeClr val="accent5">
                <a:lumMod val="75000"/>
              </a:schemeClr>
            </a:solidFill>
          </c:spPr>
          <c:cat>
            <c:strRef>
              <c:f>PCO!$F$3:$F$8</c:f>
              <c:strCache>
                <c:ptCount val="6"/>
                <c:pt idx="0">
                  <c:v>30 jours ou moins</c:v>
                </c:pt>
                <c:pt idx="1">
                  <c:v>31 à 60 jours</c:v>
                </c:pt>
                <c:pt idx="2">
                  <c:v>61 à 120 jours</c:v>
                </c:pt>
                <c:pt idx="3">
                  <c:v>121 à 180 jours</c:v>
                </c:pt>
                <c:pt idx="4">
                  <c:v>181 à 365 jours</c:v>
                </c:pt>
                <c:pt idx="5">
                  <c:v>Plus de 365 jours</c:v>
                </c:pt>
              </c:strCache>
            </c:strRef>
          </c:cat>
          <c:val>
            <c:numRef>
              <c:f>PCO!$I$3:$I$8</c:f>
              <c:numCache>
                <c:formatCode>0.00%</c:formatCode>
                <c:ptCount val="6"/>
                <c:pt idx="0">
                  <c:v>0.39143279172821366</c:v>
                </c:pt>
                <c:pt idx="1">
                  <c:v>0.11521418020679473</c:v>
                </c:pt>
                <c:pt idx="2">
                  <c:v>0.29246676514032588</c:v>
                </c:pt>
                <c:pt idx="3">
                  <c:v>0.10782865583456425</c:v>
                </c:pt>
                <c:pt idx="4">
                  <c:v>6.4992614475627944E-2</c:v>
                </c:pt>
                <c:pt idx="5">
                  <c:v>2.8064992614475679E-2</c:v>
                </c:pt>
              </c:numCache>
            </c:numRef>
          </c:val>
        </c:ser>
        <c:dLbls/>
        <c:axId val="253730816"/>
        <c:axId val="253732352"/>
      </c:barChart>
      <c:catAx>
        <c:axId val="253730816"/>
        <c:scaling>
          <c:orientation val="minMax"/>
        </c:scaling>
        <c:axPos val="b"/>
        <c:numFmt formatCode="General" sourceLinked="0"/>
        <c:tickLblPos val="nextTo"/>
        <c:crossAx val="253732352"/>
        <c:crosses val="autoZero"/>
        <c:auto val="1"/>
        <c:lblAlgn val="ctr"/>
        <c:lblOffset val="100"/>
      </c:catAx>
      <c:valAx>
        <c:axId val="253732352"/>
        <c:scaling>
          <c:orientation val="minMax"/>
        </c:scaling>
        <c:axPos val="l"/>
        <c:majorGridlines/>
        <c:numFmt formatCode="0%" sourceLinked="0"/>
        <c:tickLblPos val="nextTo"/>
        <c:crossAx val="253730816"/>
        <c:crosses val="autoZero"/>
        <c:crossBetween val="between"/>
      </c:valAx>
    </c:plotArea>
    <c:legend>
      <c:legendPos val="b"/>
    </c:legend>
    <c:plotVisOnly val="1"/>
    <c:dispBlanksAs val="gap"/>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PCO!$H$29</c:f>
              <c:strCache>
                <c:ptCount val="1"/>
                <c:pt idx="0">
                  <c:v>2012-2013</c:v>
                </c:pt>
              </c:strCache>
            </c:strRef>
          </c:tx>
          <c:spPr>
            <a:solidFill>
              <a:schemeClr val="bg1">
                <a:lumMod val="65000"/>
              </a:schemeClr>
            </a:solidFill>
          </c:spPr>
          <c:cat>
            <c:strRef>
              <c:f>PCO!$G$30:$G$35</c:f>
              <c:strCache>
                <c:ptCount val="6"/>
                <c:pt idx="0">
                  <c:v>30 jours ou moins</c:v>
                </c:pt>
                <c:pt idx="1">
                  <c:v>31 à 60 jours</c:v>
                </c:pt>
                <c:pt idx="2">
                  <c:v>61 à 120 jours</c:v>
                </c:pt>
                <c:pt idx="3">
                  <c:v>121 à 180 jours</c:v>
                </c:pt>
                <c:pt idx="4">
                  <c:v>181 à 365 jours</c:v>
                </c:pt>
                <c:pt idx="5">
                  <c:v>Plus de 365 jours</c:v>
                </c:pt>
              </c:strCache>
            </c:strRef>
          </c:cat>
          <c:val>
            <c:numRef>
              <c:f>PCO!$H$30:$H$35</c:f>
              <c:numCache>
                <c:formatCode>0.00%</c:formatCode>
                <c:ptCount val="6"/>
                <c:pt idx="0">
                  <c:v>0.24464831804281376</c:v>
                </c:pt>
                <c:pt idx="1">
                  <c:v>0.25993883792048977</c:v>
                </c:pt>
                <c:pt idx="2">
                  <c:v>0.40672782874617724</c:v>
                </c:pt>
                <c:pt idx="3">
                  <c:v>5.8103975535168197E-2</c:v>
                </c:pt>
                <c:pt idx="4">
                  <c:v>9.1743119266055051E-3</c:v>
                </c:pt>
                <c:pt idx="5">
                  <c:v>2.1406727828746221E-2</c:v>
                </c:pt>
              </c:numCache>
            </c:numRef>
          </c:val>
        </c:ser>
        <c:ser>
          <c:idx val="1"/>
          <c:order val="1"/>
          <c:tx>
            <c:strRef>
              <c:f>PCO!$I$29</c:f>
              <c:strCache>
                <c:ptCount val="1"/>
                <c:pt idx="0">
                  <c:v>2013-2014</c:v>
                </c:pt>
              </c:strCache>
            </c:strRef>
          </c:tx>
          <c:spPr>
            <a:solidFill>
              <a:srgbClr val="FFC000"/>
            </a:solidFill>
          </c:spPr>
          <c:cat>
            <c:strRef>
              <c:f>PCO!$G$30:$G$35</c:f>
              <c:strCache>
                <c:ptCount val="6"/>
                <c:pt idx="0">
                  <c:v>30 jours ou moins</c:v>
                </c:pt>
                <c:pt idx="1">
                  <c:v>31 à 60 jours</c:v>
                </c:pt>
                <c:pt idx="2">
                  <c:v>61 à 120 jours</c:v>
                </c:pt>
                <c:pt idx="3">
                  <c:v>121 à 180 jours</c:v>
                </c:pt>
                <c:pt idx="4">
                  <c:v>181 à 365 jours</c:v>
                </c:pt>
                <c:pt idx="5">
                  <c:v>Plus de 365 jours</c:v>
                </c:pt>
              </c:strCache>
            </c:strRef>
          </c:cat>
          <c:val>
            <c:numRef>
              <c:f>PCO!$I$30:$I$35</c:f>
              <c:numCache>
                <c:formatCode>0.00%</c:formatCode>
                <c:ptCount val="6"/>
                <c:pt idx="0">
                  <c:v>0.14583333333333362</c:v>
                </c:pt>
                <c:pt idx="1">
                  <c:v>0.3125000000000005</c:v>
                </c:pt>
                <c:pt idx="2">
                  <c:v>0.39583333333333331</c:v>
                </c:pt>
                <c:pt idx="3">
                  <c:v>0.11574074074074091</c:v>
                </c:pt>
                <c:pt idx="4">
                  <c:v>2.5462962962962982E-2</c:v>
                </c:pt>
                <c:pt idx="5">
                  <c:v>4.6296296296296406E-3</c:v>
                </c:pt>
              </c:numCache>
            </c:numRef>
          </c:val>
        </c:ser>
        <c:ser>
          <c:idx val="2"/>
          <c:order val="2"/>
          <c:tx>
            <c:strRef>
              <c:f>PCO!$J$29</c:f>
              <c:strCache>
                <c:ptCount val="1"/>
                <c:pt idx="0">
                  <c:v>2014-2015</c:v>
                </c:pt>
              </c:strCache>
            </c:strRef>
          </c:tx>
          <c:spPr>
            <a:solidFill>
              <a:schemeClr val="accent5">
                <a:lumMod val="75000"/>
              </a:schemeClr>
            </a:solidFill>
          </c:spPr>
          <c:cat>
            <c:strRef>
              <c:f>PCO!$G$30:$G$35</c:f>
              <c:strCache>
                <c:ptCount val="6"/>
                <c:pt idx="0">
                  <c:v>30 jours ou moins</c:v>
                </c:pt>
                <c:pt idx="1">
                  <c:v>31 à 60 jours</c:v>
                </c:pt>
                <c:pt idx="2">
                  <c:v>61 à 120 jours</c:v>
                </c:pt>
                <c:pt idx="3">
                  <c:v>121 à 180 jours</c:v>
                </c:pt>
                <c:pt idx="4">
                  <c:v>181 à 365 jours</c:v>
                </c:pt>
                <c:pt idx="5">
                  <c:v>Plus de 365 jours</c:v>
                </c:pt>
              </c:strCache>
            </c:strRef>
          </c:cat>
          <c:val>
            <c:numRef>
              <c:f>PCO!$J$30:$J$35</c:f>
              <c:numCache>
                <c:formatCode>0.00%</c:formatCode>
                <c:ptCount val="6"/>
                <c:pt idx="0">
                  <c:v>0.18300653594771241</c:v>
                </c:pt>
                <c:pt idx="1">
                  <c:v>0.20043572984749503</c:v>
                </c:pt>
                <c:pt idx="2">
                  <c:v>0.52723311546840967</c:v>
                </c:pt>
                <c:pt idx="3">
                  <c:v>4.1394335511982565E-2</c:v>
                </c:pt>
                <c:pt idx="4">
                  <c:v>1.9607843137254902E-2</c:v>
                </c:pt>
                <c:pt idx="5">
                  <c:v>2.8322440087145972E-2</c:v>
                </c:pt>
              </c:numCache>
            </c:numRef>
          </c:val>
        </c:ser>
        <c:dLbls/>
        <c:axId val="253754752"/>
        <c:axId val="253908096"/>
      </c:barChart>
      <c:catAx>
        <c:axId val="253754752"/>
        <c:scaling>
          <c:orientation val="minMax"/>
        </c:scaling>
        <c:axPos val="b"/>
        <c:numFmt formatCode="General" sourceLinked="0"/>
        <c:tickLblPos val="nextTo"/>
        <c:crossAx val="253908096"/>
        <c:crosses val="autoZero"/>
        <c:auto val="1"/>
        <c:lblAlgn val="ctr"/>
        <c:lblOffset val="100"/>
      </c:catAx>
      <c:valAx>
        <c:axId val="253908096"/>
        <c:scaling>
          <c:orientation val="minMax"/>
        </c:scaling>
        <c:axPos val="l"/>
        <c:majorGridlines/>
        <c:numFmt formatCode="0%" sourceLinked="0"/>
        <c:tickLblPos val="nextTo"/>
        <c:crossAx val="253754752"/>
        <c:crosses val="autoZero"/>
        <c:crossBetween val="between"/>
      </c:valAx>
    </c:plotArea>
    <c:legend>
      <c:legendPos val="b"/>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PCO!$H$55</c:f>
              <c:strCache>
                <c:ptCount val="1"/>
                <c:pt idx="0">
                  <c:v>2014-2015</c:v>
                </c:pt>
              </c:strCache>
            </c:strRef>
          </c:tx>
          <c:dPt>
            <c:idx val="0"/>
            <c:spPr>
              <a:solidFill>
                <a:schemeClr val="accent5">
                  <a:lumMod val="75000"/>
                </a:schemeClr>
              </a:solidFill>
            </c:spPr>
          </c:dPt>
          <c:dPt>
            <c:idx val="1"/>
            <c:spPr>
              <a:solidFill>
                <a:schemeClr val="accent5">
                  <a:lumMod val="60000"/>
                  <a:lumOff val="40000"/>
                </a:schemeClr>
              </a:solidFill>
            </c:spPr>
          </c:dPt>
          <c:dPt>
            <c:idx val="2"/>
            <c:spPr>
              <a:solidFill>
                <a:schemeClr val="tx1">
                  <a:lumMod val="65000"/>
                  <a:lumOff val="35000"/>
                </a:schemeClr>
              </a:solidFill>
            </c:spPr>
          </c:dPt>
          <c:dPt>
            <c:idx val="3"/>
            <c:spPr>
              <a:solidFill>
                <a:srgbClr val="FFC000"/>
              </a:solidFill>
            </c:spPr>
          </c:dPt>
          <c:dPt>
            <c:idx val="4"/>
            <c:spPr>
              <a:solidFill>
                <a:schemeClr val="tx2">
                  <a:lumMod val="75000"/>
                </a:schemeClr>
              </a:solidFill>
            </c:spPr>
          </c:dPt>
          <c:dLbls>
            <c:dLbl>
              <c:idx val="0"/>
              <c:layout>
                <c:manualLayout>
                  <c:x val="3.6156154352831663E-2"/>
                  <c:y val="3.8686021821114205E-2"/>
                </c:manualLayout>
              </c:layout>
              <c:tx>
                <c:rich>
                  <a:bodyPr/>
                  <a:lstStyle/>
                  <a:p>
                    <a:r>
                      <a:rPr lang="en-US"/>
                      <a:t>25,00 %</a:t>
                    </a:r>
                  </a:p>
                </c:rich>
              </c:tx>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5.0220891720310413E-4"/>
                  <c:y val="-6.700451941270039E-3"/>
                </c:manualLayout>
              </c:layout>
              <c:tx>
                <c:rich>
                  <a:bodyPr/>
                  <a:lstStyle/>
                  <a:p>
                    <a:r>
                      <a:rPr lang="en-US"/>
                      <a:t>6,25 %</a:t>
                    </a:r>
                  </a:p>
                </c:rich>
              </c:tx>
              <c:showPercent val="1"/>
              <c:extLst>
                <c:ext xmlns:c15="http://schemas.microsoft.com/office/drawing/2012/chart" uri="{CE6537A1-D6FC-4f65-9D91-7224C49458BB}"/>
              </c:extLst>
            </c:dLbl>
            <c:dLbl>
              <c:idx val="3"/>
              <c:layout>
                <c:manualLayout>
                  <c:x val="-0.13043286152017339"/>
                  <c:y val="-3.0740587754493842E-2"/>
                </c:manualLayout>
              </c:layout>
              <c:tx>
                <c:rich>
                  <a:bodyPr/>
                  <a:lstStyle/>
                  <a:p>
                    <a:r>
                      <a:rPr lang="en-US"/>
                      <a:t>37,50 %</a:t>
                    </a:r>
                  </a:p>
                </c:rich>
              </c:tx>
              <c:showPercent val="1"/>
              <c:extLst>
                <c:ext xmlns:c15="http://schemas.microsoft.com/office/drawing/2012/chart" uri="{CE6537A1-D6FC-4f65-9D91-7224C49458BB}"/>
              </c:extLst>
            </c:dLbl>
            <c:dLbl>
              <c:idx val="4"/>
              <c:layout>
                <c:manualLayout>
                  <c:x val="-5.519120434589686E-3"/>
                  <c:y val="-1.0178931821618199E-2"/>
                </c:manualLayout>
              </c:layout>
              <c:tx>
                <c:rich>
                  <a:bodyPr/>
                  <a:lstStyle/>
                  <a:p>
                    <a:r>
                      <a:rPr lang="en-US"/>
                      <a:t>6,25 %</a:t>
                    </a:r>
                  </a:p>
                </c:rich>
              </c:tx>
              <c:showPercent val="1"/>
              <c:extLst>
                <c:ext xmlns:c15="http://schemas.microsoft.com/office/drawing/2012/chart" uri="{CE6537A1-D6FC-4f65-9D91-7224C49458BB}"/>
              </c:extLst>
            </c:dLbl>
            <c:dLbl>
              <c:idx val="5"/>
              <c:layout>
                <c:manualLayout>
                  <c:x val="-1.0181494726882741E-2"/>
                  <c:y val="-3.6679872991385956E-3"/>
                </c:manualLayout>
              </c:layout>
              <c:tx>
                <c:rich>
                  <a:bodyPr/>
                  <a:lstStyle/>
                  <a:p>
                    <a:r>
                      <a:rPr lang="en-US"/>
                      <a:t>12,50 %</a:t>
                    </a:r>
                  </a:p>
                </c:rich>
              </c:tx>
              <c:showPercent val="1"/>
              <c:extLst>
                <c:ext xmlns:c15="http://schemas.microsoft.com/office/drawing/2012/chart" uri="{CE6537A1-D6FC-4f65-9D91-7224C49458BB}"/>
              </c:extLst>
            </c:dLbl>
            <c:dLbl>
              <c:idx val="6"/>
              <c:layout>
                <c:manualLayout>
                  <c:x val="-4.7987678687100507E-3"/>
                  <c:y val="1.2154128327785658E-2"/>
                </c:manualLayout>
              </c:layout>
              <c:tx>
                <c:rich>
                  <a:bodyPr/>
                  <a:lstStyle/>
                  <a:p>
                    <a:r>
                      <a:rPr lang="en-US"/>
                      <a:t>12,50 %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PCO!$G$56:$G$62</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PCO!$H$56:$H$62</c:f>
              <c:numCache>
                <c:formatCode>General</c:formatCode>
                <c:ptCount val="7"/>
                <c:pt idx="0">
                  <c:v>8</c:v>
                </c:pt>
                <c:pt idx="1">
                  <c:v>0</c:v>
                </c:pt>
                <c:pt idx="2">
                  <c:v>2</c:v>
                </c:pt>
                <c:pt idx="3">
                  <c:v>12</c:v>
                </c:pt>
                <c:pt idx="4">
                  <c:v>2</c:v>
                </c:pt>
                <c:pt idx="5">
                  <c:v>4</c:v>
                </c:pt>
                <c:pt idx="6">
                  <c:v>4</c:v>
                </c:pt>
              </c:numCache>
            </c:numRef>
          </c:val>
        </c:ser>
        <c:dLbls/>
        <c:firstSliceAng val="0"/>
      </c:pieChart>
    </c:plotArea>
    <c:legend>
      <c:legendPos val="r"/>
    </c:legend>
    <c:plotVisOnly val="1"/>
    <c:dispBlanksAs val="zero"/>
  </c:chart>
  <c:txPr>
    <a:bodyPr/>
    <a:lstStyle/>
    <a:p>
      <a:pPr>
        <a:defRPr strike="noStrike"/>
      </a:pPr>
      <a:endParaRPr lang="en-US"/>
    </a:p>
  </c:tx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PCO!$H$82</c:f>
              <c:strCache>
                <c:ptCount val="1"/>
                <c:pt idx="0">
                  <c:v>2012-2013</c:v>
                </c:pt>
              </c:strCache>
            </c:strRef>
          </c:tx>
          <c:spPr>
            <a:solidFill>
              <a:schemeClr val="bg1">
                <a:lumMod val="65000"/>
              </a:schemeClr>
            </a:solidFill>
          </c:spPr>
          <c:cat>
            <c:strRef>
              <c:f>PCO!$G$83:$G$84</c:f>
              <c:strCache>
                <c:ptCount val="2"/>
                <c:pt idx="0">
                  <c:v>Divulgation complète </c:v>
                </c:pt>
                <c:pt idx="1">
                  <c:v>Divulgation partielle </c:v>
                </c:pt>
              </c:strCache>
            </c:strRef>
          </c:cat>
          <c:val>
            <c:numRef>
              <c:f>PCO!$H$83:$H$84</c:f>
              <c:numCache>
                <c:formatCode>0.00%</c:formatCode>
                <c:ptCount val="2"/>
                <c:pt idx="0">
                  <c:v>4.827586206896535E-2</c:v>
                </c:pt>
                <c:pt idx="1">
                  <c:v>0.42344827586207007</c:v>
                </c:pt>
              </c:numCache>
            </c:numRef>
          </c:val>
        </c:ser>
        <c:ser>
          <c:idx val="1"/>
          <c:order val="1"/>
          <c:tx>
            <c:strRef>
              <c:f>PCO!$I$82</c:f>
              <c:strCache>
                <c:ptCount val="1"/>
                <c:pt idx="0">
                  <c:v>2013-2014</c:v>
                </c:pt>
              </c:strCache>
            </c:strRef>
          </c:tx>
          <c:spPr>
            <a:solidFill>
              <a:srgbClr val="FFC000"/>
            </a:solidFill>
          </c:spPr>
          <c:cat>
            <c:strRef>
              <c:f>PCO!$G$83:$G$84</c:f>
              <c:strCache>
                <c:ptCount val="2"/>
                <c:pt idx="0">
                  <c:v>Divulgation complète </c:v>
                </c:pt>
                <c:pt idx="1">
                  <c:v>Divulgation partielle </c:v>
                </c:pt>
              </c:strCache>
            </c:strRef>
          </c:cat>
          <c:val>
            <c:numRef>
              <c:f>PCO!$I$83:$I$84</c:f>
              <c:numCache>
                <c:formatCode>0.00%</c:formatCode>
                <c:ptCount val="2"/>
                <c:pt idx="0">
                  <c:v>2.072538860103627E-2</c:v>
                </c:pt>
                <c:pt idx="1">
                  <c:v>0.5336787564766855</c:v>
                </c:pt>
              </c:numCache>
            </c:numRef>
          </c:val>
        </c:ser>
        <c:ser>
          <c:idx val="2"/>
          <c:order val="2"/>
          <c:tx>
            <c:strRef>
              <c:f>PCO!$J$82</c:f>
              <c:strCache>
                <c:ptCount val="1"/>
                <c:pt idx="0">
                  <c:v>2014-2015</c:v>
                </c:pt>
              </c:strCache>
            </c:strRef>
          </c:tx>
          <c:spPr>
            <a:solidFill>
              <a:schemeClr val="accent5">
                <a:lumMod val="75000"/>
              </a:schemeClr>
            </a:solidFill>
          </c:spPr>
          <c:cat>
            <c:strRef>
              <c:f>PCO!$G$83:$G$84</c:f>
              <c:strCache>
                <c:ptCount val="2"/>
                <c:pt idx="0">
                  <c:v>Divulgation complète </c:v>
                </c:pt>
                <c:pt idx="1">
                  <c:v>Divulgation partielle </c:v>
                </c:pt>
              </c:strCache>
            </c:strRef>
          </c:cat>
          <c:val>
            <c:numRef>
              <c:f>PCO!$J$83:$J$84</c:f>
              <c:numCache>
                <c:formatCode>0.00%</c:formatCode>
                <c:ptCount val="2"/>
                <c:pt idx="0">
                  <c:v>4.5790251107828826E-2</c:v>
                </c:pt>
                <c:pt idx="1">
                  <c:v>0.58493353028064876</c:v>
                </c:pt>
              </c:numCache>
            </c:numRef>
          </c:val>
        </c:ser>
        <c:dLbls/>
        <c:axId val="254016128"/>
        <c:axId val="254022016"/>
      </c:barChart>
      <c:catAx>
        <c:axId val="254016128"/>
        <c:scaling>
          <c:orientation val="minMax"/>
        </c:scaling>
        <c:axPos val="b"/>
        <c:numFmt formatCode="General" sourceLinked="0"/>
        <c:tickLblPos val="nextTo"/>
        <c:crossAx val="254022016"/>
        <c:crosses val="autoZero"/>
        <c:auto val="1"/>
        <c:lblAlgn val="ctr"/>
        <c:lblOffset val="100"/>
      </c:catAx>
      <c:valAx>
        <c:axId val="254022016"/>
        <c:scaling>
          <c:orientation val="minMax"/>
        </c:scaling>
        <c:axPos val="l"/>
        <c:majorGridlines/>
        <c:numFmt formatCode="0%" sourceLinked="0"/>
        <c:tickLblPos val="nextTo"/>
        <c:crossAx val="254016128"/>
        <c:crosses val="autoZero"/>
        <c:crossBetween val="between"/>
      </c:valAx>
    </c:plotArea>
    <c:legend>
      <c:legendPos val="b"/>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CSC!$G$2</c:f>
              <c:strCache>
                <c:ptCount val="1"/>
                <c:pt idx="0">
                  <c:v>2012-2013</c:v>
                </c:pt>
              </c:strCache>
            </c:strRef>
          </c:tx>
          <c:spPr>
            <a:solidFill>
              <a:schemeClr val="bg1">
                <a:lumMod val="65000"/>
              </a:schemeClr>
            </a:solidFill>
          </c:spPr>
          <c:cat>
            <c:strRef>
              <c:f>CSC!$F$3:$F$8</c:f>
              <c:strCache>
                <c:ptCount val="6"/>
                <c:pt idx="0">
                  <c:v>30 jours ou moins</c:v>
                </c:pt>
                <c:pt idx="1">
                  <c:v>31 à 60 jours</c:v>
                </c:pt>
                <c:pt idx="2">
                  <c:v>61 à 120 jours</c:v>
                </c:pt>
                <c:pt idx="3">
                  <c:v>121 à 180 jours</c:v>
                </c:pt>
                <c:pt idx="4">
                  <c:v>181 à 365 jours</c:v>
                </c:pt>
                <c:pt idx="5">
                  <c:v>Plus de 365 jours</c:v>
                </c:pt>
              </c:strCache>
            </c:strRef>
          </c:cat>
          <c:val>
            <c:numRef>
              <c:f>CSC!$G$3:$G$8</c:f>
              <c:numCache>
                <c:formatCode>0.0%</c:formatCode>
                <c:ptCount val="6"/>
                <c:pt idx="0">
                  <c:v>0.73314606741573063</c:v>
                </c:pt>
                <c:pt idx="1">
                  <c:v>0.125</c:v>
                </c:pt>
                <c:pt idx="2">
                  <c:v>8.1460674157303334E-2</c:v>
                </c:pt>
                <c:pt idx="3">
                  <c:v>2.9494382022471986E-2</c:v>
                </c:pt>
                <c:pt idx="4">
                  <c:v>1.123595505617978E-2</c:v>
                </c:pt>
                <c:pt idx="5">
                  <c:v>1.9662921348314669E-2</c:v>
                </c:pt>
              </c:numCache>
            </c:numRef>
          </c:val>
        </c:ser>
        <c:ser>
          <c:idx val="1"/>
          <c:order val="1"/>
          <c:tx>
            <c:strRef>
              <c:f>CSC!$H$2</c:f>
              <c:strCache>
                <c:ptCount val="1"/>
                <c:pt idx="0">
                  <c:v>2013-2014</c:v>
                </c:pt>
              </c:strCache>
            </c:strRef>
          </c:tx>
          <c:spPr>
            <a:solidFill>
              <a:srgbClr val="FFC000"/>
            </a:solidFill>
          </c:spPr>
          <c:cat>
            <c:strRef>
              <c:f>CSC!$F$3:$F$8</c:f>
              <c:strCache>
                <c:ptCount val="6"/>
                <c:pt idx="0">
                  <c:v>30 jours ou moins</c:v>
                </c:pt>
                <c:pt idx="1">
                  <c:v>31 à 60 jours</c:v>
                </c:pt>
                <c:pt idx="2">
                  <c:v>61 à 120 jours</c:v>
                </c:pt>
                <c:pt idx="3">
                  <c:v>121 à 180 jours</c:v>
                </c:pt>
                <c:pt idx="4">
                  <c:v>181 à 365 jours</c:v>
                </c:pt>
                <c:pt idx="5">
                  <c:v>Plus de 365 jours</c:v>
                </c:pt>
              </c:strCache>
            </c:strRef>
          </c:cat>
          <c:val>
            <c:numRef>
              <c:f>CSC!$H$3:$H$8</c:f>
              <c:numCache>
                <c:formatCode>0.0%</c:formatCode>
                <c:ptCount val="6"/>
                <c:pt idx="0">
                  <c:v>0.66666666666666663</c:v>
                </c:pt>
                <c:pt idx="1">
                  <c:v>0.13106796116504854</c:v>
                </c:pt>
                <c:pt idx="2">
                  <c:v>0.11326860841423973</c:v>
                </c:pt>
                <c:pt idx="3">
                  <c:v>4.6925566343042069E-2</c:v>
                </c:pt>
                <c:pt idx="4">
                  <c:v>2.2653721682847953E-2</c:v>
                </c:pt>
                <c:pt idx="5">
                  <c:v>1.9417475728155387E-2</c:v>
                </c:pt>
              </c:numCache>
            </c:numRef>
          </c:val>
        </c:ser>
        <c:ser>
          <c:idx val="2"/>
          <c:order val="2"/>
          <c:tx>
            <c:strRef>
              <c:f>CSC!$I$2</c:f>
              <c:strCache>
                <c:ptCount val="1"/>
                <c:pt idx="0">
                  <c:v>2014-2015</c:v>
                </c:pt>
              </c:strCache>
            </c:strRef>
          </c:tx>
          <c:spPr>
            <a:solidFill>
              <a:schemeClr val="accent5">
                <a:lumMod val="75000"/>
              </a:schemeClr>
            </a:solidFill>
          </c:spPr>
          <c:cat>
            <c:strRef>
              <c:f>CSC!$F$3:$F$8</c:f>
              <c:strCache>
                <c:ptCount val="6"/>
                <c:pt idx="0">
                  <c:v>30 jours ou moins</c:v>
                </c:pt>
                <c:pt idx="1">
                  <c:v>31 à 60 jours</c:v>
                </c:pt>
                <c:pt idx="2">
                  <c:v>61 à 120 jours</c:v>
                </c:pt>
                <c:pt idx="3">
                  <c:v>121 à 180 jours</c:v>
                </c:pt>
                <c:pt idx="4">
                  <c:v>181 à 365 jours</c:v>
                </c:pt>
                <c:pt idx="5">
                  <c:v>Plus de 365 jours</c:v>
                </c:pt>
              </c:strCache>
            </c:strRef>
          </c:cat>
          <c:val>
            <c:numRef>
              <c:f>CSC!$I$3:$I$8</c:f>
              <c:numCache>
                <c:formatCode>0.0%</c:formatCode>
                <c:ptCount val="6"/>
                <c:pt idx="0">
                  <c:v>0.59381044487427459</c:v>
                </c:pt>
                <c:pt idx="1">
                  <c:v>0.18181818181818227</c:v>
                </c:pt>
                <c:pt idx="2">
                  <c:v>0.13152804642166344</c:v>
                </c:pt>
                <c:pt idx="3">
                  <c:v>3.2882011605415942E-2</c:v>
                </c:pt>
                <c:pt idx="4">
                  <c:v>2.7079303675048454E-2</c:v>
                </c:pt>
                <c:pt idx="5">
                  <c:v>3.2882011605415942E-2</c:v>
                </c:pt>
              </c:numCache>
            </c:numRef>
          </c:val>
        </c:ser>
        <c:dLbls/>
        <c:axId val="254044032"/>
        <c:axId val="254045568"/>
      </c:barChart>
      <c:catAx>
        <c:axId val="254044032"/>
        <c:scaling>
          <c:orientation val="minMax"/>
        </c:scaling>
        <c:axPos val="b"/>
        <c:numFmt formatCode="General" sourceLinked="0"/>
        <c:tickLblPos val="nextTo"/>
        <c:crossAx val="254045568"/>
        <c:crosses val="autoZero"/>
        <c:auto val="1"/>
        <c:lblAlgn val="ctr"/>
        <c:lblOffset val="100"/>
      </c:catAx>
      <c:valAx>
        <c:axId val="254045568"/>
        <c:scaling>
          <c:orientation val="minMax"/>
        </c:scaling>
        <c:axPos val="l"/>
        <c:majorGridlines/>
        <c:numFmt formatCode="0%" sourceLinked="0"/>
        <c:tickLblPos val="nextTo"/>
        <c:crossAx val="254044032"/>
        <c:crosses val="autoZero"/>
        <c:crossBetween val="between"/>
      </c:valAx>
    </c:plotArea>
    <c:legend>
      <c:legendPos val="b"/>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CSC!$H$29</c:f>
              <c:strCache>
                <c:ptCount val="1"/>
                <c:pt idx="0">
                  <c:v>2012-2013</c:v>
                </c:pt>
              </c:strCache>
            </c:strRef>
          </c:tx>
          <c:spPr>
            <a:solidFill>
              <a:schemeClr val="bg1">
                <a:lumMod val="65000"/>
              </a:schemeClr>
            </a:solidFill>
          </c:spPr>
          <c:cat>
            <c:strRef>
              <c:f>CSC!$G$30:$G$35</c:f>
              <c:strCache>
                <c:ptCount val="6"/>
                <c:pt idx="0">
                  <c:v>30 jours ou moins</c:v>
                </c:pt>
                <c:pt idx="1">
                  <c:v>31 à 60 jours</c:v>
                </c:pt>
                <c:pt idx="2">
                  <c:v>61 à 120 jours</c:v>
                </c:pt>
                <c:pt idx="3">
                  <c:v>121 à 180 jours</c:v>
                </c:pt>
                <c:pt idx="4">
                  <c:v>181 à 365 jours</c:v>
                </c:pt>
                <c:pt idx="5">
                  <c:v>Plus de 365 jours</c:v>
                </c:pt>
              </c:strCache>
            </c:strRef>
          </c:cat>
          <c:val>
            <c:numRef>
              <c:f>CSC!$H$30:$H$35</c:f>
              <c:numCache>
                <c:formatCode>0.00%</c:formatCode>
                <c:ptCount val="6"/>
                <c:pt idx="0">
                  <c:v>0.52229299363057446</c:v>
                </c:pt>
                <c:pt idx="1">
                  <c:v>0.22929936305732551</c:v>
                </c:pt>
                <c:pt idx="2">
                  <c:v>0.19108280254777071</c:v>
                </c:pt>
                <c:pt idx="3">
                  <c:v>5.0955414012738974E-2</c:v>
                </c:pt>
                <c:pt idx="4">
                  <c:v>6.3694267515923692E-3</c:v>
                </c:pt>
                <c:pt idx="5">
                  <c:v>0</c:v>
                </c:pt>
              </c:numCache>
            </c:numRef>
          </c:val>
        </c:ser>
        <c:ser>
          <c:idx val="1"/>
          <c:order val="1"/>
          <c:tx>
            <c:strRef>
              <c:f>CSC!$I$29</c:f>
              <c:strCache>
                <c:ptCount val="1"/>
                <c:pt idx="0">
                  <c:v>2013-2014</c:v>
                </c:pt>
              </c:strCache>
            </c:strRef>
          </c:tx>
          <c:spPr>
            <a:solidFill>
              <a:srgbClr val="FFC000"/>
            </a:solidFill>
          </c:spPr>
          <c:cat>
            <c:strRef>
              <c:f>CSC!$G$30:$G$35</c:f>
              <c:strCache>
                <c:ptCount val="6"/>
                <c:pt idx="0">
                  <c:v>30 jours ou moins</c:v>
                </c:pt>
                <c:pt idx="1">
                  <c:v>31 à 60 jours</c:v>
                </c:pt>
                <c:pt idx="2">
                  <c:v>61 à 120 jours</c:v>
                </c:pt>
                <c:pt idx="3">
                  <c:v>121 à 180 jours</c:v>
                </c:pt>
                <c:pt idx="4">
                  <c:v>181 à 365 jours</c:v>
                </c:pt>
                <c:pt idx="5">
                  <c:v>Plus de 365 jours</c:v>
                </c:pt>
              </c:strCache>
            </c:strRef>
          </c:cat>
          <c:val>
            <c:numRef>
              <c:f>CSC!$I$30:$I$35</c:f>
              <c:numCache>
                <c:formatCode>0.00%</c:formatCode>
                <c:ptCount val="6"/>
                <c:pt idx="0">
                  <c:v>0.329896907216496</c:v>
                </c:pt>
                <c:pt idx="1">
                  <c:v>0.29381443298969201</c:v>
                </c:pt>
                <c:pt idx="2">
                  <c:v>0.32474226804123718</c:v>
                </c:pt>
                <c:pt idx="3">
                  <c:v>2.5773195876288658E-2</c:v>
                </c:pt>
                <c:pt idx="4">
                  <c:v>2.0618556701030927E-2</c:v>
                </c:pt>
                <c:pt idx="5">
                  <c:v>5.1546391752577319E-3</c:v>
                </c:pt>
              </c:numCache>
            </c:numRef>
          </c:val>
        </c:ser>
        <c:ser>
          <c:idx val="2"/>
          <c:order val="2"/>
          <c:tx>
            <c:strRef>
              <c:f>CSC!$J$29</c:f>
              <c:strCache>
                <c:ptCount val="1"/>
                <c:pt idx="0">
                  <c:v>2014-2015</c:v>
                </c:pt>
              </c:strCache>
            </c:strRef>
          </c:tx>
          <c:spPr>
            <a:solidFill>
              <a:schemeClr val="accent5">
                <a:lumMod val="75000"/>
              </a:schemeClr>
            </a:solidFill>
          </c:spPr>
          <c:cat>
            <c:strRef>
              <c:f>CSC!$G$30:$G$35</c:f>
              <c:strCache>
                <c:ptCount val="6"/>
                <c:pt idx="0">
                  <c:v>30 jours ou moins</c:v>
                </c:pt>
                <c:pt idx="1">
                  <c:v>31 à 60 jours</c:v>
                </c:pt>
                <c:pt idx="2">
                  <c:v>61 à 120 jours</c:v>
                </c:pt>
                <c:pt idx="3">
                  <c:v>121 à 180 jours</c:v>
                </c:pt>
                <c:pt idx="4">
                  <c:v>181 à 365 jours</c:v>
                </c:pt>
                <c:pt idx="5">
                  <c:v>Plus de 365 jours</c:v>
                </c:pt>
              </c:strCache>
            </c:strRef>
          </c:cat>
          <c:val>
            <c:numRef>
              <c:f>CSC!$J$30:$J$35</c:f>
              <c:numCache>
                <c:formatCode>0.00%</c:formatCode>
                <c:ptCount val="6"/>
                <c:pt idx="0">
                  <c:v>0.55813953488372092</c:v>
                </c:pt>
                <c:pt idx="1">
                  <c:v>0.23255813953488391</c:v>
                </c:pt>
                <c:pt idx="2">
                  <c:v>0.18604651162790728</c:v>
                </c:pt>
                <c:pt idx="3">
                  <c:v>1.7441860465116314E-2</c:v>
                </c:pt>
                <c:pt idx="4">
                  <c:v>5.8139534883721042E-3</c:v>
                </c:pt>
                <c:pt idx="5">
                  <c:v>0</c:v>
                </c:pt>
              </c:numCache>
            </c:numRef>
          </c:val>
        </c:ser>
        <c:dLbls/>
        <c:axId val="254084608"/>
        <c:axId val="254086144"/>
      </c:barChart>
      <c:catAx>
        <c:axId val="254084608"/>
        <c:scaling>
          <c:orientation val="minMax"/>
        </c:scaling>
        <c:axPos val="b"/>
        <c:numFmt formatCode="General" sourceLinked="0"/>
        <c:tickLblPos val="nextTo"/>
        <c:crossAx val="254086144"/>
        <c:crosses val="autoZero"/>
        <c:auto val="1"/>
        <c:lblAlgn val="ctr"/>
        <c:lblOffset val="100"/>
      </c:catAx>
      <c:valAx>
        <c:axId val="254086144"/>
        <c:scaling>
          <c:orientation val="minMax"/>
        </c:scaling>
        <c:axPos val="l"/>
        <c:majorGridlines/>
        <c:numFmt formatCode="0%" sourceLinked="0"/>
        <c:tickLblPos val="nextTo"/>
        <c:crossAx val="254084608"/>
        <c:crosses val="autoZero"/>
        <c:crossBetween val="between"/>
      </c:valAx>
    </c:plotArea>
    <c:legend>
      <c:legendPos val="b"/>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CSC!$H$54</c:f>
              <c:strCache>
                <c:ptCount val="1"/>
                <c:pt idx="0">
                  <c:v>2014-2015</c:v>
                </c:pt>
              </c:strCache>
            </c:strRef>
          </c:tx>
          <c:dPt>
            <c:idx val="0"/>
            <c:spPr>
              <a:solidFill>
                <a:schemeClr val="accent5">
                  <a:lumMod val="75000"/>
                </a:schemeClr>
              </a:solidFill>
            </c:spPr>
          </c:dPt>
          <c:dPt>
            <c:idx val="2"/>
            <c:spPr>
              <a:solidFill>
                <a:srgbClr val="FFC000"/>
              </a:solidFill>
            </c:spPr>
          </c:dPt>
          <c:dPt>
            <c:idx val="3"/>
            <c:spPr>
              <a:solidFill>
                <a:schemeClr val="tx2">
                  <a:lumMod val="50000"/>
                </a:schemeClr>
              </a:solidFill>
            </c:spPr>
          </c:dPt>
          <c:dPt>
            <c:idx val="4"/>
            <c:spPr>
              <a:solidFill>
                <a:schemeClr val="bg1">
                  <a:lumMod val="50000"/>
                </a:schemeClr>
              </a:solidFill>
            </c:spPr>
          </c:dPt>
          <c:dPt>
            <c:idx val="5"/>
            <c:spPr>
              <a:solidFill>
                <a:schemeClr val="accent6">
                  <a:lumMod val="50000"/>
                </a:schemeClr>
              </a:solidFill>
            </c:spPr>
          </c:dPt>
          <c:dPt>
            <c:idx val="6"/>
            <c:spPr>
              <a:solidFill>
                <a:schemeClr val="accent5">
                  <a:lumMod val="60000"/>
                  <a:lumOff val="40000"/>
                </a:schemeClr>
              </a:solidFill>
            </c:spPr>
          </c:dPt>
          <c:dLbls>
            <c:dLbl>
              <c:idx val="0"/>
              <c:layout>
                <c:manualLayout>
                  <c:x val="-1.4225923542891605E-2"/>
                  <c:y val="-3.3062743902348625E-2"/>
                </c:manualLayout>
              </c:layout>
              <c:tx>
                <c:rich>
                  <a:bodyPr/>
                  <a:lstStyle/>
                  <a:p>
                    <a:r>
                      <a:rPr lang="en-US"/>
                      <a:t>30,77 %</a:t>
                    </a:r>
                  </a:p>
                </c:rich>
              </c:tx>
              <c:showPercent val="1"/>
              <c:extLst>
                <c:ext xmlns:c15="http://schemas.microsoft.com/office/drawing/2012/chart" uri="{CE6537A1-D6FC-4f65-9D91-7224C49458BB}"/>
              </c:extLst>
            </c:dLbl>
            <c:dLbl>
              <c:idx val="1"/>
              <c:layout>
                <c:manualLayout>
                  <c:x val="1.2262979069119927E-2"/>
                  <c:y val="-1.1107640959929471E-2"/>
                </c:manualLayout>
              </c:layout>
              <c:tx>
                <c:rich>
                  <a:bodyPr/>
                  <a:lstStyle/>
                  <a:p>
                    <a:r>
                      <a:rPr lang="en-US"/>
                      <a:t>16,24 %</a:t>
                    </a:r>
                  </a:p>
                </c:rich>
              </c:tx>
              <c:showPercent val="1"/>
              <c:extLst>
                <c:ext xmlns:c15="http://schemas.microsoft.com/office/drawing/2012/chart" uri="{CE6537A1-D6FC-4f65-9D91-7224C49458BB}"/>
              </c:extLst>
            </c:dLbl>
            <c:dLbl>
              <c:idx val="2"/>
              <c:layout>
                <c:manualLayout>
                  <c:x val="1.9154358010725719E-2"/>
                  <c:y val="4.8658163368677796E-3"/>
                </c:manualLayout>
              </c:layout>
              <c:tx>
                <c:rich>
                  <a:bodyPr/>
                  <a:lstStyle/>
                  <a:p>
                    <a:r>
                      <a:rPr lang="en-US"/>
                      <a:t>15,38 %</a:t>
                    </a:r>
                  </a:p>
                </c:rich>
              </c:tx>
              <c:showPercent val="1"/>
              <c:extLst>
                <c:ext xmlns:c15="http://schemas.microsoft.com/office/drawing/2012/chart" uri="{CE6537A1-D6FC-4f65-9D91-7224C49458BB}"/>
              </c:extLst>
            </c:dLbl>
            <c:dLbl>
              <c:idx val="3"/>
              <c:layout>
                <c:manualLayout>
                  <c:x val="1.1308808832371374E-3"/>
                  <c:y val="3.0124179250220026E-2"/>
                </c:manualLayout>
              </c:layout>
              <c:tx>
                <c:rich>
                  <a:bodyPr/>
                  <a:lstStyle/>
                  <a:p>
                    <a:r>
                      <a:rPr lang="en-US"/>
                      <a:t>13,68 %</a:t>
                    </a:r>
                  </a:p>
                </c:rich>
              </c:tx>
              <c:showPercent val="1"/>
              <c:extLst>
                <c:ext xmlns:c15="http://schemas.microsoft.com/office/drawing/2012/chart" uri="{CE6537A1-D6FC-4f65-9D91-7224C49458BB}"/>
              </c:extLst>
            </c:dLbl>
            <c:dLbl>
              <c:idx val="4"/>
              <c:layout>
                <c:manualLayout>
                  <c:x val="-2.7499365269924234E-3"/>
                  <c:y val="-4.0179349148906988E-4"/>
                </c:manualLayout>
              </c:layout>
              <c:tx>
                <c:rich>
                  <a:bodyPr/>
                  <a:lstStyle/>
                  <a:p>
                    <a:r>
                      <a:rPr lang="en-US"/>
                      <a:t>4,27 %</a:t>
                    </a:r>
                  </a:p>
                </c:rich>
              </c:tx>
              <c:showPercent val="1"/>
              <c:extLst>
                <c:ext xmlns:c15="http://schemas.microsoft.com/office/drawing/2012/chart" uri="{CE6537A1-D6FC-4f65-9D91-7224C49458BB}"/>
              </c:extLst>
            </c:dLbl>
            <c:dLbl>
              <c:idx val="5"/>
              <c:layout>
                <c:manualLayout>
                  <c:x val="1.0947317024616416E-3"/>
                  <c:y val="-5.8479734454367875E-3"/>
                </c:manualLayout>
              </c:layout>
              <c:tx>
                <c:rich>
                  <a:bodyPr/>
                  <a:lstStyle/>
                  <a:p>
                    <a:r>
                      <a:rPr lang="en-US"/>
                      <a:t>9,40 %</a:t>
                    </a:r>
                  </a:p>
                </c:rich>
              </c:tx>
              <c:showPercent val="1"/>
              <c:extLst>
                <c:ext xmlns:c15="http://schemas.microsoft.com/office/drawing/2012/chart" uri="{CE6537A1-D6FC-4f65-9D91-7224C49458BB}"/>
              </c:extLst>
            </c:dLbl>
            <c:dLbl>
              <c:idx val="6"/>
              <c:layout>
                <c:manualLayout>
                  <c:x val="2.5382056245683324E-2"/>
                  <c:y val="-9.2046034630241941E-3"/>
                </c:manualLayout>
              </c:layout>
              <c:tx>
                <c:rich>
                  <a:bodyPr/>
                  <a:lstStyle/>
                  <a:p>
                    <a:r>
                      <a:rPr lang="en-US"/>
                      <a:t>10,26 %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CSC!$G$55:$G$61</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CSC!$H$55:$H$61</c:f>
              <c:numCache>
                <c:formatCode>General</c:formatCode>
                <c:ptCount val="7"/>
                <c:pt idx="0">
                  <c:v>36</c:v>
                </c:pt>
                <c:pt idx="1">
                  <c:v>19</c:v>
                </c:pt>
                <c:pt idx="2">
                  <c:v>18</c:v>
                </c:pt>
                <c:pt idx="3">
                  <c:v>16</c:v>
                </c:pt>
                <c:pt idx="4">
                  <c:v>5</c:v>
                </c:pt>
                <c:pt idx="5">
                  <c:v>11</c:v>
                </c:pt>
                <c:pt idx="6">
                  <c:v>12</c:v>
                </c:pt>
              </c:numCache>
            </c:numRef>
          </c:val>
        </c:ser>
        <c:dLbls/>
        <c:firstSliceAng val="0"/>
      </c:pieChart>
    </c:plotArea>
    <c:legend>
      <c:legendPos val="r"/>
    </c:legend>
    <c:plotVisOnly val="1"/>
    <c:dispBlanksAs val="zero"/>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CSC!$H$81</c:f>
              <c:strCache>
                <c:ptCount val="1"/>
                <c:pt idx="0">
                  <c:v>2012-2013</c:v>
                </c:pt>
              </c:strCache>
            </c:strRef>
          </c:tx>
          <c:spPr>
            <a:solidFill>
              <a:schemeClr val="bg1">
                <a:lumMod val="65000"/>
              </a:schemeClr>
            </a:solidFill>
          </c:spPr>
          <c:cat>
            <c:strRef>
              <c:f>CSC!$G$82:$G$83</c:f>
              <c:strCache>
                <c:ptCount val="2"/>
                <c:pt idx="0">
                  <c:v>Divulgation complète </c:v>
                </c:pt>
                <c:pt idx="1">
                  <c:v>Divulgation partielle </c:v>
                </c:pt>
              </c:strCache>
            </c:strRef>
          </c:cat>
          <c:val>
            <c:numRef>
              <c:f>CSC!$H$82:$H$83</c:f>
              <c:numCache>
                <c:formatCode>0.00%</c:formatCode>
                <c:ptCount val="2"/>
                <c:pt idx="0">
                  <c:v>0.25280898876404612</c:v>
                </c:pt>
                <c:pt idx="1">
                  <c:v>0.3609550561797753</c:v>
                </c:pt>
              </c:numCache>
            </c:numRef>
          </c:val>
        </c:ser>
        <c:ser>
          <c:idx val="1"/>
          <c:order val="1"/>
          <c:tx>
            <c:strRef>
              <c:f>CSC!$I$81</c:f>
              <c:strCache>
                <c:ptCount val="1"/>
                <c:pt idx="0">
                  <c:v>2013-2014</c:v>
                </c:pt>
              </c:strCache>
            </c:strRef>
          </c:tx>
          <c:spPr>
            <a:solidFill>
              <a:srgbClr val="FFC000"/>
            </a:solidFill>
          </c:spPr>
          <c:cat>
            <c:strRef>
              <c:f>CSC!$G$82:$G$83</c:f>
              <c:strCache>
                <c:ptCount val="2"/>
                <c:pt idx="0">
                  <c:v>Divulgation complète </c:v>
                </c:pt>
                <c:pt idx="1">
                  <c:v>Divulgation partielle </c:v>
                </c:pt>
              </c:strCache>
            </c:strRef>
          </c:cat>
          <c:val>
            <c:numRef>
              <c:f>CSC!$I$82:$I$83</c:f>
              <c:numCache>
                <c:formatCode>0.00%</c:formatCode>
                <c:ptCount val="2"/>
                <c:pt idx="0">
                  <c:v>0.22330097087378617</c:v>
                </c:pt>
                <c:pt idx="1">
                  <c:v>0.36407766990291396</c:v>
                </c:pt>
              </c:numCache>
            </c:numRef>
          </c:val>
        </c:ser>
        <c:ser>
          <c:idx val="2"/>
          <c:order val="2"/>
          <c:tx>
            <c:strRef>
              <c:f>CSC!$J$81</c:f>
              <c:strCache>
                <c:ptCount val="1"/>
                <c:pt idx="0">
                  <c:v>2014-2015</c:v>
                </c:pt>
              </c:strCache>
            </c:strRef>
          </c:tx>
          <c:spPr>
            <a:solidFill>
              <a:schemeClr val="accent5">
                <a:lumMod val="75000"/>
              </a:schemeClr>
            </a:solidFill>
          </c:spPr>
          <c:cat>
            <c:strRef>
              <c:f>CSC!$G$82:$G$83</c:f>
              <c:strCache>
                <c:ptCount val="2"/>
                <c:pt idx="0">
                  <c:v>Divulgation complète </c:v>
                </c:pt>
                <c:pt idx="1">
                  <c:v>Divulgation partielle </c:v>
                </c:pt>
              </c:strCache>
            </c:strRef>
          </c:cat>
          <c:val>
            <c:numRef>
              <c:f>CSC!$J$82:$J$83</c:f>
              <c:numCache>
                <c:formatCode>0.00%</c:formatCode>
                <c:ptCount val="2"/>
                <c:pt idx="0">
                  <c:v>0.23791102514506804</c:v>
                </c:pt>
                <c:pt idx="1">
                  <c:v>0.34235976789168376</c:v>
                </c:pt>
              </c:numCache>
            </c:numRef>
          </c:val>
        </c:ser>
        <c:dLbls/>
        <c:axId val="254170240"/>
        <c:axId val="254171776"/>
      </c:barChart>
      <c:catAx>
        <c:axId val="254170240"/>
        <c:scaling>
          <c:orientation val="minMax"/>
        </c:scaling>
        <c:axPos val="b"/>
        <c:numFmt formatCode="General" sourceLinked="0"/>
        <c:tickLblPos val="nextTo"/>
        <c:crossAx val="254171776"/>
        <c:crosses val="autoZero"/>
        <c:auto val="1"/>
        <c:lblAlgn val="ctr"/>
        <c:lblOffset val="100"/>
      </c:catAx>
      <c:valAx>
        <c:axId val="254171776"/>
        <c:scaling>
          <c:orientation val="minMax"/>
        </c:scaling>
        <c:axPos val="l"/>
        <c:majorGridlines/>
        <c:numFmt formatCode="0%" sourceLinked="0"/>
        <c:tickLblPos val="nextTo"/>
        <c:crossAx val="254170240"/>
        <c:crosses val="autoZero"/>
        <c:crossBetween val="between"/>
      </c:valAx>
    </c:plotArea>
    <c:legend>
      <c:legendPos val="b"/>
    </c:legend>
    <c:plotVisOnly val="1"/>
    <c:dispBlanksAs val="gap"/>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JUS!$G$2</c:f>
              <c:strCache>
                <c:ptCount val="1"/>
                <c:pt idx="0">
                  <c:v>2012-2013</c:v>
                </c:pt>
              </c:strCache>
            </c:strRef>
          </c:tx>
          <c:spPr>
            <a:solidFill>
              <a:schemeClr val="bg1">
                <a:lumMod val="65000"/>
              </a:schemeClr>
            </a:solidFill>
          </c:spPr>
          <c:cat>
            <c:strRef>
              <c:f>JUS!$F$3:$F$8</c:f>
              <c:strCache>
                <c:ptCount val="6"/>
                <c:pt idx="0">
                  <c:v>30 jours ou moins</c:v>
                </c:pt>
                <c:pt idx="1">
                  <c:v>31 à 60 jours</c:v>
                </c:pt>
                <c:pt idx="2">
                  <c:v>61 à 120 jours</c:v>
                </c:pt>
                <c:pt idx="3">
                  <c:v>121 à 180 jours</c:v>
                </c:pt>
                <c:pt idx="4">
                  <c:v>181 à 365 jours</c:v>
                </c:pt>
                <c:pt idx="5">
                  <c:v>Plus de 365 jours</c:v>
                </c:pt>
              </c:strCache>
            </c:strRef>
          </c:cat>
          <c:val>
            <c:numRef>
              <c:f>JUS!$G$3:$G$8</c:f>
              <c:numCache>
                <c:formatCode>0.00%</c:formatCode>
                <c:ptCount val="6"/>
                <c:pt idx="0">
                  <c:v>0.72136222910216596</c:v>
                </c:pt>
                <c:pt idx="1">
                  <c:v>6.1919504643962862E-2</c:v>
                </c:pt>
                <c:pt idx="2">
                  <c:v>6.5015479876161034E-2</c:v>
                </c:pt>
                <c:pt idx="3">
                  <c:v>3.7151702786377819E-2</c:v>
                </c:pt>
                <c:pt idx="4">
                  <c:v>5.8823529411764705E-2</c:v>
                </c:pt>
                <c:pt idx="5">
                  <c:v>5.5727554179566582E-2</c:v>
                </c:pt>
              </c:numCache>
            </c:numRef>
          </c:val>
        </c:ser>
        <c:ser>
          <c:idx val="1"/>
          <c:order val="1"/>
          <c:tx>
            <c:strRef>
              <c:f>JUS!$H$2</c:f>
              <c:strCache>
                <c:ptCount val="1"/>
                <c:pt idx="0">
                  <c:v>2013-2014</c:v>
                </c:pt>
              </c:strCache>
            </c:strRef>
          </c:tx>
          <c:spPr>
            <a:solidFill>
              <a:srgbClr val="FFC000"/>
            </a:solidFill>
          </c:spPr>
          <c:cat>
            <c:strRef>
              <c:f>JUS!$F$3:$F$8</c:f>
              <c:strCache>
                <c:ptCount val="6"/>
                <c:pt idx="0">
                  <c:v>30 jours ou moins</c:v>
                </c:pt>
                <c:pt idx="1">
                  <c:v>31 à 60 jours</c:v>
                </c:pt>
                <c:pt idx="2">
                  <c:v>61 à 120 jours</c:v>
                </c:pt>
                <c:pt idx="3">
                  <c:v>121 à 180 jours</c:v>
                </c:pt>
                <c:pt idx="4">
                  <c:v>181 à 365 jours</c:v>
                </c:pt>
                <c:pt idx="5">
                  <c:v>Plus de 365 jours</c:v>
                </c:pt>
              </c:strCache>
            </c:strRef>
          </c:cat>
          <c:val>
            <c:numRef>
              <c:f>JUS!$H$3:$H$8</c:f>
              <c:numCache>
                <c:formatCode>0.00%</c:formatCode>
                <c:ptCount val="6"/>
                <c:pt idx="0">
                  <c:v>0.7196969696969695</c:v>
                </c:pt>
                <c:pt idx="1">
                  <c:v>9.0909090909091064E-2</c:v>
                </c:pt>
                <c:pt idx="2">
                  <c:v>7.0075757575757555E-2</c:v>
                </c:pt>
                <c:pt idx="3">
                  <c:v>3.7878787878787942E-2</c:v>
                </c:pt>
                <c:pt idx="4">
                  <c:v>4.7348484848484966E-2</c:v>
                </c:pt>
                <c:pt idx="5">
                  <c:v>3.4090909090909095E-2</c:v>
                </c:pt>
              </c:numCache>
            </c:numRef>
          </c:val>
        </c:ser>
        <c:ser>
          <c:idx val="2"/>
          <c:order val="2"/>
          <c:tx>
            <c:strRef>
              <c:f>JUS!$I$2</c:f>
              <c:strCache>
                <c:ptCount val="1"/>
                <c:pt idx="0">
                  <c:v>2014-2015</c:v>
                </c:pt>
              </c:strCache>
            </c:strRef>
          </c:tx>
          <c:spPr>
            <a:solidFill>
              <a:schemeClr val="accent5">
                <a:lumMod val="75000"/>
              </a:schemeClr>
            </a:solidFill>
          </c:spPr>
          <c:cat>
            <c:strRef>
              <c:f>JUS!$F$3:$F$8</c:f>
              <c:strCache>
                <c:ptCount val="6"/>
                <c:pt idx="0">
                  <c:v>30 jours ou moins</c:v>
                </c:pt>
                <c:pt idx="1">
                  <c:v>31 à 60 jours</c:v>
                </c:pt>
                <c:pt idx="2">
                  <c:v>61 à 120 jours</c:v>
                </c:pt>
                <c:pt idx="3">
                  <c:v>121 à 180 jours</c:v>
                </c:pt>
                <c:pt idx="4">
                  <c:v>181 à 365 jours</c:v>
                </c:pt>
                <c:pt idx="5">
                  <c:v>Plus de 365 jours</c:v>
                </c:pt>
              </c:strCache>
            </c:strRef>
          </c:cat>
          <c:val>
            <c:numRef>
              <c:f>JUS!$I$3:$I$8</c:f>
              <c:numCache>
                <c:formatCode>0.00%</c:formatCode>
                <c:ptCount val="6"/>
                <c:pt idx="0">
                  <c:v>0.74410163339383195</c:v>
                </c:pt>
                <c:pt idx="1">
                  <c:v>9.0744101633393845E-2</c:v>
                </c:pt>
                <c:pt idx="2">
                  <c:v>7.8039927404718823E-2</c:v>
                </c:pt>
                <c:pt idx="3">
                  <c:v>3.0852994555353966E-2</c:v>
                </c:pt>
                <c:pt idx="4">
                  <c:v>1.9963702359346649E-2</c:v>
                </c:pt>
                <c:pt idx="5">
                  <c:v>3.6297640653357603E-2</c:v>
                </c:pt>
              </c:numCache>
            </c:numRef>
          </c:val>
        </c:ser>
        <c:dLbls/>
        <c:axId val="254280448"/>
        <c:axId val="254281984"/>
      </c:barChart>
      <c:catAx>
        <c:axId val="254280448"/>
        <c:scaling>
          <c:orientation val="minMax"/>
        </c:scaling>
        <c:axPos val="b"/>
        <c:numFmt formatCode="General" sourceLinked="0"/>
        <c:tickLblPos val="nextTo"/>
        <c:crossAx val="254281984"/>
        <c:crosses val="autoZero"/>
        <c:auto val="1"/>
        <c:lblAlgn val="ctr"/>
        <c:lblOffset val="100"/>
      </c:catAx>
      <c:valAx>
        <c:axId val="254281984"/>
        <c:scaling>
          <c:orientation val="minMax"/>
        </c:scaling>
        <c:axPos val="l"/>
        <c:majorGridlines/>
        <c:numFmt formatCode="0%" sourceLinked="0"/>
        <c:tickLblPos val="nextTo"/>
        <c:crossAx val="254280448"/>
        <c:crosses val="autoZero"/>
        <c:crossBetween val="between"/>
      </c:valAx>
    </c:plotArea>
    <c:legend>
      <c:legendPos val="b"/>
    </c:legend>
    <c:plotVisOnly val="1"/>
    <c:dispBlanksAs val="gap"/>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JUS!$H$31</c:f>
              <c:strCache>
                <c:ptCount val="1"/>
                <c:pt idx="0">
                  <c:v>2012-2013</c:v>
                </c:pt>
              </c:strCache>
            </c:strRef>
          </c:tx>
          <c:spPr>
            <a:solidFill>
              <a:schemeClr val="bg1">
                <a:lumMod val="65000"/>
              </a:schemeClr>
            </a:solidFill>
          </c:spPr>
          <c:cat>
            <c:strRef>
              <c:f>JUS!$G$32:$G$37</c:f>
              <c:strCache>
                <c:ptCount val="6"/>
                <c:pt idx="0">
                  <c:v>30 jours ou moins</c:v>
                </c:pt>
                <c:pt idx="1">
                  <c:v>31 à 60 jours</c:v>
                </c:pt>
                <c:pt idx="2">
                  <c:v>61 à 120 jours</c:v>
                </c:pt>
                <c:pt idx="3">
                  <c:v>121 à 180 jours</c:v>
                </c:pt>
                <c:pt idx="4">
                  <c:v>181 à 365 jours</c:v>
                </c:pt>
                <c:pt idx="5">
                  <c:v>Plus de 365 jours</c:v>
                </c:pt>
              </c:strCache>
            </c:strRef>
          </c:cat>
          <c:val>
            <c:numRef>
              <c:f>JUS!$H$32:$H$37</c:f>
              <c:numCache>
                <c:formatCode>0.00%</c:formatCode>
                <c:ptCount val="6"/>
                <c:pt idx="0">
                  <c:v>0.29629629629629628</c:v>
                </c:pt>
                <c:pt idx="1">
                  <c:v>0.17283950617283975</c:v>
                </c:pt>
                <c:pt idx="2">
                  <c:v>0.12345679012345678</c:v>
                </c:pt>
                <c:pt idx="3">
                  <c:v>0.29629629629629628</c:v>
                </c:pt>
                <c:pt idx="4">
                  <c:v>9.876543209876569E-2</c:v>
                </c:pt>
                <c:pt idx="5">
                  <c:v>1.2345679012345703E-2</c:v>
                </c:pt>
              </c:numCache>
            </c:numRef>
          </c:val>
        </c:ser>
        <c:ser>
          <c:idx val="1"/>
          <c:order val="1"/>
          <c:tx>
            <c:strRef>
              <c:f>JUS!$I$31</c:f>
              <c:strCache>
                <c:ptCount val="1"/>
                <c:pt idx="0">
                  <c:v>2013-2014</c:v>
                </c:pt>
              </c:strCache>
            </c:strRef>
          </c:tx>
          <c:spPr>
            <a:solidFill>
              <a:srgbClr val="FFC000"/>
            </a:solidFill>
          </c:spPr>
          <c:cat>
            <c:strRef>
              <c:f>JUS!$G$32:$G$37</c:f>
              <c:strCache>
                <c:ptCount val="6"/>
                <c:pt idx="0">
                  <c:v>30 jours ou moins</c:v>
                </c:pt>
                <c:pt idx="1">
                  <c:v>31 à 60 jours</c:v>
                </c:pt>
                <c:pt idx="2">
                  <c:v>61 à 120 jours</c:v>
                </c:pt>
                <c:pt idx="3">
                  <c:v>121 à 180 jours</c:v>
                </c:pt>
                <c:pt idx="4">
                  <c:v>181 à 365 jours</c:v>
                </c:pt>
                <c:pt idx="5">
                  <c:v>Plus de 365 jours</c:v>
                </c:pt>
              </c:strCache>
            </c:strRef>
          </c:cat>
          <c:val>
            <c:numRef>
              <c:f>JUS!$I$32:$I$37</c:f>
              <c:numCache>
                <c:formatCode>0.00%</c:formatCode>
                <c:ptCount val="6"/>
                <c:pt idx="0">
                  <c:v>0.33571428571428685</c:v>
                </c:pt>
                <c:pt idx="1">
                  <c:v>0.17857142857142899</c:v>
                </c:pt>
                <c:pt idx="2">
                  <c:v>0.26428571428571435</c:v>
                </c:pt>
                <c:pt idx="3">
                  <c:v>0.16428571428571417</c:v>
                </c:pt>
                <c:pt idx="4">
                  <c:v>2.8571428571428591E-2</c:v>
                </c:pt>
                <c:pt idx="5">
                  <c:v>2.8571428571428591E-2</c:v>
                </c:pt>
              </c:numCache>
            </c:numRef>
          </c:val>
        </c:ser>
        <c:ser>
          <c:idx val="2"/>
          <c:order val="2"/>
          <c:tx>
            <c:strRef>
              <c:f>JUS!$J$31</c:f>
              <c:strCache>
                <c:ptCount val="1"/>
                <c:pt idx="0">
                  <c:v>2014-2015</c:v>
                </c:pt>
              </c:strCache>
            </c:strRef>
          </c:tx>
          <c:spPr>
            <a:solidFill>
              <a:schemeClr val="accent5">
                <a:lumMod val="75000"/>
              </a:schemeClr>
            </a:solidFill>
          </c:spPr>
          <c:cat>
            <c:strRef>
              <c:f>JUS!$G$32:$G$37</c:f>
              <c:strCache>
                <c:ptCount val="6"/>
                <c:pt idx="0">
                  <c:v>30 jours ou moins</c:v>
                </c:pt>
                <c:pt idx="1">
                  <c:v>31 à 60 jours</c:v>
                </c:pt>
                <c:pt idx="2">
                  <c:v>61 à 120 jours</c:v>
                </c:pt>
                <c:pt idx="3">
                  <c:v>121 à 180 jours</c:v>
                </c:pt>
                <c:pt idx="4">
                  <c:v>181 à 365 jours</c:v>
                </c:pt>
                <c:pt idx="5">
                  <c:v>Plus de 365 jours</c:v>
                </c:pt>
              </c:strCache>
            </c:strRef>
          </c:cat>
          <c:val>
            <c:numRef>
              <c:f>JUS!$J$32:$J$37</c:f>
              <c:numCache>
                <c:formatCode>0.00%</c:formatCode>
                <c:ptCount val="6"/>
                <c:pt idx="0">
                  <c:v>0.38372093023255904</c:v>
                </c:pt>
                <c:pt idx="1">
                  <c:v>0.20930232558139586</c:v>
                </c:pt>
                <c:pt idx="2">
                  <c:v>0.31395348837209386</c:v>
                </c:pt>
                <c:pt idx="3">
                  <c:v>5.2325581395348937E-2</c:v>
                </c:pt>
                <c:pt idx="4">
                  <c:v>3.4883720930232558E-2</c:v>
                </c:pt>
                <c:pt idx="5">
                  <c:v>5.8139534883721025E-3</c:v>
                </c:pt>
              </c:numCache>
            </c:numRef>
          </c:val>
        </c:ser>
        <c:dLbls/>
        <c:axId val="254341504"/>
        <c:axId val="254343040"/>
      </c:barChart>
      <c:catAx>
        <c:axId val="254341504"/>
        <c:scaling>
          <c:orientation val="minMax"/>
        </c:scaling>
        <c:axPos val="b"/>
        <c:numFmt formatCode="General" sourceLinked="0"/>
        <c:tickLblPos val="nextTo"/>
        <c:crossAx val="254343040"/>
        <c:crosses val="autoZero"/>
        <c:auto val="1"/>
        <c:lblAlgn val="ctr"/>
        <c:lblOffset val="100"/>
      </c:catAx>
      <c:valAx>
        <c:axId val="254343040"/>
        <c:scaling>
          <c:orientation val="minMax"/>
        </c:scaling>
        <c:axPos val="l"/>
        <c:majorGridlines/>
        <c:numFmt formatCode="0%" sourceLinked="0"/>
        <c:tickLblPos val="nextTo"/>
        <c:crossAx val="254341504"/>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CBSA!$N$58</c:f>
              <c:strCache>
                <c:ptCount val="1"/>
                <c:pt idx="0">
                  <c:v>2014-2015</c:v>
                </c:pt>
              </c:strCache>
            </c:strRef>
          </c:tx>
          <c:dPt>
            <c:idx val="0"/>
            <c:spPr>
              <a:solidFill>
                <a:schemeClr val="accent5">
                  <a:lumMod val="75000"/>
                </a:schemeClr>
              </a:solidFill>
            </c:spPr>
          </c:dPt>
          <c:dPt>
            <c:idx val="1"/>
            <c:spPr>
              <a:solidFill>
                <a:schemeClr val="accent6">
                  <a:lumMod val="50000"/>
                </a:schemeClr>
              </a:solidFill>
            </c:spPr>
          </c:dPt>
          <c:dPt>
            <c:idx val="3"/>
            <c:spPr>
              <a:solidFill>
                <a:schemeClr val="bg1">
                  <a:lumMod val="50000"/>
                </a:schemeClr>
              </a:solidFill>
            </c:spPr>
          </c:dPt>
          <c:dPt>
            <c:idx val="4"/>
            <c:spPr>
              <a:solidFill>
                <a:schemeClr val="accent5">
                  <a:lumMod val="50000"/>
                </a:schemeClr>
              </a:solidFill>
            </c:spPr>
          </c:dPt>
          <c:dPt>
            <c:idx val="6"/>
            <c:spPr>
              <a:solidFill>
                <a:schemeClr val="accent5">
                  <a:lumMod val="60000"/>
                  <a:lumOff val="40000"/>
                </a:schemeClr>
              </a:solidFill>
            </c:spPr>
          </c:dPt>
          <c:dLbls>
            <c:dLbl>
              <c:idx val="0"/>
              <c:layout>
                <c:manualLayout>
                  <c:x val="1.1696535979877519E-3"/>
                  <c:y val="-5.0431774731862222E-2"/>
                </c:manualLayout>
              </c:layout>
              <c:tx>
                <c:rich>
                  <a:bodyPr/>
                  <a:lstStyle/>
                  <a:p>
                    <a:r>
                      <a:rPr lang="en-US"/>
                      <a:t>42,63 %</a:t>
                    </a:r>
                  </a:p>
                </c:rich>
              </c:tx>
              <c:showPercent val="1"/>
              <c:extLst>
                <c:ext xmlns:c15="http://schemas.microsoft.com/office/drawing/2012/chart" uri="{CE6537A1-D6FC-4f65-9D91-7224C49458BB}">
                  <c15:layout/>
                </c:ext>
              </c:extLst>
            </c:dLbl>
            <c:dLbl>
              <c:idx val="1"/>
              <c:layout>
                <c:manualLayout>
                  <c:x val="-3.6926536526684175E-4"/>
                  <c:y val="-2.025547346705119E-3"/>
                </c:manualLayout>
              </c:layout>
              <c:tx>
                <c:rich>
                  <a:bodyPr/>
                  <a:lstStyle/>
                  <a:p>
                    <a:r>
                      <a:rPr lang="en-US"/>
                      <a:t>8,84 %</a:t>
                    </a:r>
                  </a:p>
                </c:rich>
              </c:tx>
              <c:showPercent val="1"/>
              <c:extLst>
                <c:ext xmlns:c15="http://schemas.microsoft.com/office/drawing/2012/chart" uri="{CE6537A1-D6FC-4f65-9D91-7224C49458BB}">
                  <c15:layout/>
                </c:ext>
              </c:extLst>
            </c:dLbl>
            <c:dLbl>
              <c:idx val="2"/>
              <c:layout>
                <c:manualLayout>
                  <c:x val="-6.4368540846456721E-3"/>
                  <c:y val="1.7855599840143441E-3"/>
                </c:manualLayout>
              </c:layout>
              <c:tx>
                <c:rich>
                  <a:bodyPr/>
                  <a:lstStyle/>
                  <a:p>
                    <a:r>
                      <a:rPr lang="en-US"/>
                      <a:t>7,71 %</a:t>
                    </a:r>
                  </a:p>
                </c:rich>
              </c:tx>
              <c:showPercent val="1"/>
              <c:extLst>
                <c:ext xmlns:c15="http://schemas.microsoft.com/office/drawing/2012/chart" uri="{CE6537A1-D6FC-4f65-9D91-7224C49458BB}">
                  <c15:layout/>
                </c:ext>
              </c:extLst>
            </c:dLbl>
            <c:dLbl>
              <c:idx val="3"/>
              <c:layout>
                <c:manualLayout>
                  <c:x val="-1.4956870625546807E-3"/>
                  <c:y val="4.2384266009958642E-3"/>
                </c:manualLayout>
              </c:layout>
              <c:tx>
                <c:rich>
                  <a:bodyPr/>
                  <a:lstStyle/>
                  <a:p>
                    <a:r>
                      <a:rPr lang="en-US"/>
                      <a:t>9,98 %</a:t>
                    </a:r>
                  </a:p>
                </c:rich>
              </c:tx>
              <c:showPercent val="1"/>
              <c:extLst>
                <c:ext xmlns:c15="http://schemas.microsoft.com/office/drawing/2012/chart" uri="{CE6537A1-D6FC-4f65-9D91-7224C49458BB}">
                  <c15:layout/>
                </c:ext>
              </c:extLst>
            </c:dLbl>
            <c:dLbl>
              <c:idx val="4"/>
              <c:layout>
                <c:manualLayout>
                  <c:x val="-1.0681013506124234E-2"/>
                  <c:y val="1.9107179503796597E-2"/>
                </c:manualLayout>
              </c:layout>
              <c:tx>
                <c:rich>
                  <a:bodyPr/>
                  <a:lstStyle/>
                  <a:p>
                    <a:r>
                      <a:rPr lang="en-US"/>
                      <a:t>5,90 %</a:t>
                    </a:r>
                  </a:p>
                </c:rich>
              </c:tx>
              <c:showPercent val="1"/>
              <c:extLst>
                <c:ext xmlns:c15="http://schemas.microsoft.com/office/drawing/2012/chart" uri="{CE6537A1-D6FC-4f65-9D91-7224C49458BB}">
                  <c15:layout/>
                </c:ext>
              </c:extLst>
            </c:dLbl>
            <c:dLbl>
              <c:idx val="5"/>
              <c:layout>
                <c:manualLayout>
                  <c:x val="-6.0821132709973766E-3"/>
                  <c:y val="1.7379675534385365E-3"/>
                </c:manualLayout>
              </c:layout>
              <c:tx>
                <c:rich>
                  <a:bodyPr/>
                  <a:lstStyle/>
                  <a:p>
                    <a:r>
                      <a:rPr lang="en-US"/>
                      <a:t>6,12 %</a:t>
                    </a:r>
                  </a:p>
                </c:rich>
              </c:tx>
              <c:showPercent val="1"/>
              <c:extLst>
                <c:ext xmlns:c15="http://schemas.microsoft.com/office/drawing/2012/chart" uri="{CE6537A1-D6FC-4f65-9D91-7224C49458BB}">
                  <c15:layout/>
                </c:ext>
              </c:extLst>
            </c:dLbl>
            <c:dLbl>
              <c:idx val="6"/>
              <c:layout>
                <c:manualLayout>
                  <c:x val="-1.9631195563270323E-2"/>
                  <c:y val="2.6553240330489235E-2"/>
                </c:manualLayout>
              </c:layout>
              <c:tx>
                <c:rich>
                  <a:bodyPr/>
                  <a:lstStyle/>
                  <a:p>
                    <a:r>
                      <a:rPr lang="en-US"/>
                      <a:t>18,82 %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CBSA!$M$59:$M$65</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CBSA!$N$59:$N$65</c:f>
              <c:numCache>
                <c:formatCode>General</c:formatCode>
                <c:ptCount val="7"/>
                <c:pt idx="0">
                  <c:v>188</c:v>
                </c:pt>
                <c:pt idx="1">
                  <c:v>39</c:v>
                </c:pt>
                <c:pt idx="2">
                  <c:v>34</c:v>
                </c:pt>
                <c:pt idx="3">
                  <c:v>44</c:v>
                </c:pt>
                <c:pt idx="4">
                  <c:v>26</c:v>
                </c:pt>
                <c:pt idx="5">
                  <c:v>27</c:v>
                </c:pt>
                <c:pt idx="6">
                  <c:v>83</c:v>
                </c:pt>
              </c:numCache>
            </c:numRef>
          </c:val>
        </c:ser>
        <c:dLbls/>
        <c:firstSliceAng val="0"/>
      </c:pieChart>
    </c:plotArea>
    <c:legend>
      <c:legendPos val="r"/>
    </c:legend>
    <c:plotVisOnly val="1"/>
    <c:dispBlanksAs val="zero"/>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JUS!$H$57</c:f>
              <c:strCache>
                <c:ptCount val="1"/>
                <c:pt idx="0">
                  <c:v>2014-2015</c:v>
                </c:pt>
              </c:strCache>
            </c:strRef>
          </c:tx>
          <c:dPt>
            <c:idx val="0"/>
            <c:spPr>
              <a:solidFill>
                <a:schemeClr val="accent5">
                  <a:lumMod val="75000"/>
                </a:schemeClr>
              </a:solidFill>
            </c:spPr>
          </c:dPt>
          <c:dPt>
            <c:idx val="1"/>
            <c:spPr>
              <a:solidFill>
                <a:schemeClr val="accent6">
                  <a:lumMod val="50000"/>
                </a:schemeClr>
              </a:solidFill>
            </c:spPr>
          </c:dPt>
          <c:dPt>
            <c:idx val="3"/>
            <c:spPr>
              <a:solidFill>
                <a:schemeClr val="tx2">
                  <a:lumMod val="50000"/>
                </a:schemeClr>
              </a:solidFill>
            </c:spPr>
          </c:dPt>
          <c:dPt>
            <c:idx val="4"/>
            <c:spPr>
              <a:solidFill>
                <a:schemeClr val="accent5">
                  <a:lumMod val="60000"/>
                  <a:lumOff val="40000"/>
                </a:schemeClr>
              </a:solidFill>
            </c:spPr>
          </c:dPt>
          <c:dPt>
            <c:idx val="5"/>
            <c:spPr>
              <a:solidFill>
                <a:schemeClr val="bg2">
                  <a:lumMod val="25000"/>
                </a:schemeClr>
              </a:solidFill>
            </c:spPr>
          </c:dPt>
          <c:dPt>
            <c:idx val="6"/>
            <c:spPr>
              <a:solidFill>
                <a:srgbClr val="FFC000"/>
              </a:solidFill>
            </c:spPr>
          </c:dPt>
          <c:dLbls>
            <c:dLbl>
              <c:idx val="0"/>
              <c:layout>
                <c:manualLayout>
                  <c:x val="4.7764508813683037E-3"/>
                  <c:y val="7.3667352155374127E-3"/>
                </c:manualLayout>
              </c:layout>
              <c:tx>
                <c:rich>
                  <a:bodyPr/>
                  <a:lstStyle/>
                  <a:p>
                    <a:r>
                      <a:rPr lang="en-US"/>
                      <a:t>19,05 %</a:t>
                    </a:r>
                  </a:p>
                </c:rich>
              </c:tx>
              <c:showPercent val="1"/>
              <c:extLst>
                <c:ext xmlns:c15="http://schemas.microsoft.com/office/drawing/2012/chart" uri="{CE6537A1-D6FC-4f65-9D91-7224C49458BB}"/>
              </c:extLst>
            </c:dLbl>
            <c:dLbl>
              <c:idx val="1"/>
              <c:layout>
                <c:manualLayout>
                  <c:x val="-4.6123219008853819E-3"/>
                  <c:y val="-1.3795795999822018E-2"/>
                </c:manualLayout>
              </c:layout>
              <c:tx>
                <c:rich>
                  <a:bodyPr/>
                  <a:lstStyle/>
                  <a:p>
                    <a:r>
                      <a:rPr lang="en-US"/>
                      <a:t>9,52 %</a:t>
                    </a:r>
                  </a:p>
                </c:rich>
              </c:tx>
              <c:showPercent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4611006681145475E-2"/>
                  <c:y val="-2.7563123876525861E-2"/>
                </c:manualLayout>
              </c:layout>
              <c:tx>
                <c:rich>
                  <a:bodyPr/>
                  <a:lstStyle/>
                  <a:p>
                    <a:r>
                      <a:rPr lang="en-US"/>
                      <a:t>21,43 %</a:t>
                    </a:r>
                  </a:p>
                </c:rich>
              </c:tx>
              <c:showPercent val="1"/>
              <c:extLst>
                <c:ext xmlns:c15="http://schemas.microsoft.com/office/drawing/2012/chart" uri="{CE6537A1-D6FC-4f65-9D91-7224C49458BB}"/>
              </c:extLst>
            </c:dLbl>
            <c:dLbl>
              <c:idx val="4"/>
              <c:layout>
                <c:manualLayout>
                  <c:x val="8.992064468503938E-3"/>
                  <c:y val="1.3814729590232587E-3"/>
                </c:manualLayout>
              </c:layout>
              <c:tx>
                <c:rich>
                  <a:bodyPr/>
                  <a:lstStyle/>
                  <a:p>
                    <a:r>
                      <a:rPr lang="en-US"/>
                      <a:t>2,38 %</a:t>
                    </a:r>
                  </a:p>
                </c:rich>
              </c:tx>
              <c:showPercent val="1"/>
              <c:extLst>
                <c:ext xmlns:c15="http://schemas.microsoft.com/office/drawing/2012/chart" uri="{CE6537A1-D6FC-4f65-9D91-7224C49458BB}"/>
              </c:extLst>
            </c:dLbl>
            <c:dLbl>
              <c:idx val="5"/>
              <c:layout>
                <c:manualLayout>
                  <c:x val="3.0788269264766546E-2"/>
                  <c:y val="1.8133476742500329E-3"/>
                </c:manualLayout>
              </c:layout>
              <c:tx>
                <c:rich>
                  <a:bodyPr/>
                  <a:lstStyle/>
                  <a:p>
                    <a:r>
                      <a:rPr lang="en-US"/>
                      <a:t>7,14 %</a:t>
                    </a:r>
                  </a:p>
                </c:rich>
              </c:tx>
              <c:showPercent val="1"/>
              <c:extLst>
                <c:ext xmlns:c15="http://schemas.microsoft.com/office/drawing/2012/chart" uri="{CE6537A1-D6FC-4f65-9D91-7224C49458BB}"/>
              </c:extLst>
            </c:dLbl>
            <c:dLbl>
              <c:idx val="6"/>
              <c:layout>
                <c:manualLayout>
                  <c:x val="2.8509010536276587E-2"/>
                  <c:y val="-7.0093782131300741E-2"/>
                </c:manualLayout>
              </c:layout>
              <c:tx>
                <c:rich>
                  <a:bodyPr/>
                  <a:lstStyle/>
                  <a:p>
                    <a:r>
                      <a:rPr lang="en-US"/>
                      <a:t>40,48 %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JUS!$G$58:$G$64</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JUS!$H$58:$H$64</c:f>
              <c:numCache>
                <c:formatCode>General</c:formatCode>
                <c:ptCount val="7"/>
                <c:pt idx="0">
                  <c:v>8</c:v>
                </c:pt>
                <c:pt idx="1">
                  <c:v>4</c:v>
                </c:pt>
                <c:pt idx="2">
                  <c:v>0</c:v>
                </c:pt>
                <c:pt idx="3">
                  <c:v>9</c:v>
                </c:pt>
                <c:pt idx="4">
                  <c:v>1</c:v>
                </c:pt>
                <c:pt idx="5">
                  <c:v>3</c:v>
                </c:pt>
                <c:pt idx="6">
                  <c:v>17</c:v>
                </c:pt>
              </c:numCache>
            </c:numRef>
          </c:val>
        </c:ser>
        <c:dLbls/>
        <c:firstSliceAng val="0"/>
      </c:pieChart>
    </c:plotArea>
    <c:legend>
      <c:legendPos val="r"/>
    </c:legend>
    <c:plotVisOnly val="1"/>
    <c:dispBlanksAs val="zero"/>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JUS!$H$87</c:f>
              <c:strCache>
                <c:ptCount val="1"/>
                <c:pt idx="0">
                  <c:v>2012-2013</c:v>
                </c:pt>
              </c:strCache>
            </c:strRef>
          </c:tx>
          <c:spPr>
            <a:solidFill>
              <a:schemeClr val="bg1">
                <a:lumMod val="65000"/>
              </a:schemeClr>
            </a:solidFill>
          </c:spPr>
          <c:cat>
            <c:strRef>
              <c:f>JUS!$G$88:$G$89</c:f>
              <c:strCache>
                <c:ptCount val="2"/>
                <c:pt idx="0">
                  <c:v>Divulgation complète </c:v>
                </c:pt>
                <c:pt idx="1">
                  <c:v>Divulgation partielle </c:v>
                </c:pt>
              </c:strCache>
            </c:strRef>
          </c:cat>
          <c:val>
            <c:numRef>
              <c:f>JUS!$H$88:$H$89</c:f>
              <c:numCache>
                <c:formatCode>0.00%</c:formatCode>
                <c:ptCount val="2"/>
                <c:pt idx="0">
                  <c:v>0.12074303405572756</c:v>
                </c:pt>
                <c:pt idx="1">
                  <c:v>0.4086687306501548</c:v>
                </c:pt>
              </c:numCache>
            </c:numRef>
          </c:val>
        </c:ser>
        <c:ser>
          <c:idx val="1"/>
          <c:order val="1"/>
          <c:tx>
            <c:strRef>
              <c:f>JUS!$I$87</c:f>
              <c:strCache>
                <c:ptCount val="1"/>
                <c:pt idx="0">
                  <c:v>2013-2014</c:v>
                </c:pt>
              </c:strCache>
            </c:strRef>
          </c:tx>
          <c:spPr>
            <a:solidFill>
              <a:srgbClr val="FFC000"/>
            </a:solidFill>
          </c:spPr>
          <c:cat>
            <c:strRef>
              <c:f>JUS!$G$88:$G$89</c:f>
              <c:strCache>
                <c:ptCount val="2"/>
                <c:pt idx="0">
                  <c:v>Divulgation complète </c:v>
                </c:pt>
                <c:pt idx="1">
                  <c:v>Divulgation partielle </c:v>
                </c:pt>
              </c:strCache>
            </c:strRef>
          </c:cat>
          <c:val>
            <c:numRef>
              <c:f>JUS!$I$88:$I$89</c:f>
              <c:numCache>
                <c:formatCode>0.00%</c:formatCode>
                <c:ptCount val="2"/>
                <c:pt idx="0">
                  <c:v>0.14204545454545509</c:v>
                </c:pt>
                <c:pt idx="1">
                  <c:v>0.43939393939393995</c:v>
                </c:pt>
              </c:numCache>
            </c:numRef>
          </c:val>
        </c:ser>
        <c:ser>
          <c:idx val="2"/>
          <c:order val="2"/>
          <c:tx>
            <c:strRef>
              <c:f>JUS!$J$87</c:f>
              <c:strCache>
                <c:ptCount val="1"/>
                <c:pt idx="0">
                  <c:v>2014-2015</c:v>
                </c:pt>
              </c:strCache>
            </c:strRef>
          </c:tx>
          <c:spPr>
            <a:solidFill>
              <a:schemeClr val="accent5">
                <a:lumMod val="75000"/>
              </a:schemeClr>
            </a:solidFill>
          </c:spPr>
          <c:cat>
            <c:strRef>
              <c:f>JUS!$G$88:$G$89</c:f>
              <c:strCache>
                <c:ptCount val="2"/>
                <c:pt idx="0">
                  <c:v>Divulgation complète </c:v>
                </c:pt>
                <c:pt idx="1">
                  <c:v>Divulgation partielle </c:v>
                </c:pt>
              </c:strCache>
            </c:strRef>
          </c:cat>
          <c:val>
            <c:numRef>
              <c:f>JUS!$J$88:$J$89</c:f>
              <c:numCache>
                <c:formatCode>0.00%</c:formatCode>
                <c:ptCount val="2"/>
                <c:pt idx="0">
                  <c:v>8.7114337568058073E-2</c:v>
                </c:pt>
                <c:pt idx="1">
                  <c:v>0.3539019963702365</c:v>
                </c:pt>
              </c:numCache>
            </c:numRef>
          </c:val>
        </c:ser>
        <c:dLbls/>
        <c:axId val="254423424"/>
        <c:axId val="254424960"/>
      </c:barChart>
      <c:catAx>
        <c:axId val="254423424"/>
        <c:scaling>
          <c:orientation val="minMax"/>
        </c:scaling>
        <c:axPos val="b"/>
        <c:numFmt formatCode="General" sourceLinked="0"/>
        <c:tickLblPos val="nextTo"/>
        <c:crossAx val="254424960"/>
        <c:crosses val="autoZero"/>
        <c:auto val="1"/>
        <c:lblAlgn val="ctr"/>
        <c:lblOffset val="100"/>
      </c:catAx>
      <c:valAx>
        <c:axId val="254424960"/>
        <c:scaling>
          <c:orientation val="minMax"/>
        </c:scaling>
        <c:axPos val="l"/>
        <c:majorGridlines/>
        <c:numFmt formatCode="0%" sourceLinked="0"/>
        <c:tickLblPos val="nextTo"/>
        <c:crossAx val="254423424"/>
        <c:crosses val="autoZero"/>
        <c:crossBetween val="between"/>
      </c:valAx>
    </c:plotArea>
    <c:legend>
      <c:legendPos val="b"/>
    </c:legend>
    <c:plotVisOnly val="1"/>
    <c:dispBlanksAs val="gap"/>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FIN!$G$2</c:f>
              <c:strCache>
                <c:ptCount val="1"/>
                <c:pt idx="0">
                  <c:v>2012-2013</c:v>
                </c:pt>
              </c:strCache>
            </c:strRef>
          </c:tx>
          <c:spPr>
            <a:solidFill>
              <a:schemeClr val="bg1">
                <a:lumMod val="65000"/>
              </a:schemeClr>
            </a:solidFill>
          </c:spPr>
          <c:cat>
            <c:strRef>
              <c:f>FIN!$F$3:$F$8</c:f>
              <c:strCache>
                <c:ptCount val="6"/>
                <c:pt idx="0">
                  <c:v>30 jours ou moins</c:v>
                </c:pt>
                <c:pt idx="1">
                  <c:v>31 à 60 jours</c:v>
                </c:pt>
                <c:pt idx="2">
                  <c:v>61 à 120 jours</c:v>
                </c:pt>
                <c:pt idx="3">
                  <c:v>121 à 180 jours</c:v>
                </c:pt>
                <c:pt idx="4">
                  <c:v>181 à 365 jours</c:v>
                </c:pt>
                <c:pt idx="5">
                  <c:v>Plus de 365 jours</c:v>
                </c:pt>
              </c:strCache>
            </c:strRef>
          </c:cat>
          <c:val>
            <c:numRef>
              <c:f>FIN!$G$3:$G$8</c:f>
              <c:numCache>
                <c:formatCode>0.00%</c:formatCode>
                <c:ptCount val="6"/>
                <c:pt idx="0">
                  <c:v>0.42358078602620147</c:v>
                </c:pt>
                <c:pt idx="1">
                  <c:v>0.24454148471615758</c:v>
                </c:pt>
                <c:pt idx="2">
                  <c:v>0.21179039301310074</c:v>
                </c:pt>
                <c:pt idx="3">
                  <c:v>9.8253275109170521E-2</c:v>
                </c:pt>
                <c:pt idx="4">
                  <c:v>1.7467248908296932E-2</c:v>
                </c:pt>
                <c:pt idx="5">
                  <c:v>4.3668122270742364E-3</c:v>
                </c:pt>
              </c:numCache>
            </c:numRef>
          </c:val>
        </c:ser>
        <c:ser>
          <c:idx val="1"/>
          <c:order val="1"/>
          <c:tx>
            <c:strRef>
              <c:f>FIN!$H$2</c:f>
              <c:strCache>
                <c:ptCount val="1"/>
                <c:pt idx="0">
                  <c:v>2013-2014</c:v>
                </c:pt>
              </c:strCache>
            </c:strRef>
          </c:tx>
          <c:spPr>
            <a:solidFill>
              <a:srgbClr val="FFC000"/>
            </a:solidFill>
          </c:spPr>
          <c:cat>
            <c:strRef>
              <c:f>FIN!$F$3:$F$8</c:f>
              <c:strCache>
                <c:ptCount val="6"/>
                <c:pt idx="0">
                  <c:v>30 jours ou moins</c:v>
                </c:pt>
                <c:pt idx="1">
                  <c:v>31 à 60 jours</c:v>
                </c:pt>
                <c:pt idx="2">
                  <c:v>61 à 120 jours</c:v>
                </c:pt>
                <c:pt idx="3">
                  <c:v>121 à 180 jours</c:v>
                </c:pt>
                <c:pt idx="4">
                  <c:v>181 à 365 jours</c:v>
                </c:pt>
                <c:pt idx="5">
                  <c:v>Plus de 365 jours</c:v>
                </c:pt>
              </c:strCache>
            </c:strRef>
          </c:cat>
          <c:val>
            <c:numRef>
              <c:f>FIN!$H$3:$H$8</c:f>
              <c:numCache>
                <c:formatCode>0.00%</c:formatCode>
                <c:ptCount val="6"/>
                <c:pt idx="0">
                  <c:v>0.56719022687609166</c:v>
                </c:pt>
                <c:pt idx="1">
                  <c:v>0.13961605584642281</c:v>
                </c:pt>
                <c:pt idx="2">
                  <c:v>0.16404886561954618</c:v>
                </c:pt>
                <c:pt idx="3">
                  <c:v>9.2495636998254846E-2</c:v>
                </c:pt>
                <c:pt idx="4">
                  <c:v>2.4432809773123988E-2</c:v>
                </c:pt>
                <c:pt idx="5">
                  <c:v>1.2216404886561959E-2</c:v>
                </c:pt>
              </c:numCache>
            </c:numRef>
          </c:val>
        </c:ser>
        <c:ser>
          <c:idx val="2"/>
          <c:order val="2"/>
          <c:tx>
            <c:strRef>
              <c:f>FIN!$I$2</c:f>
              <c:strCache>
                <c:ptCount val="1"/>
                <c:pt idx="0">
                  <c:v>2014-2015</c:v>
                </c:pt>
              </c:strCache>
            </c:strRef>
          </c:tx>
          <c:spPr>
            <a:solidFill>
              <a:schemeClr val="accent5">
                <a:lumMod val="75000"/>
              </a:schemeClr>
            </a:solidFill>
          </c:spPr>
          <c:cat>
            <c:strRef>
              <c:f>FIN!$F$3:$F$8</c:f>
              <c:strCache>
                <c:ptCount val="6"/>
                <c:pt idx="0">
                  <c:v>30 jours ou moins</c:v>
                </c:pt>
                <c:pt idx="1">
                  <c:v>31 à 60 jours</c:v>
                </c:pt>
                <c:pt idx="2">
                  <c:v>61 à 120 jours</c:v>
                </c:pt>
                <c:pt idx="3">
                  <c:v>121 à 180 jours</c:v>
                </c:pt>
                <c:pt idx="4">
                  <c:v>181 à 365 jours</c:v>
                </c:pt>
                <c:pt idx="5">
                  <c:v>Plus de 365 jours</c:v>
                </c:pt>
              </c:strCache>
            </c:strRef>
          </c:cat>
          <c:val>
            <c:numRef>
              <c:f>FIN!$I$3:$I$8</c:f>
              <c:numCache>
                <c:formatCode>0.00%</c:formatCode>
                <c:ptCount val="6"/>
                <c:pt idx="0">
                  <c:v>0.53112033195020747</c:v>
                </c:pt>
                <c:pt idx="1">
                  <c:v>0.15352697095435686</c:v>
                </c:pt>
                <c:pt idx="2">
                  <c:v>0.19709543568464746</c:v>
                </c:pt>
                <c:pt idx="3">
                  <c:v>8.9211618257261427E-2</c:v>
                </c:pt>
                <c:pt idx="4">
                  <c:v>2.0746887966804992E-2</c:v>
                </c:pt>
                <c:pt idx="5">
                  <c:v>8.2987551867219969E-3</c:v>
                </c:pt>
              </c:numCache>
            </c:numRef>
          </c:val>
        </c:ser>
        <c:dLbls/>
        <c:axId val="254472192"/>
        <c:axId val="254473728"/>
      </c:barChart>
      <c:catAx>
        <c:axId val="254472192"/>
        <c:scaling>
          <c:orientation val="minMax"/>
        </c:scaling>
        <c:axPos val="b"/>
        <c:numFmt formatCode="General" sourceLinked="0"/>
        <c:tickLblPos val="nextTo"/>
        <c:crossAx val="254473728"/>
        <c:crosses val="autoZero"/>
        <c:auto val="1"/>
        <c:lblAlgn val="ctr"/>
        <c:lblOffset val="100"/>
      </c:catAx>
      <c:valAx>
        <c:axId val="254473728"/>
        <c:scaling>
          <c:orientation val="minMax"/>
        </c:scaling>
        <c:axPos val="l"/>
        <c:majorGridlines/>
        <c:numFmt formatCode="0%" sourceLinked="0"/>
        <c:tickLblPos val="nextTo"/>
        <c:crossAx val="254472192"/>
        <c:crosses val="autoZero"/>
        <c:crossBetween val="between"/>
      </c:valAx>
    </c:plotArea>
    <c:legend>
      <c:legendPos val="b"/>
    </c:legend>
    <c:plotVisOnly val="1"/>
    <c:dispBlanksAs val="gap"/>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FIN!$H$29</c:f>
              <c:strCache>
                <c:ptCount val="1"/>
                <c:pt idx="0">
                  <c:v>2012-2013</c:v>
                </c:pt>
              </c:strCache>
            </c:strRef>
          </c:tx>
          <c:spPr>
            <a:solidFill>
              <a:schemeClr val="bg1">
                <a:lumMod val="65000"/>
              </a:schemeClr>
            </a:solidFill>
          </c:spPr>
          <c:cat>
            <c:strRef>
              <c:f>FIN!$G$30:$G$35</c:f>
              <c:strCache>
                <c:ptCount val="6"/>
                <c:pt idx="0">
                  <c:v>30 jours ou moins</c:v>
                </c:pt>
                <c:pt idx="1">
                  <c:v>31 à 60 jours</c:v>
                </c:pt>
                <c:pt idx="2">
                  <c:v>61 à 120 jours</c:v>
                </c:pt>
                <c:pt idx="3">
                  <c:v>121 à 180 jours</c:v>
                </c:pt>
                <c:pt idx="4">
                  <c:v>181 à 365 jours</c:v>
                </c:pt>
                <c:pt idx="5">
                  <c:v>Plus de 365 jours</c:v>
                </c:pt>
              </c:strCache>
            </c:strRef>
          </c:cat>
          <c:val>
            <c:numRef>
              <c:f>FIN!$H$30:$H$35</c:f>
              <c:numCache>
                <c:formatCode>0.00%</c:formatCode>
                <c:ptCount val="6"/>
                <c:pt idx="0">
                  <c:v>0.23986486486486491</c:v>
                </c:pt>
                <c:pt idx="1">
                  <c:v>0.48648648648648701</c:v>
                </c:pt>
                <c:pt idx="2">
                  <c:v>0.27027027027027084</c:v>
                </c:pt>
                <c:pt idx="3">
                  <c:v>3.3783783783783812E-3</c:v>
                </c:pt>
                <c:pt idx="4">
                  <c:v>0</c:v>
                </c:pt>
                <c:pt idx="5">
                  <c:v>0</c:v>
                </c:pt>
              </c:numCache>
            </c:numRef>
          </c:val>
        </c:ser>
        <c:ser>
          <c:idx val="1"/>
          <c:order val="1"/>
          <c:tx>
            <c:strRef>
              <c:f>FIN!$I$29</c:f>
              <c:strCache>
                <c:ptCount val="1"/>
                <c:pt idx="0">
                  <c:v>2013-2014</c:v>
                </c:pt>
              </c:strCache>
            </c:strRef>
          </c:tx>
          <c:spPr>
            <a:solidFill>
              <a:srgbClr val="FFC000"/>
            </a:solidFill>
          </c:spPr>
          <c:cat>
            <c:strRef>
              <c:f>FIN!$G$30:$G$35</c:f>
              <c:strCache>
                <c:ptCount val="6"/>
                <c:pt idx="0">
                  <c:v>30 jours ou moins</c:v>
                </c:pt>
                <c:pt idx="1">
                  <c:v>31 à 60 jours</c:v>
                </c:pt>
                <c:pt idx="2">
                  <c:v>61 à 120 jours</c:v>
                </c:pt>
                <c:pt idx="3">
                  <c:v>121 à 180 jours</c:v>
                </c:pt>
                <c:pt idx="4">
                  <c:v>181 à 365 jours</c:v>
                </c:pt>
                <c:pt idx="5">
                  <c:v>Plus de 365 jours</c:v>
                </c:pt>
              </c:strCache>
            </c:strRef>
          </c:cat>
          <c:val>
            <c:numRef>
              <c:f>FIN!$I$30:$I$35</c:f>
              <c:numCache>
                <c:formatCode>0.00%</c:formatCode>
                <c:ptCount val="6"/>
                <c:pt idx="0">
                  <c:v>0.23076923076923125</c:v>
                </c:pt>
                <c:pt idx="1">
                  <c:v>0.29096989966555242</c:v>
                </c:pt>
                <c:pt idx="2">
                  <c:v>0.45484949832775967</c:v>
                </c:pt>
                <c:pt idx="3">
                  <c:v>2.0066889632106989E-2</c:v>
                </c:pt>
                <c:pt idx="4">
                  <c:v>3.3444816053511757E-3</c:v>
                </c:pt>
                <c:pt idx="5">
                  <c:v>0</c:v>
                </c:pt>
              </c:numCache>
            </c:numRef>
          </c:val>
        </c:ser>
        <c:ser>
          <c:idx val="2"/>
          <c:order val="2"/>
          <c:tx>
            <c:strRef>
              <c:f>FIN!$J$29</c:f>
              <c:strCache>
                <c:ptCount val="1"/>
                <c:pt idx="0">
                  <c:v>2014-2015</c:v>
                </c:pt>
              </c:strCache>
            </c:strRef>
          </c:tx>
          <c:spPr>
            <a:solidFill>
              <a:schemeClr val="accent5">
                <a:lumMod val="75000"/>
              </a:schemeClr>
            </a:solidFill>
          </c:spPr>
          <c:cat>
            <c:strRef>
              <c:f>FIN!$G$30:$G$35</c:f>
              <c:strCache>
                <c:ptCount val="6"/>
                <c:pt idx="0">
                  <c:v>30 jours ou moins</c:v>
                </c:pt>
                <c:pt idx="1">
                  <c:v>31 à 60 jours</c:v>
                </c:pt>
                <c:pt idx="2">
                  <c:v>61 à 120 jours</c:v>
                </c:pt>
                <c:pt idx="3">
                  <c:v>121 à 180 jours</c:v>
                </c:pt>
                <c:pt idx="4">
                  <c:v>181 à 365 jours</c:v>
                </c:pt>
                <c:pt idx="5">
                  <c:v>Plus de 365 jours</c:v>
                </c:pt>
              </c:strCache>
            </c:strRef>
          </c:cat>
          <c:val>
            <c:numRef>
              <c:f>FIN!$J$30:$J$35</c:f>
              <c:numCache>
                <c:formatCode>0.00%</c:formatCode>
                <c:ptCount val="6"/>
                <c:pt idx="0">
                  <c:v>0.30196078431372614</c:v>
                </c:pt>
                <c:pt idx="1">
                  <c:v>0.24705882352941191</c:v>
                </c:pt>
                <c:pt idx="2">
                  <c:v>0.42745098039215779</c:v>
                </c:pt>
                <c:pt idx="3">
                  <c:v>2.3529411764705879E-2</c:v>
                </c:pt>
                <c:pt idx="4">
                  <c:v>0</c:v>
                </c:pt>
                <c:pt idx="5">
                  <c:v>0</c:v>
                </c:pt>
              </c:numCache>
            </c:numRef>
          </c:val>
        </c:ser>
        <c:dLbls/>
        <c:axId val="253783424"/>
        <c:axId val="253809792"/>
      </c:barChart>
      <c:catAx>
        <c:axId val="253783424"/>
        <c:scaling>
          <c:orientation val="minMax"/>
        </c:scaling>
        <c:axPos val="b"/>
        <c:numFmt formatCode="General" sourceLinked="0"/>
        <c:tickLblPos val="nextTo"/>
        <c:crossAx val="253809792"/>
        <c:crosses val="autoZero"/>
        <c:auto val="1"/>
        <c:lblAlgn val="ctr"/>
        <c:lblOffset val="100"/>
      </c:catAx>
      <c:valAx>
        <c:axId val="253809792"/>
        <c:scaling>
          <c:orientation val="minMax"/>
        </c:scaling>
        <c:axPos val="l"/>
        <c:majorGridlines/>
        <c:numFmt formatCode="0%" sourceLinked="0"/>
        <c:tickLblPos val="nextTo"/>
        <c:crossAx val="253783424"/>
        <c:crosses val="autoZero"/>
        <c:crossBetween val="between"/>
      </c:valAx>
    </c:plotArea>
    <c:legend>
      <c:legendPos val="b"/>
    </c:legend>
    <c:plotVisOnly val="1"/>
    <c:dispBlanksAs val="gap"/>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FIN!$H$55</c:f>
              <c:strCache>
                <c:ptCount val="1"/>
                <c:pt idx="0">
                  <c:v>2014-2015</c:v>
                </c:pt>
              </c:strCache>
            </c:strRef>
          </c:tx>
          <c:dPt>
            <c:idx val="0"/>
            <c:spPr>
              <a:solidFill>
                <a:schemeClr val="accent5">
                  <a:lumMod val="50000"/>
                </a:schemeClr>
              </a:solidFill>
            </c:spPr>
          </c:dPt>
          <c:dPt>
            <c:idx val="2"/>
            <c:spPr>
              <a:solidFill>
                <a:srgbClr val="FFC000"/>
              </a:solidFill>
            </c:spPr>
          </c:dPt>
          <c:dPt>
            <c:idx val="3"/>
            <c:spPr>
              <a:solidFill>
                <a:schemeClr val="accent1">
                  <a:lumMod val="50000"/>
                </a:schemeClr>
              </a:solidFill>
            </c:spPr>
          </c:dPt>
          <c:dPt>
            <c:idx val="4"/>
            <c:spPr>
              <a:solidFill>
                <a:schemeClr val="bg1">
                  <a:lumMod val="50000"/>
                </a:schemeClr>
              </a:solidFill>
            </c:spPr>
          </c:dPt>
          <c:dPt>
            <c:idx val="5"/>
            <c:spPr>
              <a:solidFill>
                <a:schemeClr val="accent6">
                  <a:lumMod val="50000"/>
                </a:schemeClr>
              </a:solidFill>
            </c:spPr>
          </c:dPt>
          <c:dPt>
            <c:idx val="6"/>
            <c:spPr>
              <a:solidFill>
                <a:schemeClr val="accent5">
                  <a:lumMod val="40000"/>
                  <a:lumOff val="60000"/>
                </a:schemeClr>
              </a:solidFill>
            </c:spPr>
          </c:dPt>
          <c:dLbls>
            <c:dLbl>
              <c:idx val="0"/>
              <c:layout>
                <c:manualLayout>
                  <c:x val="-1.1464888047430608E-2"/>
                  <c:y val="-5.0263185531071265E-2"/>
                </c:manualLayout>
              </c:layout>
              <c:tx>
                <c:rich>
                  <a:bodyPr/>
                  <a:lstStyle/>
                  <a:p>
                    <a:r>
                      <a:rPr lang="en-US"/>
                      <a:t>48,65 %</a:t>
                    </a:r>
                  </a:p>
                </c:rich>
              </c:tx>
              <c:showPercent val="1"/>
              <c:extLst>
                <c:ext xmlns:c15="http://schemas.microsoft.com/office/drawing/2012/chart" uri="{CE6537A1-D6FC-4f65-9D91-7224C49458BB}"/>
              </c:extLst>
            </c:dLbl>
            <c:dLbl>
              <c:idx val="1"/>
              <c:layout>
                <c:manualLayout>
                  <c:x val="2.0950014589762412E-2"/>
                  <c:y val="4.9101489543163894E-3"/>
                </c:manualLayout>
              </c:layout>
              <c:tx>
                <c:rich>
                  <a:bodyPr/>
                  <a:lstStyle/>
                  <a:p>
                    <a:r>
                      <a:rPr lang="en-US"/>
                      <a:t>13,51 %</a:t>
                    </a:r>
                  </a:p>
                </c:rich>
              </c:tx>
              <c:showPercent val="1"/>
              <c:extLst>
                <c:ext xmlns:c15="http://schemas.microsoft.com/office/drawing/2012/chart" uri="{CE6537A1-D6FC-4f65-9D91-7224C49458BB}"/>
              </c:extLst>
            </c:dLbl>
            <c:dLbl>
              <c:idx val="2"/>
              <c:layout>
                <c:manualLayout>
                  <c:x val="-1.7709146808317182E-3"/>
                  <c:y val="-3.1946497135055797E-2"/>
                </c:manualLayout>
              </c:layout>
              <c:tx>
                <c:rich>
                  <a:bodyPr/>
                  <a:lstStyle/>
                  <a:p>
                    <a:r>
                      <a:rPr lang="en-US"/>
                      <a:t>18</a:t>
                    </a:r>
                    <a:r>
                      <a:rPr lang="en-US" baseline="0"/>
                      <a:t>,</a:t>
                    </a:r>
                    <a:r>
                      <a:rPr lang="en-US"/>
                      <a:t>92 %</a:t>
                    </a:r>
                  </a:p>
                </c:rich>
              </c:tx>
              <c:showPercent val="1"/>
              <c:extLst>
                <c:ext xmlns:c15="http://schemas.microsoft.com/office/drawing/2012/chart" uri="{CE6537A1-D6FC-4f65-9D91-7224C49458BB}"/>
              </c:extLst>
            </c:dLbl>
            <c:dLbl>
              <c:idx val="3"/>
              <c:layout>
                <c:manualLayout>
                  <c:x val="-1.8024104055953951E-3"/>
                  <c:y val="5.9704286674853073E-3"/>
                </c:manualLayout>
              </c:layout>
              <c:tx>
                <c:rich>
                  <a:bodyPr/>
                  <a:lstStyle/>
                  <a:p>
                    <a:r>
                      <a:rPr lang="en-US"/>
                      <a:t>5,41 %</a:t>
                    </a:r>
                  </a:p>
                </c:rich>
              </c:tx>
              <c:showPercent val="1"/>
              <c:extLst>
                <c:ext xmlns:c15="http://schemas.microsoft.com/office/drawing/2012/chart" uri="{CE6537A1-D6FC-4f65-9D91-7224C49458BB}"/>
              </c:extLst>
            </c:dLbl>
            <c:dLbl>
              <c:idx val="4"/>
              <c:layout>
                <c:manualLayout>
                  <c:x val="3.957535437413378E-3"/>
                  <c:y val="7.7188282032432682E-3"/>
                </c:manualLayout>
              </c:layout>
              <c:tx>
                <c:rich>
                  <a:bodyPr/>
                  <a:lstStyle/>
                  <a:p>
                    <a:r>
                      <a:rPr lang="en-US"/>
                      <a:t>2,70 %</a:t>
                    </a:r>
                  </a:p>
                </c:rich>
              </c:tx>
              <c:showPercent val="1"/>
              <c:extLst>
                <c:ext xmlns:c15="http://schemas.microsoft.com/office/drawing/2012/chart" uri="{CE6537A1-D6FC-4f65-9D91-7224C49458BB}"/>
              </c:extLst>
            </c:dLbl>
            <c:dLbl>
              <c:idx val="5"/>
              <c:layout>
                <c:manualLayout>
                  <c:x val="1.6665972690184258E-2"/>
                  <c:y val="-6.7949253219060013E-3"/>
                </c:manualLayout>
              </c:layout>
              <c:tx>
                <c:rich>
                  <a:bodyPr/>
                  <a:lstStyle/>
                  <a:p>
                    <a:r>
                      <a:rPr lang="en-US"/>
                      <a:t>5,41 %</a:t>
                    </a:r>
                  </a:p>
                </c:rich>
              </c:tx>
              <c:showPercent val="1"/>
              <c:extLst>
                <c:ext xmlns:c15="http://schemas.microsoft.com/office/drawing/2012/chart" uri="{CE6537A1-D6FC-4f65-9D91-7224C49458BB}"/>
              </c:extLst>
            </c:dLbl>
            <c:dLbl>
              <c:idx val="6"/>
              <c:layout>
                <c:manualLayout>
                  <c:x val="1.7408831882200743E-2"/>
                  <c:y val="-5.3202116814123047E-4"/>
                </c:manualLayout>
              </c:layout>
              <c:tx>
                <c:rich>
                  <a:bodyPr/>
                  <a:lstStyle/>
                  <a:p>
                    <a:r>
                      <a:rPr lang="en-US"/>
                      <a:t>5,41 %</a:t>
                    </a:r>
                  </a:p>
                </c:rich>
              </c:tx>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FIN!$G$56:$G$62</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FIN!$H$56:$H$62</c:f>
              <c:numCache>
                <c:formatCode>General</c:formatCode>
                <c:ptCount val="7"/>
                <c:pt idx="0">
                  <c:v>18</c:v>
                </c:pt>
                <c:pt idx="1">
                  <c:v>5</c:v>
                </c:pt>
                <c:pt idx="2">
                  <c:v>7</c:v>
                </c:pt>
                <c:pt idx="3">
                  <c:v>2</c:v>
                </c:pt>
                <c:pt idx="4">
                  <c:v>1</c:v>
                </c:pt>
                <c:pt idx="5">
                  <c:v>2</c:v>
                </c:pt>
                <c:pt idx="6">
                  <c:v>2</c:v>
                </c:pt>
              </c:numCache>
            </c:numRef>
          </c:val>
        </c:ser>
        <c:dLbls/>
        <c:firstSliceAng val="0"/>
      </c:pieChart>
    </c:plotArea>
    <c:legend>
      <c:legendPos val="r"/>
    </c:legend>
    <c:plotVisOnly val="1"/>
    <c:dispBlanksAs val="zero"/>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FIN!$H$84</c:f>
              <c:strCache>
                <c:ptCount val="1"/>
                <c:pt idx="0">
                  <c:v>2012-2013</c:v>
                </c:pt>
              </c:strCache>
            </c:strRef>
          </c:tx>
          <c:spPr>
            <a:solidFill>
              <a:schemeClr val="bg1">
                <a:lumMod val="65000"/>
              </a:schemeClr>
            </a:solidFill>
          </c:spPr>
          <c:cat>
            <c:strRef>
              <c:f>FIN!$G$85:$G$86</c:f>
              <c:strCache>
                <c:ptCount val="2"/>
                <c:pt idx="0">
                  <c:v>Divulgation complète </c:v>
                </c:pt>
                <c:pt idx="1">
                  <c:v>Divulgation partielle </c:v>
                </c:pt>
              </c:strCache>
            </c:strRef>
          </c:cat>
          <c:val>
            <c:numRef>
              <c:f>FIN!$H$85:$H$86</c:f>
              <c:numCache>
                <c:formatCode>0.00%</c:formatCode>
                <c:ptCount val="2"/>
                <c:pt idx="0">
                  <c:v>0.12227074235807878</c:v>
                </c:pt>
                <c:pt idx="1">
                  <c:v>0.60698689956331875</c:v>
                </c:pt>
              </c:numCache>
            </c:numRef>
          </c:val>
        </c:ser>
        <c:ser>
          <c:idx val="1"/>
          <c:order val="1"/>
          <c:tx>
            <c:strRef>
              <c:f>FIN!$I$84</c:f>
              <c:strCache>
                <c:ptCount val="1"/>
                <c:pt idx="0">
                  <c:v>2013-2014</c:v>
                </c:pt>
              </c:strCache>
            </c:strRef>
          </c:tx>
          <c:spPr>
            <a:solidFill>
              <a:srgbClr val="FFC000"/>
            </a:solidFill>
          </c:spPr>
          <c:cat>
            <c:strRef>
              <c:f>FIN!$G$85:$G$86</c:f>
              <c:strCache>
                <c:ptCount val="2"/>
                <c:pt idx="0">
                  <c:v>Divulgation complète </c:v>
                </c:pt>
                <c:pt idx="1">
                  <c:v>Divulgation partielle </c:v>
                </c:pt>
              </c:strCache>
            </c:strRef>
          </c:cat>
          <c:val>
            <c:numRef>
              <c:f>FIN!$I$85:$I$86</c:f>
              <c:numCache>
                <c:formatCode>0.00%</c:formatCode>
                <c:ptCount val="2"/>
                <c:pt idx="0">
                  <c:v>9.7731239092495634E-2</c:v>
                </c:pt>
                <c:pt idx="1">
                  <c:v>0.61431064572425731</c:v>
                </c:pt>
              </c:numCache>
            </c:numRef>
          </c:val>
        </c:ser>
        <c:ser>
          <c:idx val="2"/>
          <c:order val="2"/>
          <c:tx>
            <c:strRef>
              <c:f>FIN!$J$84</c:f>
              <c:strCache>
                <c:ptCount val="1"/>
                <c:pt idx="0">
                  <c:v>2014-2015</c:v>
                </c:pt>
              </c:strCache>
            </c:strRef>
          </c:tx>
          <c:spPr>
            <a:solidFill>
              <a:schemeClr val="accent5">
                <a:lumMod val="75000"/>
              </a:schemeClr>
            </a:solidFill>
          </c:spPr>
          <c:cat>
            <c:strRef>
              <c:f>FIN!$G$85:$G$86</c:f>
              <c:strCache>
                <c:ptCount val="2"/>
                <c:pt idx="0">
                  <c:v>Divulgation complète </c:v>
                </c:pt>
                <c:pt idx="1">
                  <c:v>Divulgation partielle </c:v>
                </c:pt>
              </c:strCache>
            </c:strRef>
          </c:cat>
          <c:val>
            <c:numRef>
              <c:f>FIN!$J$85:$J$86</c:f>
              <c:numCache>
                <c:formatCode>0.00%</c:formatCode>
                <c:ptCount val="2"/>
                <c:pt idx="0">
                  <c:v>8.7136929460580964E-2</c:v>
                </c:pt>
                <c:pt idx="1">
                  <c:v>0.61825726141078863</c:v>
                </c:pt>
              </c:numCache>
            </c:numRef>
          </c:val>
        </c:ser>
        <c:dLbls/>
        <c:axId val="254487552"/>
        <c:axId val="254501632"/>
      </c:barChart>
      <c:catAx>
        <c:axId val="254487552"/>
        <c:scaling>
          <c:orientation val="minMax"/>
        </c:scaling>
        <c:axPos val="b"/>
        <c:numFmt formatCode="General" sourceLinked="0"/>
        <c:tickLblPos val="nextTo"/>
        <c:crossAx val="254501632"/>
        <c:crosses val="autoZero"/>
        <c:auto val="1"/>
        <c:lblAlgn val="ctr"/>
        <c:lblOffset val="100"/>
      </c:catAx>
      <c:valAx>
        <c:axId val="254501632"/>
        <c:scaling>
          <c:orientation val="minMax"/>
        </c:scaling>
        <c:axPos val="l"/>
        <c:majorGridlines/>
        <c:numFmt formatCode="0%" sourceLinked="0"/>
        <c:tickLblPos val="nextTo"/>
        <c:crossAx val="254487552"/>
        <c:crosses val="autoZero"/>
        <c:crossBetween val="between"/>
      </c:valAx>
    </c:plotArea>
    <c:legend>
      <c:legendPos val="b"/>
    </c:legend>
    <c:plotVisOnly val="1"/>
    <c:dispBlanksAs val="gap"/>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DFO!$G$2</c:f>
              <c:strCache>
                <c:ptCount val="1"/>
                <c:pt idx="0">
                  <c:v>2012-2013</c:v>
                </c:pt>
              </c:strCache>
            </c:strRef>
          </c:tx>
          <c:spPr>
            <a:solidFill>
              <a:schemeClr val="bg1">
                <a:lumMod val="65000"/>
              </a:schemeClr>
            </a:solidFill>
          </c:spPr>
          <c:cat>
            <c:strRef>
              <c:f>DFO!$F$3:$F$8</c:f>
              <c:strCache>
                <c:ptCount val="6"/>
                <c:pt idx="0">
                  <c:v>30 jours ou moins</c:v>
                </c:pt>
                <c:pt idx="1">
                  <c:v>31 à 60 jours</c:v>
                </c:pt>
                <c:pt idx="2">
                  <c:v>61 à 120 jours</c:v>
                </c:pt>
                <c:pt idx="3">
                  <c:v>121 à 180 jours</c:v>
                </c:pt>
                <c:pt idx="4">
                  <c:v>181 à 365 jours</c:v>
                </c:pt>
                <c:pt idx="5">
                  <c:v>Plus de 365 jours</c:v>
                </c:pt>
              </c:strCache>
            </c:strRef>
          </c:cat>
          <c:val>
            <c:numRef>
              <c:f>DFO!$G$3:$G$8</c:f>
              <c:numCache>
                <c:formatCode>0.00%</c:formatCode>
                <c:ptCount val="6"/>
                <c:pt idx="0">
                  <c:v>0.5916114790286976</c:v>
                </c:pt>
                <c:pt idx="1">
                  <c:v>0.15452538631346596</c:v>
                </c:pt>
                <c:pt idx="2">
                  <c:v>0.14790286975717451</c:v>
                </c:pt>
                <c:pt idx="3">
                  <c:v>5.7395143487858707E-2</c:v>
                </c:pt>
                <c:pt idx="4">
                  <c:v>3.5320088300220751E-2</c:v>
                </c:pt>
                <c:pt idx="5">
                  <c:v>1.3245033112582781E-2</c:v>
                </c:pt>
              </c:numCache>
            </c:numRef>
          </c:val>
        </c:ser>
        <c:ser>
          <c:idx val="1"/>
          <c:order val="1"/>
          <c:tx>
            <c:strRef>
              <c:f>DFO!$H$2</c:f>
              <c:strCache>
                <c:ptCount val="1"/>
                <c:pt idx="0">
                  <c:v>2013-2014</c:v>
                </c:pt>
              </c:strCache>
            </c:strRef>
          </c:tx>
          <c:spPr>
            <a:solidFill>
              <a:srgbClr val="FFC000"/>
            </a:solidFill>
          </c:spPr>
          <c:cat>
            <c:strRef>
              <c:f>DFO!$F$3:$F$8</c:f>
              <c:strCache>
                <c:ptCount val="6"/>
                <c:pt idx="0">
                  <c:v>30 jours ou moins</c:v>
                </c:pt>
                <c:pt idx="1">
                  <c:v>31 à 60 jours</c:v>
                </c:pt>
                <c:pt idx="2">
                  <c:v>61 à 120 jours</c:v>
                </c:pt>
                <c:pt idx="3">
                  <c:v>121 à 180 jours</c:v>
                </c:pt>
                <c:pt idx="4">
                  <c:v>181 à 365 jours</c:v>
                </c:pt>
                <c:pt idx="5">
                  <c:v>Plus de 365 jours</c:v>
                </c:pt>
              </c:strCache>
            </c:strRef>
          </c:cat>
          <c:val>
            <c:numRef>
              <c:f>DFO!$H$3:$H$8</c:f>
              <c:numCache>
                <c:formatCode>0.00%</c:formatCode>
                <c:ptCount val="6"/>
                <c:pt idx="0">
                  <c:v>0.4634760705289675</c:v>
                </c:pt>
                <c:pt idx="1">
                  <c:v>0.12090680100755667</c:v>
                </c:pt>
                <c:pt idx="2">
                  <c:v>0.17632241813602029</c:v>
                </c:pt>
                <c:pt idx="3">
                  <c:v>6.5491183879093251E-2</c:v>
                </c:pt>
                <c:pt idx="4">
                  <c:v>9.3198992443325038E-2</c:v>
                </c:pt>
                <c:pt idx="5">
                  <c:v>8.0604534005037795E-2</c:v>
                </c:pt>
              </c:numCache>
            </c:numRef>
          </c:val>
        </c:ser>
        <c:ser>
          <c:idx val="2"/>
          <c:order val="2"/>
          <c:tx>
            <c:strRef>
              <c:f>DFO!$I$2</c:f>
              <c:strCache>
                <c:ptCount val="1"/>
                <c:pt idx="0">
                  <c:v>2014-2015</c:v>
                </c:pt>
              </c:strCache>
            </c:strRef>
          </c:tx>
          <c:spPr>
            <a:solidFill>
              <a:schemeClr val="accent5">
                <a:lumMod val="75000"/>
              </a:schemeClr>
            </a:solidFill>
          </c:spPr>
          <c:cat>
            <c:strRef>
              <c:f>DFO!$F$3:$F$8</c:f>
              <c:strCache>
                <c:ptCount val="6"/>
                <c:pt idx="0">
                  <c:v>30 jours ou moins</c:v>
                </c:pt>
                <c:pt idx="1">
                  <c:v>31 à 60 jours</c:v>
                </c:pt>
                <c:pt idx="2">
                  <c:v>61 à 120 jours</c:v>
                </c:pt>
                <c:pt idx="3">
                  <c:v>121 à 180 jours</c:v>
                </c:pt>
                <c:pt idx="4">
                  <c:v>181 à 365 jours</c:v>
                </c:pt>
                <c:pt idx="5">
                  <c:v>Plus de 365 jours</c:v>
                </c:pt>
              </c:strCache>
            </c:strRef>
          </c:cat>
          <c:val>
            <c:numRef>
              <c:f>DFO!$I$3:$I$8</c:f>
              <c:numCache>
                <c:formatCode>0.00%</c:formatCode>
                <c:ptCount val="6"/>
                <c:pt idx="0">
                  <c:v>0.44532803180914554</c:v>
                </c:pt>
                <c:pt idx="1">
                  <c:v>0.13121272365805167</c:v>
                </c:pt>
                <c:pt idx="2">
                  <c:v>0.18290258449304186</c:v>
                </c:pt>
                <c:pt idx="3">
                  <c:v>6.1630218687872745E-2</c:v>
                </c:pt>
                <c:pt idx="4">
                  <c:v>8.1510934393638226E-2</c:v>
                </c:pt>
                <c:pt idx="5">
                  <c:v>9.7415506958250506E-2</c:v>
                </c:pt>
              </c:numCache>
            </c:numRef>
          </c:val>
        </c:ser>
        <c:dLbls/>
        <c:axId val="254524032"/>
        <c:axId val="254677376"/>
      </c:barChart>
      <c:catAx>
        <c:axId val="254524032"/>
        <c:scaling>
          <c:orientation val="minMax"/>
        </c:scaling>
        <c:axPos val="b"/>
        <c:numFmt formatCode="General" sourceLinked="0"/>
        <c:tickLblPos val="nextTo"/>
        <c:crossAx val="254677376"/>
        <c:crosses val="autoZero"/>
        <c:auto val="1"/>
        <c:lblAlgn val="ctr"/>
        <c:lblOffset val="100"/>
      </c:catAx>
      <c:valAx>
        <c:axId val="254677376"/>
        <c:scaling>
          <c:orientation val="minMax"/>
        </c:scaling>
        <c:axPos val="l"/>
        <c:majorGridlines/>
        <c:numFmt formatCode="0%" sourceLinked="0"/>
        <c:tickLblPos val="nextTo"/>
        <c:crossAx val="254524032"/>
        <c:crosses val="autoZero"/>
        <c:crossBetween val="between"/>
      </c:valAx>
    </c:plotArea>
    <c:legend>
      <c:legendPos val="b"/>
    </c:legend>
    <c:plotVisOnly val="1"/>
    <c:dispBlanksAs val="gap"/>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DFO!$G$30</c:f>
              <c:strCache>
                <c:ptCount val="1"/>
                <c:pt idx="0">
                  <c:v>2012-2013</c:v>
                </c:pt>
              </c:strCache>
            </c:strRef>
          </c:tx>
          <c:spPr>
            <a:solidFill>
              <a:schemeClr val="bg1">
                <a:lumMod val="65000"/>
              </a:schemeClr>
            </a:solidFill>
          </c:spPr>
          <c:cat>
            <c:strRef>
              <c:f>DFO!$F$31:$F$36</c:f>
              <c:strCache>
                <c:ptCount val="6"/>
                <c:pt idx="0">
                  <c:v>30 jours ou moins</c:v>
                </c:pt>
                <c:pt idx="1">
                  <c:v>31 à 60 jours</c:v>
                </c:pt>
                <c:pt idx="2">
                  <c:v>61 à 120 jours</c:v>
                </c:pt>
                <c:pt idx="3">
                  <c:v>121 à 180 jours</c:v>
                </c:pt>
                <c:pt idx="4">
                  <c:v>181 à 365 jours</c:v>
                </c:pt>
                <c:pt idx="5">
                  <c:v>Plus de 365 jours</c:v>
                </c:pt>
              </c:strCache>
            </c:strRef>
          </c:cat>
          <c:val>
            <c:numRef>
              <c:f>DFO!$G$31:$G$36</c:f>
              <c:numCache>
                <c:formatCode>0.00%</c:formatCode>
                <c:ptCount val="6"/>
                <c:pt idx="0">
                  <c:v>0.35260000000000002</c:v>
                </c:pt>
                <c:pt idx="1">
                  <c:v>0.30060000000000031</c:v>
                </c:pt>
                <c:pt idx="2">
                  <c:v>0.20810000000000001</c:v>
                </c:pt>
                <c:pt idx="3">
                  <c:v>9.2500000000000027E-2</c:v>
                </c:pt>
                <c:pt idx="4">
                  <c:v>4.0500000000000001E-2</c:v>
                </c:pt>
                <c:pt idx="5">
                  <c:v>5.8000000000000013E-3</c:v>
                </c:pt>
              </c:numCache>
            </c:numRef>
          </c:val>
        </c:ser>
        <c:ser>
          <c:idx val="1"/>
          <c:order val="1"/>
          <c:tx>
            <c:strRef>
              <c:f>DFO!$H$30</c:f>
              <c:strCache>
                <c:ptCount val="1"/>
                <c:pt idx="0">
                  <c:v>2013-2014</c:v>
                </c:pt>
              </c:strCache>
            </c:strRef>
          </c:tx>
          <c:spPr>
            <a:solidFill>
              <a:srgbClr val="FFC000"/>
            </a:solidFill>
          </c:spPr>
          <c:cat>
            <c:strRef>
              <c:f>DFO!$F$31:$F$36</c:f>
              <c:strCache>
                <c:ptCount val="6"/>
                <c:pt idx="0">
                  <c:v>30 jours ou moins</c:v>
                </c:pt>
                <c:pt idx="1">
                  <c:v>31 à 60 jours</c:v>
                </c:pt>
                <c:pt idx="2">
                  <c:v>61 à 120 jours</c:v>
                </c:pt>
                <c:pt idx="3">
                  <c:v>121 à 180 jours</c:v>
                </c:pt>
                <c:pt idx="4">
                  <c:v>181 à 365 jours</c:v>
                </c:pt>
                <c:pt idx="5">
                  <c:v>Plus de 365 jours</c:v>
                </c:pt>
              </c:strCache>
            </c:strRef>
          </c:cat>
          <c:val>
            <c:numRef>
              <c:f>DFO!$H$31:$H$36</c:f>
              <c:numCache>
                <c:formatCode>0.00%</c:formatCode>
                <c:ptCount val="6"/>
                <c:pt idx="0">
                  <c:v>0.34150000000000008</c:v>
                </c:pt>
                <c:pt idx="1">
                  <c:v>0.29620000000000002</c:v>
                </c:pt>
                <c:pt idx="2">
                  <c:v>0.15330000000000016</c:v>
                </c:pt>
                <c:pt idx="3">
                  <c:v>8.3600000000000133E-2</c:v>
                </c:pt>
                <c:pt idx="4">
                  <c:v>0.12200000000000008</c:v>
                </c:pt>
                <c:pt idx="5">
                  <c:v>3.5000000000000027E-3</c:v>
                </c:pt>
              </c:numCache>
            </c:numRef>
          </c:val>
        </c:ser>
        <c:ser>
          <c:idx val="2"/>
          <c:order val="2"/>
          <c:tx>
            <c:strRef>
              <c:f>DFO!$I$30</c:f>
              <c:strCache>
                <c:ptCount val="1"/>
                <c:pt idx="0">
                  <c:v>2014-2015</c:v>
                </c:pt>
              </c:strCache>
            </c:strRef>
          </c:tx>
          <c:spPr>
            <a:solidFill>
              <a:schemeClr val="accent5">
                <a:lumMod val="75000"/>
              </a:schemeClr>
            </a:solidFill>
          </c:spPr>
          <c:cat>
            <c:strRef>
              <c:f>DFO!$F$31:$F$36</c:f>
              <c:strCache>
                <c:ptCount val="6"/>
                <c:pt idx="0">
                  <c:v>30 jours ou moins</c:v>
                </c:pt>
                <c:pt idx="1">
                  <c:v>31 à 60 jours</c:v>
                </c:pt>
                <c:pt idx="2">
                  <c:v>61 à 120 jours</c:v>
                </c:pt>
                <c:pt idx="3">
                  <c:v>121 à 180 jours</c:v>
                </c:pt>
                <c:pt idx="4">
                  <c:v>181 à 365 jours</c:v>
                </c:pt>
                <c:pt idx="5">
                  <c:v>Plus de 365 jours</c:v>
                </c:pt>
              </c:strCache>
            </c:strRef>
          </c:cat>
          <c:val>
            <c:numRef>
              <c:f>DFO!$I$31:$I$36</c:f>
              <c:numCache>
                <c:formatCode>0.00%</c:formatCode>
                <c:ptCount val="6"/>
                <c:pt idx="0">
                  <c:v>0.29040000000000032</c:v>
                </c:pt>
                <c:pt idx="1">
                  <c:v>0.33420000000000033</c:v>
                </c:pt>
                <c:pt idx="2">
                  <c:v>0.16990000000000016</c:v>
                </c:pt>
                <c:pt idx="3">
                  <c:v>0.13969999999999999</c:v>
                </c:pt>
                <c:pt idx="4">
                  <c:v>6.3E-2</c:v>
                </c:pt>
                <c:pt idx="5">
                  <c:v>2.7000000000000032E-3</c:v>
                </c:pt>
              </c:numCache>
            </c:numRef>
          </c:val>
        </c:ser>
        <c:dLbls/>
        <c:axId val="254707968"/>
        <c:axId val="254722048"/>
      </c:barChart>
      <c:catAx>
        <c:axId val="254707968"/>
        <c:scaling>
          <c:orientation val="minMax"/>
        </c:scaling>
        <c:axPos val="b"/>
        <c:numFmt formatCode="General" sourceLinked="0"/>
        <c:tickLblPos val="nextTo"/>
        <c:crossAx val="254722048"/>
        <c:crosses val="autoZero"/>
        <c:auto val="1"/>
        <c:lblAlgn val="ctr"/>
        <c:lblOffset val="100"/>
      </c:catAx>
      <c:valAx>
        <c:axId val="254722048"/>
        <c:scaling>
          <c:orientation val="minMax"/>
        </c:scaling>
        <c:axPos val="l"/>
        <c:majorGridlines/>
        <c:numFmt formatCode="0%" sourceLinked="0"/>
        <c:tickLblPos val="nextTo"/>
        <c:crossAx val="254707968"/>
        <c:crosses val="autoZero"/>
        <c:crossBetween val="between"/>
      </c:valAx>
    </c:plotArea>
    <c:legend>
      <c:legendPos val="b"/>
    </c:legend>
    <c:plotVisOnly val="1"/>
    <c:dispBlanksAs val="gap"/>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DFO!$H$56</c:f>
              <c:strCache>
                <c:ptCount val="1"/>
                <c:pt idx="0">
                  <c:v>2014-2015</c:v>
                </c:pt>
              </c:strCache>
            </c:strRef>
          </c:tx>
          <c:dPt>
            <c:idx val="2"/>
            <c:spPr>
              <a:solidFill>
                <a:schemeClr val="bg1">
                  <a:lumMod val="50000"/>
                </a:schemeClr>
              </a:solidFill>
            </c:spPr>
          </c:dPt>
          <c:dPt>
            <c:idx val="3"/>
            <c:spPr>
              <a:solidFill>
                <a:schemeClr val="accent5">
                  <a:lumMod val="60000"/>
                  <a:lumOff val="40000"/>
                </a:schemeClr>
              </a:solidFill>
            </c:spPr>
          </c:dPt>
          <c:dPt>
            <c:idx val="4"/>
            <c:spPr>
              <a:solidFill>
                <a:schemeClr val="accent6">
                  <a:lumMod val="50000"/>
                </a:schemeClr>
              </a:solidFill>
            </c:spPr>
          </c:dPt>
          <c:dPt>
            <c:idx val="5"/>
            <c:spPr>
              <a:solidFill>
                <a:srgbClr val="FFC000"/>
              </a:solidFill>
            </c:spPr>
          </c:dPt>
          <c:dPt>
            <c:idx val="6"/>
            <c:spPr>
              <a:solidFill>
                <a:schemeClr val="accent5">
                  <a:lumMod val="50000"/>
                </a:schemeClr>
              </a:solidFill>
            </c:spPr>
          </c:dPt>
          <c:dLbls>
            <c:dLbl>
              <c:idx val="0"/>
              <c:layout>
                <c:manualLayout>
                  <c:x val="-3.0669165853279327E-3"/>
                  <c:y val="8.4007460452014231E-3"/>
                </c:manualLayout>
              </c:layout>
              <c:tx>
                <c:rich>
                  <a:bodyPr/>
                  <a:lstStyle/>
                  <a:p>
                    <a:r>
                      <a:rPr lang="en-US"/>
                      <a:t>12,09 %</a:t>
                    </a:r>
                  </a:p>
                </c:rich>
              </c:tx>
              <c:showPercent val="1"/>
              <c:extLst>
                <c:ext xmlns:c15="http://schemas.microsoft.com/office/drawing/2012/chart" uri="{CE6537A1-D6FC-4f65-9D91-7224C49458BB}">
                  <c15:layout/>
                </c:ext>
              </c:extLst>
            </c:dLbl>
            <c:dLbl>
              <c:idx val="1"/>
              <c:tx>
                <c:rich>
                  <a:bodyPr/>
                  <a:lstStyle/>
                  <a:p>
                    <a:r>
                      <a:rPr lang="en-US"/>
                      <a:t>1,10 %</a:t>
                    </a:r>
                  </a:p>
                </c:rich>
              </c:tx>
              <c:showPercent val="1"/>
              <c:extLst>
                <c:ext xmlns:c15="http://schemas.microsoft.com/office/drawing/2012/chart" uri="{CE6537A1-D6FC-4f65-9D91-7224C49458BB}">
                  <c15:layout/>
                </c:ext>
              </c:extLst>
            </c:dLbl>
            <c:dLbl>
              <c:idx val="2"/>
              <c:layout>
                <c:manualLayout>
                  <c:x val="1.116117162329089E-2"/>
                  <c:y val="1.1757114289693588E-2"/>
                </c:manualLayout>
              </c:layout>
              <c:tx>
                <c:rich>
                  <a:bodyPr/>
                  <a:lstStyle/>
                  <a:p>
                    <a:r>
                      <a:rPr lang="en-US"/>
                      <a:t>6,59 %</a:t>
                    </a:r>
                  </a:p>
                </c:rich>
              </c:tx>
              <c:showPercent val="1"/>
              <c:extLst>
                <c:ext xmlns:c15="http://schemas.microsoft.com/office/drawing/2012/chart" uri="{CE6537A1-D6FC-4f65-9D91-7224C49458BB}">
                  <c15:layout/>
                </c:ext>
              </c:extLst>
            </c:dLbl>
            <c:dLbl>
              <c:idx val="3"/>
              <c:layout>
                <c:manualLayout>
                  <c:x val="2.2985387934572618E-3"/>
                  <c:y val="-2.084016521800007E-3"/>
                </c:manualLayout>
              </c:layout>
              <c:tx>
                <c:rich>
                  <a:bodyPr/>
                  <a:lstStyle/>
                  <a:p>
                    <a:r>
                      <a:rPr lang="en-US"/>
                      <a:t>10,99 %</a:t>
                    </a:r>
                  </a:p>
                </c:rich>
              </c:tx>
              <c:showPercent val="1"/>
              <c:extLst>
                <c:ext xmlns:c15="http://schemas.microsoft.com/office/drawing/2012/chart" uri="{CE6537A1-D6FC-4f65-9D91-7224C49458BB}">
                  <c15:layout/>
                </c:ext>
              </c:extLst>
            </c:dLbl>
            <c:dLbl>
              <c:idx val="4"/>
              <c:layout>
                <c:manualLayout>
                  <c:x val="1.8355694857007967E-2"/>
                  <c:y val="-2.7135215409436757E-3"/>
                </c:manualLayout>
              </c:layout>
              <c:tx>
                <c:rich>
                  <a:bodyPr/>
                  <a:lstStyle/>
                  <a:p>
                    <a:r>
                      <a:rPr lang="en-US"/>
                      <a:t>14,29 %</a:t>
                    </a:r>
                  </a:p>
                </c:rich>
              </c:tx>
              <c:showPercent val="1"/>
              <c:extLst>
                <c:ext xmlns:c15="http://schemas.microsoft.com/office/drawing/2012/chart" uri="{CE6537A1-D6FC-4f65-9D91-7224C49458BB}">
                  <c15:layout/>
                </c:ext>
              </c:extLst>
            </c:dLbl>
            <c:dLbl>
              <c:idx val="5"/>
              <c:layout>
                <c:manualLayout>
                  <c:x val="-1.1590640143041004E-2"/>
                  <c:y val="2.8773783384062378E-3"/>
                </c:manualLayout>
              </c:layout>
              <c:tx>
                <c:rich>
                  <a:bodyPr/>
                  <a:lstStyle/>
                  <a:p>
                    <a:r>
                      <a:rPr lang="en-US"/>
                      <a:t>16,48 %</a:t>
                    </a:r>
                  </a:p>
                </c:rich>
              </c:tx>
              <c:showPercent val="1"/>
              <c:extLst>
                <c:ext xmlns:c15="http://schemas.microsoft.com/office/drawing/2012/chart" uri="{CE6537A1-D6FC-4f65-9D91-7224C49458BB}">
                  <c15:layout/>
                </c:ext>
              </c:extLst>
            </c:dLbl>
            <c:dLbl>
              <c:idx val="6"/>
              <c:layout>
                <c:manualLayout>
                  <c:x val="9.3064757149890816E-3"/>
                  <c:y val="-4.2445137847154084E-2"/>
                </c:manualLayout>
              </c:layout>
              <c:tx>
                <c:rich>
                  <a:bodyPr/>
                  <a:lstStyle/>
                  <a:p>
                    <a:r>
                      <a:rPr lang="en-US"/>
                      <a:t>38,46 %</a:t>
                    </a:r>
                  </a:p>
                </c:rich>
              </c:tx>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DFO!$G$57:$G$63</c:f>
              <c:strCache>
                <c:ptCount val="7"/>
                <c:pt idx="0">
                  <c:v>1 à 15 jours</c:v>
                </c:pt>
                <c:pt idx="1">
                  <c:v>16 à 30 jours</c:v>
                </c:pt>
                <c:pt idx="2">
                  <c:v>31 à 60 jours</c:v>
                </c:pt>
                <c:pt idx="3">
                  <c:v>61 à 120 jours</c:v>
                </c:pt>
                <c:pt idx="4">
                  <c:v>121 à 180 jours</c:v>
                </c:pt>
                <c:pt idx="5">
                  <c:v>181 à 365 jours</c:v>
                </c:pt>
                <c:pt idx="6">
                  <c:v>Plus de 365 jours</c:v>
                </c:pt>
              </c:strCache>
            </c:strRef>
          </c:cat>
          <c:val>
            <c:numRef>
              <c:f>DFO!$H$57:$H$63</c:f>
              <c:numCache>
                <c:formatCode>General</c:formatCode>
                <c:ptCount val="7"/>
                <c:pt idx="0">
                  <c:v>11</c:v>
                </c:pt>
                <c:pt idx="1">
                  <c:v>1</c:v>
                </c:pt>
                <c:pt idx="2">
                  <c:v>6</c:v>
                </c:pt>
                <c:pt idx="3">
                  <c:v>10</c:v>
                </c:pt>
                <c:pt idx="4">
                  <c:v>13</c:v>
                </c:pt>
                <c:pt idx="5">
                  <c:v>15</c:v>
                </c:pt>
                <c:pt idx="6">
                  <c:v>35</c:v>
                </c:pt>
              </c:numCache>
            </c:numRef>
          </c:val>
        </c:ser>
        <c:dLbls/>
        <c:firstSliceAng val="0"/>
      </c:pieChart>
    </c:plotArea>
    <c:legend>
      <c:legendPos val="r"/>
    </c:legend>
    <c:plotVisOnly val="1"/>
    <c:dispBlanksAs val="zero"/>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DFO!$H$85</c:f>
              <c:strCache>
                <c:ptCount val="1"/>
                <c:pt idx="0">
                  <c:v>2012-2013</c:v>
                </c:pt>
              </c:strCache>
            </c:strRef>
          </c:tx>
          <c:spPr>
            <a:solidFill>
              <a:schemeClr val="bg1">
                <a:lumMod val="65000"/>
              </a:schemeClr>
            </a:solidFill>
          </c:spPr>
          <c:cat>
            <c:strRef>
              <c:f>DFO!$G$86:$G$87</c:f>
              <c:strCache>
                <c:ptCount val="2"/>
                <c:pt idx="0">
                  <c:v>Divulgation complète </c:v>
                </c:pt>
                <c:pt idx="1">
                  <c:v>Divulgation partielle </c:v>
                </c:pt>
              </c:strCache>
            </c:strRef>
          </c:cat>
          <c:val>
            <c:numRef>
              <c:f>DFO!$H$86:$H$87</c:f>
              <c:numCache>
                <c:formatCode>0.00%</c:formatCode>
                <c:ptCount val="2"/>
                <c:pt idx="0">
                  <c:v>0.18101545253863163</c:v>
                </c:pt>
                <c:pt idx="1">
                  <c:v>0.43708609271523213</c:v>
                </c:pt>
              </c:numCache>
            </c:numRef>
          </c:val>
        </c:ser>
        <c:ser>
          <c:idx val="1"/>
          <c:order val="1"/>
          <c:tx>
            <c:strRef>
              <c:f>DFO!$I$85</c:f>
              <c:strCache>
                <c:ptCount val="1"/>
                <c:pt idx="0">
                  <c:v>2013-2014</c:v>
                </c:pt>
              </c:strCache>
            </c:strRef>
          </c:tx>
          <c:spPr>
            <a:solidFill>
              <a:srgbClr val="FFC000"/>
            </a:solidFill>
          </c:spPr>
          <c:cat>
            <c:strRef>
              <c:f>DFO!$G$86:$G$87</c:f>
              <c:strCache>
                <c:ptCount val="2"/>
                <c:pt idx="0">
                  <c:v>Divulgation complète </c:v>
                </c:pt>
                <c:pt idx="1">
                  <c:v>Divulgation partielle </c:v>
                </c:pt>
              </c:strCache>
            </c:strRef>
          </c:cat>
          <c:val>
            <c:numRef>
              <c:f>DFO!$I$86:$I$87</c:f>
              <c:numCache>
                <c:formatCode>0.00%</c:formatCode>
                <c:ptCount val="2"/>
                <c:pt idx="0">
                  <c:v>0.16624685138539075</c:v>
                </c:pt>
                <c:pt idx="1">
                  <c:v>0.50629722921914355</c:v>
                </c:pt>
              </c:numCache>
            </c:numRef>
          </c:val>
        </c:ser>
        <c:ser>
          <c:idx val="2"/>
          <c:order val="2"/>
          <c:tx>
            <c:strRef>
              <c:f>DFO!$J$85</c:f>
              <c:strCache>
                <c:ptCount val="1"/>
                <c:pt idx="0">
                  <c:v>2014-2015</c:v>
                </c:pt>
              </c:strCache>
            </c:strRef>
          </c:tx>
          <c:spPr>
            <a:solidFill>
              <a:schemeClr val="accent5">
                <a:lumMod val="75000"/>
              </a:schemeClr>
            </a:solidFill>
          </c:spPr>
          <c:cat>
            <c:strRef>
              <c:f>DFO!$G$86:$G$87</c:f>
              <c:strCache>
                <c:ptCount val="2"/>
                <c:pt idx="0">
                  <c:v>Divulgation complète </c:v>
                </c:pt>
                <c:pt idx="1">
                  <c:v>Divulgation partielle </c:v>
                </c:pt>
              </c:strCache>
            </c:strRef>
          </c:cat>
          <c:val>
            <c:numRef>
              <c:f>DFO!$J$86:$J$87</c:f>
              <c:numCache>
                <c:formatCode>0.00%</c:formatCode>
                <c:ptCount val="2"/>
                <c:pt idx="0">
                  <c:v>0.12922465208747524</c:v>
                </c:pt>
                <c:pt idx="1">
                  <c:v>0.55467196819085485</c:v>
                </c:pt>
              </c:numCache>
            </c:numRef>
          </c:val>
        </c:ser>
        <c:dLbls/>
        <c:axId val="254858752"/>
        <c:axId val="254860288"/>
      </c:barChart>
      <c:catAx>
        <c:axId val="254858752"/>
        <c:scaling>
          <c:orientation val="minMax"/>
        </c:scaling>
        <c:axPos val="b"/>
        <c:numFmt formatCode="General" sourceLinked="0"/>
        <c:tickLblPos val="nextTo"/>
        <c:crossAx val="254860288"/>
        <c:crosses val="autoZero"/>
        <c:auto val="1"/>
        <c:lblAlgn val="ctr"/>
        <c:lblOffset val="100"/>
      </c:catAx>
      <c:valAx>
        <c:axId val="254860288"/>
        <c:scaling>
          <c:orientation val="minMax"/>
        </c:scaling>
        <c:axPos val="l"/>
        <c:majorGridlines/>
        <c:numFmt formatCode="0%" sourceLinked="0"/>
        <c:tickLblPos val="nextTo"/>
        <c:crossAx val="254858752"/>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CBSA!$N$86</c:f>
              <c:strCache>
                <c:ptCount val="1"/>
                <c:pt idx="0">
                  <c:v>2012-2013</c:v>
                </c:pt>
              </c:strCache>
            </c:strRef>
          </c:tx>
          <c:spPr>
            <a:solidFill>
              <a:schemeClr val="bg1">
                <a:lumMod val="65000"/>
              </a:schemeClr>
            </a:solidFill>
          </c:spPr>
          <c:cat>
            <c:strRef>
              <c:f>CBSA!$M$87:$M$88</c:f>
              <c:strCache>
                <c:ptCount val="2"/>
                <c:pt idx="0">
                  <c:v>Divulgation complète </c:v>
                </c:pt>
                <c:pt idx="1">
                  <c:v>Divulgation partielle </c:v>
                </c:pt>
              </c:strCache>
            </c:strRef>
          </c:cat>
          <c:val>
            <c:numRef>
              <c:f>CBSA!$N$87:$N$88</c:f>
              <c:numCache>
                <c:formatCode>0.00%</c:formatCode>
                <c:ptCount val="2"/>
                <c:pt idx="0">
                  <c:v>0.44970000000000004</c:v>
                </c:pt>
                <c:pt idx="1">
                  <c:v>0.34832237979938019</c:v>
                </c:pt>
              </c:numCache>
            </c:numRef>
          </c:val>
        </c:ser>
        <c:ser>
          <c:idx val="1"/>
          <c:order val="1"/>
          <c:tx>
            <c:strRef>
              <c:f>CBSA!$O$86</c:f>
              <c:strCache>
                <c:ptCount val="1"/>
                <c:pt idx="0">
                  <c:v>2013-2014</c:v>
                </c:pt>
              </c:strCache>
            </c:strRef>
          </c:tx>
          <c:spPr>
            <a:solidFill>
              <a:srgbClr val="FFC000"/>
            </a:solidFill>
          </c:spPr>
          <c:cat>
            <c:strRef>
              <c:f>CBSA!$M$87:$M$88</c:f>
              <c:strCache>
                <c:ptCount val="2"/>
                <c:pt idx="0">
                  <c:v>Divulgation complète </c:v>
                </c:pt>
                <c:pt idx="1">
                  <c:v>Divulgation partielle </c:v>
                </c:pt>
              </c:strCache>
            </c:strRef>
          </c:cat>
          <c:val>
            <c:numRef>
              <c:f>CBSA!$O$87:$O$88</c:f>
              <c:numCache>
                <c:formatCode>0.00%</c:formatCode>
                <c:ptCount val="2"/>
                <c:pt idx="0">
                  <c:v>0.54600000000000004</c:v>
                </c:pt>
                <c:pt idx="1">
                  <c:v>0.36780000000000163</c:v>
                </c:pt>
              </c:numCache>
            </c:numRef>
          </c:val>
        </c:ser>
        <c:ser>
          <c:idx val="2"/>
          <c:order val="2"/>
          <c:tx>
            <c:strRef>
              <c:f>CBSA!$P$86</c:f>
              <c:strCache>
                <c:ptCount val="1"/>
                <c:pt idx="0">
                  <c:v>2014-2015</c:v>
                </c:pt>
              </c:strCache>
            </c:strRef>
          </c:tx>
          <c:spPr>
            <a:solidFill>
              <a:schemeClr val="accent5">
                <a:lumMod val="75000"/>
              </a:schemeClr>
            </a:solidFill>
          </c:spPr>
          <c:cat>
            <c:strRef>
              <c:f>CBSA!$M$87:$M$88</c:f>
              <c:strCache>
                <c:ptCount val="2"/>
                <c:pt idx="0">
                  <c:v>Divulgation complète </c:v>
                </c:pt>
                <c:pt idx="1">
                  <c:v>Divulgation partielle </c:v>
                </c:pt>
              </c:strCache>
            </c:strRef>
          </c:cat>
          <c:val>
            <c:numRef>
              <c:f>CBSA!$P$87:$P$88</c:f>
              <c:numCache>
                <c:formatCode>0.00%</c:formatCode>
                <c:ptCount val="2"/>
                <c:pt idx="0">
                  <c:v>0.59835342546309911</c:v>
                </c:pt>
                <c:pt idx="1">
                  <c:v>0.27874154660393774</c:v>
                </c:pt>
              </c:numCache>
            </c:numRef>
          </c:val>
        </c:ser>
        <c:dLbls/>
        <c:axId val="221525888"/>
        <c:axId val="221527424"/>
      </c:barChart>
      <c:catAx>
        <c:axId val="221525888"/>
        <c:scaling>
          <c:orientation val="minMax"/>
        </c:scaling>
        <c:axPos val="b"/>
        <c:numFmt formatCode="General" sourceLinked="0"/>
        <c:tickLblPos val="nextTo"/>
        <c:crossAx val="221527424"/>
        <c:crosses val="autoZero"/>
        <c:auto val="1"/>
        <c:lblAlgn val="ctr"/>
        <c:lblOffset val="100"/>
      </c:catAx>
      <c:valAx>
        <c:axId val="221527424"/>
        <c:scaling>
          <c:orientation val="minMax"/>
        </c:scaling>
        <c:axPos val="l"/>
        <c:majorGridlines/>
        <c:numFmt formatCode="0%" sourceLinked="0"/>
        <c:tickLblPos val="nextTo"/>
        <c:crossAx val="221525888"/>
        <c:crosses val="autoZero"/>
        <c:crossBetween val="between"/>
      </c:valAx>
    </c:plotArea>
    <c:legend>
      <c:legendPos val="b"/>
    </c:legend>
    <c:plotVisOnly val="1"/>
    <c:dispBlanksAs val="gap"/>
  </c:chart>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CBC!$G$2</c:f>
              <c:strCache>
                <c:ptCount val="1"/>
                <c:pt idx="0">
                  <c:v>2012-2013</c:v>
                </c:pt>
              </c:strCache>
            </c:strRef>
          </c:tx>
          <c:spPr>
            <a:solidFill>
              <a:schemeClr val="bg1">
                <a:lumMod val="65000"/>
              </a:schemeClr>
            </a:solidFill>
          </c:spPr>
          <c:cat>
            <c:strRef>
              <c:f>CBC!$F$3:$F$8</c:f>
              <c:strCache>
                <c:ptCount val="6"/>
                <c:pt idx="0">
                  <c:v>30 jours ou moins</c:v>
                </c:pt>
                <c:pt idx="1">
                  <c:v>31 à 60 jours</c:v>
                </c:pt>
                <c:pt idx="2">
                  <c:v>61 à 120 jours</c:v>
                </c:pt>
                <c:pt idx="3">
                  <c:v>121 à 180 jours</c:v>
                </c:pt>
                <c:pt idx="4">
                  <c:v>181 à 365 jours</c:v>
                </c:pt>
                <c:pt idx="5">
                  <c:v>Plus de 365 jours</c:v>
                </c:pt>
              </c:strCache>
            </c:strRef>
          </c:cat>
          <c:val>
            <c:numRef>
              <c:f>CBC!$G$3:$G$8</c:f>
              <c:numCache>
                <c:formatCode>0.00%</c:formatCode>
                <c:ptCount val="6"/>
                <c:pt idx="0">
                  <c:v>0.66450000000000065</c:v>
                </c:pt>
                <c:pt idx="1">
                  <c:v>0.13159999999999999</c:v>
                </c:pt>
                <c:pt idx="2">
                  <c:v>0.1711</c:v>
                </c:pt>
                <c:pt idx="3">
                  <c:v>6.6000000000000052E-3</c:v>
                </c:pt>
                <c:pt idx="4">
                  <c:v>1.9699999999999999E-2</c:v>
                </c:pt>
                <c:pt idx="5">
                  <c:v>6.6000000000000052E-3</c:v>
                </c:pt>
              </c:numCache>
            </c:numRef>
          </c:val>
        </c:ser>
        <c:ser>
          <c:idx val="1"/>
          <c:order val="1"/>
          <c:tx>
            <c:strRef>
              <c:f>CBC!$H$2</c:f>
              <c:strCache>
                <c:ptCount val="1"/>
                <c:pt idx="0">
                  <c:v>2013-2014</c:v>
                </c:pt>
              </c:strCache>
            </c:strRef>
          </c:tx>
          <c:spPr>
            <a:solidFill>
              <a:srgbClr val="FFC000"/>
            </a:solidFill>
          </c:spPr>
          <c:cat>
            <c:strRef>
              <c:f>CBC!$F$3:$F$8</c:f>
              <c:strCache>
                <c:ptCount val="6"/>
                <c:pt idx="0">
                  <c:v>30 jours ou moins</c:v>
                </c:pt>
                <c:pt idx="1">
                  <c:v>31 à 60 jours</c:v>
                </c:pt>
                <c:pt idx="2">
                  <c:v>61 à 120 jours</c:v>
                </c:pt>
                <c:pt idx="3">
                  <c:v>121 à 180 jours</c:v>
                </c:pt>
                <c:pt idx="4">
                  <c:v>181 à 365 jours</c:v>
                </c:pt>
                <c:pt idx="5">
                  <c:v>Plus de 365 jours</c:v>
                </c:pt>
              </c:strCache>
            </c:strRef>
          </c:cat>
          <c:val>
            <c:numRef>
              <c:f>CBC!$H$3:$H$8</c:f>
              <c:numCache>
                <c:formatCode>0.00%</c:formatCode>
                <c:ptCount val="6"/>
                <c:pt idx="0">
                  <c:v>0.57140000000000002</c:v>
                </c:pt>
                <c:pt idx="1">
                  <c:v>0.21430000000000021</c:v>
                </c:pt>
                <c:pt idx="2">
                  <c:v>0.17760000000000001</c:v>
                </c:pt>
                <c:pt idx="3">
                  <c:v>3.250000000000005E-2</c:v>
                </c:pt>
                <c:pt idx="4">
                  <c:v>6.5000000000000118E-3</c:v>
                </c:pt>
                <c:pt idx="5">
                  <c:v>0</c:v>
                </c:pt>
              </c:numCache>
            </c:numRef>
          </c:val>
        </c:ser>
        <c:ser>
          <c:idx val="2"/>
          <c:order val="2"/>
          <c:tx>
            <c:strRef>
              <c:f>CBC!$I$2</c:f>
              <c:strCache>
                <c:ptCount val="1"/>
                <c:pt idx="0">
                  <c:v>2014-2015</c:v>
                </c:pt>
              </c:strCache>
            </c:strRef>
          </c:tx>
          <c:spPr>
            <a:solidFill>
              <a:schemeClr val="accent5">
                <a:lumMod val="75000"/>
              </a:schemeClr>
            </a:solidFill>
          </c:spPr>
          <c:cat>
            <c:strRef>
              <c:f>CBC!$F$3:$F$8</c:f>
              <c:strCache>
                <c:ptCount val="6"/>
                <c:pt idx="0">
                  <c:v>30 jours ou moins</c:v>
                </c:pt>
                <c:pt idx="1">
                  <c:v>31 à 60 jours</c:v>
                </c:pt>
                <c:pt idx="2">
                  <c:v>61 à 120 jours</c:v>
                </c:pt>
                <c:pt idx="3">
                  <c:v>121 à 180 jours</c:v>
                </c:pt>
                <c:pt idx="4">
                  <c:v>181 à 365 jours</c:v>
                </c:pt>
                <c:pt idx="5">
                  <c:v>Plus de 365 jours</c:v>
                </c:pt>
              </c:strCache>
            </c:strRef>
          </c:cat>
          <c:val>
            <c:numRef>
              <c:f>CBC!$I$3:$I$8</c:f>
              <c:numCache>
                <c:formatCode>0.00%</c:formatCode>
                <c:ptCount val="6"/>
                <c:pt idx="0">
                  <c:v>0.72483000000000064</c:v>
                </c:pt>
                <c:pt idx="1">
                  <c:v>0.16107000000000007</c:v>
                </c:pt>
                <c:pt idx="2">
                  <c:v>0.10738</c:v>
                </c:pt>
                <c:pt idx="3">
                  <c:v>6.7100000000000128E-3</c:v>
                </c:pt>
                <c:pt idx="4">
                  <c:v>0</c:v>
                </c:pt>
                <c:pt idx="5">
                  <c:v>0</c:v>
                </c:pt>
              </c:numCache>
            </c:numRef>
          </c:val>
        </c:ser>
        <c:dLbls/>
        <c:axId val="254784640"/>
        <c:axId val="254786176"/>
      </c:barChart>
      <c:catAx>
        <c:axId val="254784640"/>
        <c:scaling>
          <c:orientation val="minMax"/>
        </c:scaling>
        <c:axPos val="b"/>
        <c:numFmt formatCode="General" sourceLinked="0"/>
        <c:tickLblPos val="nextTo"/>
        <c:crossAx val="254786176"/>
        <c:crosses val="autoZero"/>
        <c:auto val="1"/>
        <c:lblAlgn val="ctr"/>
        <c:lblOffset val="100"/>
      </c:catAx>
      <c:valAx>
        <c:axId val="254786176"/>
        <c:scaling>
          <c:orientation val="minMax"/>
        </c:scaling>
        <c:axPos val="l"/>
        <c:majorGridlines/>
        <c:numFmt formatCode="0%" sourceLinked="0"/>
        <c:tickLblPos val="nextTo"/>
        <c:crossAx val="254784640"/>
        <c:crosses val="autoZero"/>
        <c:crossBetween val="between"/>
      </c:valAx>
    </c:plotArea>
    <c:legend>
      <c:legendPos val="b"/>
    </c:legend>
    <c:plotVisOnly val="1"/>
    <c:dispBlanksAs val="gap"/>
  </c:chart>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CBC!$G$31</c:f>
              <c:strCache>
                <c:ptCount val="1"/>
                <c:pt idx="0">
                  <c:v>2012-2013</c:v>
                </c:pt>
              </c:strCache>
            </c:strRef>
          </c:tx>
          <c:spPr>
            <a:solidFill>
              <a:schemeClr val="bg1">
                <a:lumMod val="65000"/>
              </a:schemeClr>
            </a:solidFill>
          </c:spPr>
          <c:cat>
            <c:strRef>
              <c:f>CBC!$F$32:$F$37</c:f>
              <c:strCache>
                <c:ptCount val="6"/>
                <c:pt idx="0">
                  <c:v>30 jours ou moins</c:v>
                </c:pt>
                <c:pt idx="1">
                  <c:v>31 à 60 jours</c:v>
                </c:pt>
                <c:pt idx="2">
                  <c:v>61 à 120 jours</c:v>
                </c:pt>
                <c:pt idx="3">
                  <c:v>121 à 180 jours</c:v>
                </c:pt>
                <c:pt idx="4">
                  <c:v>181 à 365 jours</c:v>
                </c:pt>
                <c:pt idx="5">
                  <c:v>Plus de 365 jours</c:v>
                </c:pt>
              </c:strCache>
            </c:strRef>
          </c:cat>
          <c:val>
            <c:numRef>
              <c:f>CBC!$G$32:$G$37</c:f>
              <c:numCache>
                <c:formatCode>0.00%</c:formatCode>
                <c:ptCount val="6"/>
                <c:pt idx="0">
                  <c:v>0.21430000000000021</c:v>
                </c:pt>
                <c:pt idx="1">
                  <c:v>0.66670000000000174</c:v>
                </c:pt>
                <c:pt idx="2">
                  <c:v>7.1400000000000019E-2</c:v>
                </c:pt>
                <c:pt idx="3">
                  <c:v>2.3800000000000002E-2</c:v>
                </c:pt>
                <c:pt idx="4">
                  <c:v>2.3800000000000002E-2</c:v>
                </c:pt>
                <c:pt idx="5">
                  <c:v>0</c:v>
                </c:pt>
              </c:numCache>
            </c:numRef>
          </c:val>
        </c:ser>
        <c:ser>
          <c:idx val="1"/>
          <c:order val="1"/>
          <c:tx>
            <c:strRef>
              <c:f>CBC!$H$31</c:f>
              <c:strCache>
                <c:ptCount val="1"/>
                <c:pt idx="0">
                  <c:v>2013-2014</c:v>
                </c:pt>
              </c:strCache>
            </c:strRef>
          </c:tx>
          <c:spPr>
            <a:solidFill>
              <a:srgbClr val="FFC000"/>
            </a:solidFill>
          </c:spPr>
          <c:cat>
            <c:strRef>
              <c:f>CBC!$F$32:$F$37</c:f>
              <c:strCache>
                <c:ptCount val="6"/>
                <c:pt idx="0">
                  <c:v>30 jours ou moins</c:v>
                </c:pt>
                <c:pt idx="1">
                  <c:v>31 à 60 jours</c:v>
                </c:pt>
                <c:pt idx="2">
                  <c:v>61 à 120 jours</c:v>
                </c:pt>
                <c:pt idx="3">
                  <c:v>121 à 180 jours</c:v>
                </c:pt>
                <c:pt idx="4">
                  <c:v>181 à 365 jours</c:v>
                </c:pt>
                <c:pt idx="5">
                  <c:v>Plus de 365 jours</c:v>
                </c:pt>
              </c:strCache>
            </c:strRef>
          </c:cat>
          <c:val>
            <c:numRef>
              <c:f>CBC!$H$32:$H$37</c:f>
              <c:numCache>
                <c:formatCode>0.00%</c:formatCode>
                <c:ptCount val="6"/>
                <c:pt idx="0">
                  <c:v>0.23636363636363636</c:v>
                </c:pt>
                <c:pt idx="1">
                  <c:v>0.60000000000000064</c:v>
                </c:pt>
                <c:pt idx="2">
                  <c:v>0.12727272727272718</c:v>
                </c:pt>
                <c:pt idx="3">
                  <c:v>3.6363636363636362E-2</c:v>
                </c:pt>
                <c:pt idx="4">
                  <c:v>0</c:v>
                </c:pt>
                <c:pt idx="5">
                  <c:v>0</c:v>
                </c:pt>
              </c:numCache>
            </c:numRef>
          </c:val>
        </c:ser>
        <c:ser>
          <c:idx val="2"/>
          <c:order val="2"/>
          <c:tx>
            <c:strRef>
              <c:f>CBC!$I$31</c:f>
              <c:strCache>
                <c:ptCount val="1"/>
                <c:pt idx="0">
                  <c:v>2014-2015</c:v>
                </c:pt>
              </c:strCache>
            </c:strRef>
          </c:tx>
          <c:spPr>
            <a:solidFill>
              <a:schemeClr val="accent5">
                <a:lumMod val="75000"/>
              </a:schemeClr>
            </a:solidFill>
          </c:spPr>
          <c:cat>
            <c:strRef>
              <c:f>CBC!$F$32:$F$37</c:f>
              <c:strCache>
                <c:ptCount val="6"/>
                <c:pt idx="0">
                  <c:v>30 jours ou moins</c:v>
                </c:pt>
                <c:pt idx="1">
                  <c:v>31 à 60 jours</c:v>
                </c:pt>
                <c:pt idx="2">
                  <c:v>61 à 120 jours</c:v>
                </c:pt>
                <c:pt idx="3">
                  <c:v>121 à 180 jours</c:v>
                </c:pt>
                <c:pt idx="4">
                  <c:v>181 à 365 jours</c:v>
                </c:pt>
                <c:pt idx="5">
                  <c:v>Plus de 365 jours</c:v>
                </c:pt>
              </c:strCache>
            </c:strRef>
          </c:cat>
          <c:val>
            <c:numRef>
              <c:f>CBC!$I$32:$I$37</c:f>
              <c:numCache>
                <c:formatCode>0.00%</c:formatCode>
                <c:ptCount val="6"/>
                <c:pt idx="0">
                  <c:v>0.40384615384615402</c:v>
                </c:pt>
                <c:pt idx="1">
                  <c:v>0.36538461538461736</c:v>
                </c:pt>
                <c:pt idx="2">
                  <c:v>0</c:v>
                </c:pt>
                <c:pt idx="3">
                  <c:v>0</c:v>
                </c:pt>
                <c:pt idx="4">
                  <c:v>0</c:v>
                </c:pt>
                <c:pt idx="5">
                  <c:v>0.23076923076923136</c:v>
                </c:pt>
              </c:numCache>
            </c:numRef>
          </c:val>
        </c:ser>
        <c:dLbls/>
        <c:axId val="254890752"/>
        <c:axId val="254892288"/>
      </c:barChart>
      <c:catAx>
        <c:axId val="254890752"/>
        <c:scaling>
          <c:orientation val="minMax"/>
        </c:scaling>
        <c:axPos val="b"/>
        <c:numFmt formatCode="General" sourceLinked="0"/>
        <c:tickLblPos val="nextTo"/>
        <c:crossAx val="254892288"/>
        <c:crosses val="autoZero"/>
        <c:auto val="1"/>
        <c:lblAlgn val="ctr"/>
        <c:lblOffset val="100"/>
      </c:catAx>
      <c:valAx>
        <c:axId val="254892288"/>
        <c:scaling>
          <c:orientation val="minMax"/>
        </c:scaling>
        <c:axPos val="l"/>
        <c:majorGridlines/>
        <c:numFmt formatCode="0%" sourceLinked="0"/>
        <c:tickLblPos val="nextTo"/>
        <c:crossAx val="254890752"/>
        <c:crosses val="autoZero"/>
        <c:crossBetween val="between"/>
      </c:valAx>
    </c:plotArea>
    <c:legend>
      <c:legendPos val="b"/>
    </c:legend>
    <c:plotVisOnly val="1"/>
    <c:dispBlanksAs val="gap"/>
  </c:chart>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CBC!$G$72</c:f>
              <c:strCache>
                <c:ptCount val="1"/>
                <c:pt idx="0">
                  <c:v>2012-2013</c:v>
                </c:pt>
              </c:strCache>
            </c:strRef>
          </c:tx>
          <c:spPr>
            <a:solidFill>
              <a:schemeClr val="bg1">
                <a:lumMod val="65000"/>
              </a:schemeClr>
            </a:solidFill>
          </c:spPr>
          <c:cat>
            <c:strRef>
              <c:f>CBC!$F$73:$F$74</c:f>
              <c:strCache>
                <c:ptCount val="2"/>
                <c:pt idx="0">
                  <c:v>Divulgation complète </c:v>
                </c:pt>
                <c:pt idx="1">
                  <c:v>Divulgation partielle </c:v>
                </c:pt>
              </c:strCache>
            </c:strRef>
          </c:cat>
          <c:val>
            <c:numRef>
              <c:f>CBC!$G$73:$G$74</c:f>
              <c:numCache>
                <c:formatCode>0.00%</c:formatCode>
                <c:ptCount val="2"/>
                <c:pt idx="0">
                  <c:v>0.1118</c:v>
                </c:pt>
                <c:pt idx="1">
                  <c:v>0.51970000000000005</c:v>
                </c:pt>
              </c:numCache>
            </c:numRef>
          </c:val>
        </c:ser>
        <c:ser>
          <c:idx val="1"/>
          <c:order val="1"/>
          <c:tx>
            <c:strRef>
              <c:f>CBC!$H$72</c:f>
              <c:strCache>
                <c:ptCount val="1"/>
                <c:pt idx="0">
                  <c:v>2013-2014</c:v>
                </c:pt>
              </c:strCache>
            </c:strRef>
          </c:tx>
          <c:spPr>
            <a:solidFill>
              <a:srgbClr val="FFC000"/>
            </a:solidFill>
          </c:spPr>
          <c:cat>
            <c:strRef>
              <c:f>CBC!$F$73:$F$74</c:f>
              <c:strCache>
                <c:ptCount val="2"/>
                <c:pt idx="0">
                  <c:v>Divulgation complète </c:v>
                </c:pt>
                <c:pt idx="1">
                  <c:v>Divulgation partielle </c:v>
                </c:pt>
              </c:strCache>
            </c:strRef>
          </c:cat>
          <c:val>
            <c:numRef>
              <c:f>CBC!$H$73:$H$74</c:f>
              <c:numCache>
                <c:formatCode>0.00%</c:formatCode>
                <c:ptCount val="2"/>
                <c:pt idx="0">
                  <c:v>0.1104</c:v>
                </c:pt>
                <c:pt idx="1">
                  <c:v>0.66230000000000111</c:v>
                </c:pt>
              </c:numCache>
            </c:numRef>
          </c:val>
        </c:ser>
        <c:ser>
          <c:idx val="2"/>
          <c:order val="2"/>
          <c:tx>
            <c:strRef>
              <c:f>CBC!$I$72</c:f>
              <c:strCache>
                <c:ptCount val="1"/>
                <c:pt idx="0">
                  <c:v>2014-2015</c:v>
                </c:pt>
              </c:strCache>
            </c:strRef>
          </c:tx>
          <c:spPr>
            <a:solidFill>
              <a:schemeClr val="accent5">
                <a:lumMod val="75000"/>
              </a:schemeClr>
            </a:solidFill>
          </c:spPr>
          <c:cat>
            <c:strRef>
              <c:f>CBC!$F$73:$F$74</c:f>
              <c:strCache>
                <c:ptCount val="2"/>
                <c:pt idx="0">
                  <c:v>Divulgation complète </c:v>
                </c:pt>
                <c:pt idx="1">
                  <c:v>Divulgation partielle </c:v>
                </c:pt>
              </c:strCache>
            </c:strRef>
          </c:cat>
          <c:val>
            <c:numRef>
              <c:f>CBC!$I$73:$I$74</c:f>
              <c:numCache>
                <c:formatCode>0.00%</c:formatCode>
                <c:ptCount val="2"/>
                <c:pt idx="0">
                  <c:v>0.1275</c:v>
                </c:pt>
                <c:pt idx="1">
                  <c:v>0.51680000000000004</c:v>
                </c:pt>
              </c:numCache>
            </c:numRef>
          </c:val>
        </c:ser>
        <c:dLbls/>
        <c:axId val="255005056"/>
        <c:axId val="255006592"/>
      </c:barChart>
      <c:catAx>
        <c:axId val="255005056"/>
        <c:scaling>
          <c:orientation val="minMax"/>
        </c:scaling>
        <c:axPos val="b"/>
        <c:numFmt formatCode="General" sourceLinked="0"/>
        <c:tickLblPos val="nextTo"/>
        <c:crossAx val="255006592"/>
        <c:crosses val="autoZero"/>
        <c:auto val="1"/>
        <c:lblAlgn val="ctr"/>
        <c:lblOffset val="100"/>
      </c:catAx>
      <c:valAx>
        <c:axId val="255006592"/>
        <c:scaling>
          <c:orientation val="minMax"/>
        </c:scaling>
        <c:axPos val="l"/>
        <c:majorGridlines/>
        <c:numFmt formatCode="0%" sourceLinked="0"/>
        <c:tickLblPos val="nextTo"/>
        <c:crossAx val="255005056"/>
        <c:crosses val="autoZero"/>
        <c:crossBetween val="between"/>
      </c:valAx>
    </c:plotArea>
    <c:legend>
      <c:legendPos val="b"/>
    </c:legend>
    <c:plotVisOnly val="1"/>
    <c:dispBlanksAs val="gap"/>
  </c:chart>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CPC!$G$2</c:f>
              <c:strCache>
                <c:ptCount val="1"/>
                <c:pt idx="0">
                  <c:v>2012-2013</c:v>
                </c:pt>
              </c:strCache>
            </c:strRef>
          </c:tx>
          <c:spPr>
            <a:solidFill>
              <a:schemeClr val="bg1">
                <a:lumMod val="65000"/>
              </a:schemeClr>
            </a:solidFill>
          </c:spPr>
          <c:cat>
            <c:strRef>
              <c:f>CPC!$F$3:$F$8</c:f>
              <c:strCache>
                <c:ptCount val="6"/>
                <c:pt idx="0">
                  <c:v>30 jours ou moins</c:v>
                </c:pt>
                <c:pt idx="1">
                  <c:v>31 à 60 jours</c:v>
                </c:pt>
                <c:pt idx="2">
                  <c:v>61 à 120 jours</c:v>
                </c:pt>
                <c:pt idx="3">
                  <c:v>121 à 180 jours</c:v>
                </c:pt>
                <c:pt idx="4">
                  <c:v>181 à 365 jours</c:v>
                </c:pt>
                <c:pt idx="5">
                  <c:v>Plus de 365 jours</c:v>
                </c:pt>
              </c:strCache>
            </c:strRef>
          </c:cat>
          <c:val>
            <c:numRef>
              <c:f>CPC!$G$3:$G$8</c:f>
              <c:numCache>
                <c:formatCode>0.00%</c:formatCode>
                <c:ptCount val="6"/>
                <c:pt idx="0">
                  <c:v>0.39260000000000039</c:v>
                </c:pt>
                <c:pt idx="1">
                  <c:v>0.17040000000000016</c:v>
                </c:pt>
                <c:pt idx="2">
                  <c:v>0.15560000000000004</c:v>
                </c:pt>
                <c:pt idx="3">
                  <c:v>2.9600000000000022E-2</c:v>
                </c:pt>
                <c:pt idx="4">
                  <c:v>1.4800000000000016E-2</c:v>
                </c:pt>
                <c:pt idx="5">
                  <c:v>0.23700000000000004</c:v>
                </c:pt>
              </c:numCache>
            </c:numRef>
          </c:val>
        </c:ser>
        <c:ser>
          <c:idx val="1"/>
          <c:order val="1"/>
          <c:tx>
            <c:strRef>
              <c:f>CPC!$H$2</c:f>
              <c:strCache>
                <c:ptCount val="1"/>
                <c:pt idx="0">
                  <c:v>2013-2014</c:v>
                </c:pt>
              </c:strCache>
            </c:strRef>
          </c:tx>
          <c:spPr>
            <a:solidFill>
              <a:srgbClr val="FFC000"/>
            </a:solidFill>
          </c:spPr>
          <c:cat>
            <c:strRef>
              <c:f>CPC!$F$3:$F$8</c:f>
              <c:strCache>
                <c:ptCount val="6"/>
                <c:pt idx="0">
                  <c:v>30 jours ou moins</c:v>
                </c:pt>
                <c:pt idx="1">
                  <c:v>31 à 60 jours</c:v>
                </c:pt>
                <c:pt idx="2">
                  <c:v>61 à 120 jours</c:v>
                </c:pt>
                <c:pt idx="3">
                  <c:v>121 à 180 jours</c:v>
                </c:pt>
                <c:pt idx="4">
                  <c:v>181 à 365 jours</c:v>
                </c:pt>
                <c:pt idx="5">
                  <c:v>Plus de 365 jours</c:v>
                </c:pt>
              </c:strCache>
            </c:strRef>
          </c:cat>
          <c:val>
            <c:numRef>
              <c:f>CPC!$H$3:$H$8</c:f>
              <c:numCache>
                <c:formatCode>0.00%</c:formatCode>
                <c:ptCount val="6"/>
                <c:pt idx="0">
                  <c:v>0.67270000000000096</c:v>
                </c:pt>
                <c:pt idx="1">
                  <c:v>0.18180000000000004</c:v>
                </c:pt>
                <c:pt idx="2">
                  <c:v>0.11820000000000012</c:v>
                </c:pt>
                <c:pt idx="3">
                  <c:v>2.7300000000000022E-2</c:v>
                </c:pt>
                <c:pt idx="4">
                  <c:v>0</c:v>
                </c:pt>
                <c:pt idx="5">
                  <c:v>0</c:v>
                </c:pt>
              </c:numCache>
            </c:numRef>
          </c:val>
        </c:ser>
        <c:ser>
          <c:idx val="2"/>
          <c:order val="2"/>
          <c:tx>
            <c:strRef>
              <c:f>CPC!$I$2</c:f>
              <c:strCache>
                <c:ptCount val="1"/>
                <c:pt idx="0">
                  <c:v>2014-2015</c:v>
                </c:pt>
              </c:strCache>
            </c:strRef>
          </c:tx>
          <c:spPr>
            <a:solidFill>
              <a:schemeClr val="accent5">
                <a:lumMod val="75000"/>
              </a:schemeClr>
            </a:solidFill>
          </c:spPr>
          <c:cat>
            <c:strRef>
              <c:f>CPC!$F$3:$F$8</c:f>
              <c:strCache>
                <c:ptCount val="6"/>
                <c:pt idx="0">
                  <c:v>30 jours ou moins</c:v>
                </c:pt>
                <c:pt idx="1">
                  <c:v>31 à 60 jours</c:v>
                </c:pt>
                <c:pt idx="2">
                  <c:v>61 à 120 jours</c:v>
                </c:pt>
                <c:pt idx="3">
                  <c:v>121 à 180 jours</c:v>
                </c:pt>
                <c:pt idx="4">
                  <c:v>181 à 365 jours</c:v>
                </c:pt>
                <c:pt idx="5">
                  <c:v>Plus de 365 jours</c:v>
                </c:pt>
              </c:strCache>
            </c:strRef>
          </c:cat>
          <c:val>
            <c:numRef>
              <c:f>CPC!$I$3:$I$8</c:f>
              <c:numCache>
                <c:formatCode>0.00%</c:formatCode>
                <c:ptCount val="6"/>
                <c:pt idx="0">
                  <c:v>0.53680000000000005</c:v>
                </c:pt>
                <c:pt idx="1">
                  <c:v>0.2211000000000001</c:v>
                </c:pt>
                <c:pt idx="2">
                  <c:v>0.16840000000000024</c:v>
                </c:pt>
                <c:pt idx="3">
                  <c:v>5.2600000000000043E-2</c:v>
                </c:pt>
                <c:pt idx="4">
                  <c:v>2.1100000000000011E-2</c:v>
                </c:pt>
                <c:pt idx="5">
                  <c:v>0</c:v>
                </c:pt>
              </c:numCache>
            </c:numRef>
          </c:val>
        </c:ser>
        <c:dLbls/>
        <c:axId val="255053824"/>
        <c:axId val="255055360"/>
      </c:barChart>
      <c:catAx>
        <c:axId val="255053824"/>
        <c:scaling>
          <c:orientation val="minMax"/>
        </c:scaling>
        <c:axPos val="b"/>
        <c:numFmt formatCode="General" sourceLinked="0"/>
        <c:tickLblPos val="nextTo"/>
        <c:crossAx val="255055360"/>
        <c:crosses val="autoZero"/>
        <c:auto val="1"/>
        <c:lblAlgn val="ctr"/>
        <c:lblOffset val="100"/>
      </c:catAx>
      <c:valAx>
        <c:axId val="255055360"/>
        <c:scaling>
          <c:orientation val="minMax"/>
        </c:scaling>
        <c:axPos val="l"/>
        <c:majorGridlines/>
        <c:numFmt formatCode="0%" sourceLinked="0"/>
        <c:tickLblPos val="nextTo"/>
        <c:crossAx val="255053824"/>
        <c:crosses val="autoZero"/>
        <c:crossBetween val="between"/>
      </c:valAx>
    </c:plotArea>
    <c:legend>
      <c:legendPos val="b"/>
    </c:legend>
    <c:plotVisOnly val="1"/>
    <c:dispBlanksAs val="gap"/>
  </c:chart>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CPC!$H$30</c:f>
              <c:strCache>
                <c:ptCount val="1"/>
                <c:pt idx="0">
                  <c:v>2012-2013</c:v>
                </c:pt>
              </c:strCache>
            </c:strRef>
          </c:tx>
          <c:spPr>
            <a:solidFill>
              <a:schemeClr val="bg1">
                <a:lumMod val="65000"/>
              </a:schemeClr>
            </a:solidFill>
          </c:spPr>
          <c:cat>
            <c:strRef>
              <c:f>CPC!$G$31:$G$36</c:f>
              <c:strCache>
                <c:ptCount val="6"/>
                <c:pt idx="0">
                  <c:v>30 jours ou moins</c:v>
                </c:pt>
                <c:pt idx="1">
                  <c:v>31 à 60 jours</c:v>
                </c:pt>
                <c:pt idx="2">
                  <c:v>61 à 120 jours</c:v>
                </c:pt>
                <c:pt idx="3">
                  <c:v>121 à 180 jours</c:v>
                </c:pt>
                <c:pt idx="4">
                  <c:v>181 à 365 jours</c:v>
                </c:pt>
                <c:pt idx="5">
                  <c:v>Plus de 365 jours</c:v>
                </c:pt>
              </c:strCache>
            </c:strRef>
          </c:cat>
          <c:val>
            <c:numRef>
              <c:f>CPC!$H$31:$H$36</c:f>
              <c:numCache>
                <c:formatCode>0.00%</c:formatCode>
                <c:ptCount val="6"/>
                <c:pt idx="0">
                  <c:v>0.38890000000000047</c:v>
                </c:pt>
                <c:pt idx="1">
                  <c:v>0.35190000000000032</c:v>
                </c:pt>
                <c:pt idx="2">
                  <c:v>0.16669999999999999</c:v>
                </c:pt>
                <c:pt idx="3">
                  <c:v>5.5600000000000004E-2</c:v>
                </c:pt>
                <c:pt idx="4">
                  <c:v>3.6999999999999998E-2</c:v>
                </c:pt>
                <c:pt idx="5">
                  <c:v>0</c:v>
                </c:pt>
              </c:numCache>
            </c:numRef>
          </c:val>
        </c:ser>
        <c:ser>
          <c:idx val="1"/>
          <c:order val="1"/>
          <c:tx>
            <c:strRef>
              <c:f>CPC!$I$30</c:f>
              <c:strCache>
                <c:ptCount val="1"/>
                <c:pt idx="0">
                  <c:v>2013-2014</c:v>
                </c:pt>
              </c:strCache>
            </c:strRef>
          </c:tx>
          <c:spPr>
            <a:solidFill>
              <a:srgbClr val="FFC000"/>
            </a:solidFill>
          </c:spPr>
          <c:cat>
            <c:strRef>
              <c:f>CPC!$G$31:$G$36</c:f>
              <c:strCache>
                <c:ptCount val="6"/>
                <c:pt idx="0">
                  <c:v>30 jours ou moins</c:v>
                </c:pt>
                <c:pt idx="1">
                  <c:v>31 à 60 jours</c:v>
                </c:pt>
                <c:pt idx="2">
                  <c:v>61 à 120 jours</c:v>
                </c:pt>
                <c:pt idx="3">
                  <c:v>121 à 180 jours</c:v>
                </c:pt>
                <c:pt idx="4">
                  <c:v>181 à 365 jours</c:v>
                </c:pt>
                <c:pt idx="5">
                  <c:v>Plus de 365 jours</c:v>
                </c:pt>
              </c:strCache>
            </c:strRef>
          </c:cat>
          <c:val>
            <c:numRef>
              <c:f>CPC!$I$31:$I$36</c:f>
              <c:numCache>
                <c:formatCode>0.00%</c:formatCode>
                <c:ptCount val="6"/>
                <c:pt idx="0">
                  <c:v>0.16669999999999999</c:v>
                </c:pt>
                <c:pt idx="1">
                  <c:v>0.55559999999999998</c:v>
                </c:pt>
                <c:pt idx="2">
                  <c:v>0.16669999999999999</c:v>
                </c:pt>
                <c:pt idx="3">
                  <c:v>0.1111</c:v>
                </c:pt>
                <c:pt idx="4">
                  <c:v>0</c:v>
                </c:pt>
                <c:pt idx="5">
                  <c:v>0</c:v>
                </c:pt>
              </c:numCache>
            </c:numRef>
          </c:val>
        </c:ser>
        <c:ser>
          <c:idx val="2"/>
          <c:order val="2"/>
          <c:tx>
            <c:strRef>
              <c:f>CPC!$J$30</c:f>
              <c:strCache>
                <c:ptCount val="1"/>
                <c:pt idx="0">
                  <c:v>2014-2015</c:v>
                </c:pt>
              </c:strCache>
            </c:strRef>
          </c:tx>
          <c:spPr>
            <a:solidFill>
              <a:schemeClr val="accent5">
                <a:lumMod val="75000"/>
              </a:schemeClr>
            </a:solidFill>
          </c:spPr>
          <c:cat>
            <c:strRef>
              <c:f>CPC!$G$31:$G$36</c:f>
              <c:strCache>
                <c:ptCount val="6"/>
                <c:pt idx="0">
                  <c:v>30 jours ou moins</c:v>
                </c:pt>
                <c:pt idx="1">
                  <c:v>31 à 60 jours</c:v>
                </c:pt>
                <c:pt idx="2">
                  <c:v>61 à 120 jours</c:v>
                </c:pt>
                <c:pt idx="3">
                  <c:v>121 à 180 jours</c:v>
                </c:pt>
                <c:pt idx="4">
                  <c:v>181 à 365 jours</c:v>
                </c:pt>
                <c:pt idx="5">
                  <c:v>Plus de 365 jours</c:v>
                </c:pt>
              </c:strCache>
            </c:strRef>
          </c:cat>
          <c:val>
            <c:numRef>
              <c:f>CPC!$J$31:$J$36</c:f>
              <c:numCache>
                <c:formatCode>0.00%</c:formatCode>
                <c:ptCount val="6"/>
                <c:pt idx="0">
                  <c:v>0.30000000000000032</c:v>
                </c:pt>
                <c:pt idx="1">
                  <c:v>0.4</c:v>
                </c:pt>
                <c:pt idx="2">
                  <c:v>0.23330000000000001</c:v>
                </c:pt>
                <c:pt idx="3">
                  <c:v>6.6699999999999995E-2</c:v>
                </c:pt>
                <c:pt idx="4">
                  <c:v>0</c:v>
                </c:pt>
                <c:pt idx="5">
                  <c:v>0</c:v>
                </c:pt>
              </c:numCache>
            </c:numRef>
          </c:val>
        </c:ser>
        <c:dLbls/>
        <c:axId val="255090048"/>
        <c:axId val="255100032"/>
      </c:barChart>
      <c:catAx>
        <c:axId val="255090048"/>
        <c:scaling>
          <c:orientation val="minMax"/>
        </c:scaling>
        <c:axPos val="b"/>
        <c:numFmt formatCode="General" sourceLinked="0"/>
        <c:tickLblPos val="nextTo"/>
        <c:crossAx val="255100032"/>
        <c:crosses val="autoZero"/>
        <c:auto val="1"/>
        <c:lblAlgn val="ctr"/>
        <c:lblOffset val="100"/>
      </c:catAx>
      <c:valAx>
        <c:axId val="255100032"/>
        <c:scaling>
          <c:orientation val="minMax"/>
        </c:scaling>
        <c:axPos val="l"/>
        <c:majorGridlines/>
        <c:numFmt formatCode="0%" sourceLinked="0"/>
        <c:tickLblPos val="nextTo"/>
        <c:crossAx val="255090048"/>
        <c:crosses val="autoZero"/>
        <c:crossBetween val="between"/>
      </c:valAx>
    </c:plotArea>
    <c:legend>
      <c:legendPos val="b"/>
    </c:legend>
    <c:plotVisOnly val="1"/>
    <c:dispBlanksAs val="gap"/>
  </c:chart>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CPC!$H$58</c:f>
              <c:strCache>
                <c:ptCount val="1"/>
                <c:pt idx="0">
                  <c:v>2012-2013</c:v>
                </c:pt>
              </c:strCache>
            </c:strRef>
          </c:tx>
          <c:spPr>
            <a:solidFill>
              <a:schemeClr val="bg1">
                <a:lumMod val="65000"/>
              </a:schemeClr>
            </a:solidFill>
          </c:spPr>
          <c:cat>
            <c:strRef>
              <c:f>CPC!$G$59:$G$60</c:f>
              <c:strCache>
                <c:ptCount val="2"/>
                <c:pt idx="0">
                  <c:v>Divulgation complète </c:v>
                </c:pt>
                <c:pt idx="1">
                  <c:v>Divulgation partielle </c:v>
                </c:pt>
              </c:strCache>
            </c:strRef>
          </c:cat>
          <c:val>
            <c:numRef>
              <c:f>CPC!$H$59:$H$60</c:f>
              <c:numCache>
                <c:formatCode>0.00%</c:formatCode>
                <c:ptCount val="2"/>
                <c:pt idx="0">
                  <c:v>0.18520000000000017</c:v>
                </c:pt>
                <c:pt idx="1">
                  <c:v>0.4667</c:v>
                </c:pt>
              </c:numCache>
            </c:numRef>
          </c:val>
        </c:ser>
        <c:ser>
          <c:idx val="1"/>
          <c:order val="1"/>
          <c:tx>
            <c:strRef>
              <c:f>CPC!$I$58</c:f>
              <c:strCache>
                <c:ptCount val="1"/>
                <c:pt idx="0">
                  <c:v>2013-2014</c:v>
                </c:pt>
              </c:strCache>
            </c:strRef>
          </c:tx>
          <c:spPr>
            <a:solidFill>
              <a:srgbClr val="FFC000"/>
            </a:solidFill>
          </c:spPr>
          <c:cat>
            <c:strRef>
              <c:f>CPC!$G$59:$G$60</c:f>
              <c:strCache>
                <c:ptCount val="2"/>
                <c:pt idx="0">
                  <c:v>Divulgation complète </c:v>
                </c:pt>
                <c:pt idx="1">
                  <c:v>Divulgation partielle </c:v>
                </c:pt>
              </c:strCache>
            </c:strRef>
          </c:cat>
          <c:val>
            <c:numRef>
              <c:f>CPC!$I$59:$I$60</c:f>
              <c:numCache>
                <c:formatCode>0.00%</c:formatCode>
                <c:ptCount val="2"/>
                <c:pt idx="0">
                  <c:v>0.20910000000000001</c:v>
                </c:pt>
                <c:pt idx="1">
                  <c:v>0.4364000000000004</c:v>
                </c:pt>
              </c:numCache>
            </c:numRef>
          </c:val>
        </c:ser>
        <c:ser>
          <c:idx val="2"/>
          <c:order val="2"/>
          <c:tx>
            <c:strRef>
              <c:f>CPC!$J$58</c:f>
              <c:strCache>
                <c:ptCount val="1"/>
                <c:pt idx="0">
                  <c:v>2014-2015</c:v>
                </c:pt>
              </c:strCache>
            </c:strRef>
          </c:tx>
          <c:spPr>
            <a:solidFill>
              <a:schemeClr val="accent5">
                <a:lumMod val="75000"/>
              </a:schemeClr>
            </a:solidFill>
          </c:spPr>
          <c:cat>
            <c:strRef>
              <c:f>CPC!$G$59:$G$60</c:f>
              <c:strCache>
                <c:ptCount val="2"/>
                <c:pt idx="0">
                  <c:v>Divulgation complète </c:v>
                </c:pt>
                <c:pt idx="1">
                  <c:v>Divulgation partielle </c:v>
                </c:pt>
              </c:strCache>
            </c:strRef>
          </c:cat>
          <c:val>
            <c:numRef>
              <c:f>CPC!$J$59:$J$60</c:f>
              <c:numCache>
                <c:formatCode>0.00%</c:formatCode>
                <c:ptCount val="2"/>
                <c:pt idx="0">
                  <c:v>0.1158</c:v>
                </c:pt>
                <c:pt idx="1">
                  <c:v>0.41050000000000031</c:v>
                </c:pt>
              </c:numCache>
            </c:numRef>
          </c:val>
        </c:ser>
        <c:dLbls/>
        <c:axId val="255138816"/>
        <c:axId val="255148800"/>
      </c:barChart>
      <c:catAx>
        <c:axId val="255138816"/>
        <c:scaling>
          <c:orientation val="minMax"/>
        </c:scaling>
        <c:axPos val="b"/>
        <c:numFmt formatCode="General" sourceLinked="0"/>
        <c:tickLblPos val="nextTo"/>
        <c:crossAx val="255148800"/>
        <c:crosses val="autoZero"/>
        <c:auto val="1"/>
        <c:lblAlgn val="ctr"/>
        <c:lblOffset val="100"/>
      </c:catAx>
      <c:valAx>
        <c:axId val="255148800"/>
        <c:scaling>
          <c:orientation val="minMax"/>
        </c:scaling>
        <c:axPos val="l"/>
        <c:majorGridlines/>
        <c:numFmt formatCode="0%" sourceLinked="0"/>
        <c:tickLblPos val="nextTo"/>
        <c:crossAx val="255138816"/>
        <c:crosses val="autoZero"/>
        <c:crossBetween val="between"/>
      </c:valAx>
    </c:plotArea>
    <c:legend>
      <c:legendPos val="b"/>
    </c:legend>
    <c:plotVisOnly val="1"/>
    <c:dispBlanksAs val="gap"/>
  </c:chart>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CSIS!$G$2</c:f>
              <c:strCache>
                <c:ptCount val="1"/>
                <c:pt idx="0">
                  <c:v>2012-2013</c:v>
                </c:pt>
              </c:strCache>
            </c:strRef>
          </c:tx>
          <c:spPr>
            <a:solidFill>
              <a:schemeClr val="bg1">
                <a:lumMod val="65000"/>
              </a:schemeClr>
            </a:solidFill>
          </c:spPr>
          <c:cat>
            <c:strRef>
              <c:f>CSIS!$F$3:$F$8</c:f>
              <c:strCache>
                <c:ptCount val="6"/>
                <c:pt idx="0">
                  <c:v>30 jours ou moins</c:v>
                </c:pt>
                <c:pt idx="1">
                  <c:v>31 à 60 jours</c:v>
                </c:pt>
                <c:pt idx="2">
                  <c:v>61 à 120 jours</c:v>
                </c:pt>
                <c:pt idx="3">
                  <c:v>121 à 180 jours</c:v>
                </c:pt>
                <c:pt idx="4">
                  <c:v>181 à 365 jours</c:v>
                </c:pt>
                <c:pt idx="5">
                  <c:v>Plus de 365 jours</c:v>
                </c:pt>
              </c:strCache>
            </c:strRef>
          </c:cat>
          <c:val>
            <c:numRef>
              <c:f>CSIS!$G$3:$G$8</c:f>
              <c:numCache>
                <c:formatCode>0.00%</c:formatCode>
                <c:ptCount val="6"/>
                <c:pt idx="0">
                  <c:v>0.61730000000000063</c:v>
                </c:pt>
                <c:pt idx="1">
                  <c:v>0.1268</c:v>
                </c:pt>
                <c:pt idx="2">
                  <c:v>0.1649000000000001</c:v>
                </c:pt>
                <c:pt idx="3">
                  <c:v>6.7700000000000066E-2</c:v>
                </c:pt>
                <c:pt idx="4">
                  <c:v>1.9000000000000024E-2</c:v>
                </c:pt>
                <c:pt idx="5">
                  <c:v>4.0000000000000072E-4</c:v>
                </c:pt>
              </c:numCache>
            </c:numRef>
          </c:val>
        </c:ser>
        <c:ser>
          <c:idx val="1"/>
          <c:order val="1"/>
          <c:tx>
            <c:strRef>
              <c:f>CSIS!$H$2</c:f>
              <c:strCache>
                <c:ptCount val="1"/>
                <c:pt idx="0">
                  <c:v>2013-2014</c:v>
                </c:pt>
              </c:strCache>
            </c:strRef>
          </c:tx>
          <c:spPr>
            <a:solidFill>
              <a:srgbClr val="FFC000"/>
            </a:solidFill>
          </c:spPr>
          <c:cat>
            <c:strRef>
              <c:f>CSIS!$F$3:$F$8</c:f>
              <c:strCache>
                <c:ptCount val="6"/>
                <c:pt idx="0">
                  <c:v>30 jours ou moins</c:v>
                </c:pt>
                <c:pt idx="1">
                  <c:v>31 à 60 jours</c:v>
                </c:pt>
                <c:pt idx="2">
                  <c:v>61 à 120 jours</c:v>
                </c:pt>
                <c:pt idx="3">
                  <c:v>121 à 180 jours</c:v>
                </c:pt>
                <c:pt idx="4">
                  <c:v>181 à 365 jours</c:v>
                </c:pt>
                <c:pt idx="5">
                  <c:v>Plus de 365 jours</c:v>
                </c:pt>
              </c:strCache>
            </c:strRef>
          </c:cat>
          <c:val>
            <c:numRef>
              <c:f>CSIS!$H$3:$H$8</c:f>
              <c:numCache>
                <c:formatCode>0.00%</c:formatCode>
                <c:ptCount val="6"/>
                <c:pt idx="0">
                  <c:v>0.84280000000000077</c:v>
                </c:pt>
                <c:pt idx="1">
                  <c:v>5.5700000000000069E-2</c:v>
                </c:pt>
                <c:pt idx="2">
                  <c:v>4.1500000000000002E-2</c:v>
                </c:pt>
                <c:pt idx="3">
                  <c:v>3.9300000000000002E-2</c:v>
                </c:pt>
                <c:pt idx="4">
                  <c:v>1.9699999999999999E-2</c:v>
                </c:pt>
                <c:pt idx="5">
                  <c:v>1.100000000000002E-3</c:v>
                </c:pt>
              </c:numCache>
            </c:numRef>
          </c:val>
        </c:ser>
        <c:ser>
          <c:idx val="2"/>
          <c:order val="2"/>
          <c:tx>
            <c:strRef>
              <c:f>CSIS!$I$2</c:f>
              <c:strCache>
                <c:ptCount val="1"/>
                <c:pt idx="0">
                  <c:v>2014-2015</c:v>
                </c:pt>
              </c:strCache>
            </c:strRef>
          </c:tx>
          <c:spPr>
            <a:solidFill>
              <a:schemeClr val="accent5">
                <a:lumMod val="75000"/>
              </a:schemeClr>
            </a:solidFill>
          </c:spPr>
          <c:cat>
            <c:strRef>
              <c:f>CSIS!$F$3:$F$8</c:f>
              <c:strCache>
                <c:ptCount val="6"/>
                <c:pt idx="0">
                  <c:v>30 jours ou moins</c:v>
                </c:pt>
                <c:pt idx="1">
                  <c:v>31 à 60 jours</c:v>
                </c:pt>
                <c:pt idx="2">
                  <c:v>61 à 120 jours</c:v>
                </c:pt>
                <c:pt idx="3">
                  <c:v>121 à 180 jours</c:v>
                </c:pt>
                <c:pt idx="4">
                  <c:v>181 à 365 jours</c:v>
                </c:pt>
                <c:pt idx="5">
                  <c:v>Plus de 365 jours</c:v>
                </c:pt>
              </c:strCache>
            </c:strRef>
          </c:cat>
          <c:val>
            <c:numRef>
              <c:f>CSIS!$I$3:$I$8</c:f>
              <c:numCache>
                <c:formatCode>0.00%</c:formatCode>
                <c:ptCount val="6"/>
                <c:pt idx="0">
                  <c:v>0.66240000000000065</c:v>
                </c:pt>
                <c:pt idx="1">
                  <c:v>7.6400000000000023E-2</c:v>
                </c:pt>
                <c:pt idx="2">
                  <c:v>0.1401</c:v>
                </c:pt>
                <c:pt idx="3">
                  <c:v>6.0500000000000033E-2</c:v>
                </c:pt>
                <c:pt idx="4">
                  <c:v>4.4600000000000042E-2</c:v>
                </c:pt>
                <c:pt idx="5">
                  <c:v>1.5900000000000011E-2</c:v>
                </c:pt>
              </c:numCache>
            </c:numRef>
          </c:val>
        </c:ser>
        <c:dLbls/>
        <c:axId val="255179392"/>
        <c:axId val="255193472"/>
      </c:barChart>
      <c:catAx>
        <c:axId val="255179392"/>
        <c:scaling>
          <c:orientation val="minMax"/>
        </c:scaling>
        <c:axPos val="b"/>
        <c:numFmt formatCode="General" sourceLinked="0"/>
        <c:tickLblPos val="nextTo"/>
        <c:crossAx val="255193472"/>
        <c:crosses val="autoZero"/>
        <c:auto val="1"/>
        <c:lblAlgn val="ctr"/>
        <c:lblOffset val="100"/>
      </c:catAx>
      <c:valAx>
        <c:axId val="255193472"/>
        <c:scaling>
          <c:orientation val="minMax"/>
        </c:scaling>
        <c:axPos val="l"/>
        <c:majorGridlines/>
        <c:numFmt formatCode="0%" sourceLinked="0"/>
        <c:tickLblPos val="nextTo"/>
        <c:crossAx val="255179392"/>
        <c:crosses val="autoZero"/>
        <c:crossBetween val="between"/>
      </c:valAx>
    </c:plotArea>
    <c:legend>
      <c:legendPos val="b"/>
    </c:legend>
    <c:plotVisOnly val="1"/>
    <c:dispBlanksAs val="gap"/>
  </c:chart>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CSIS!$H$30</c:f>
              <c:strCache>
                <c:ptCount val="1"/>
                <c:pt idx="0">
                  <c:v>2012-2013</c:v>
                </c:pt>
              </c:strCache>
            </c:strRef>
          </c:tx>
          <c:spPr>
            <a:solidFill>
              <a:schemeClr val="bg1">
                <a:lumMod val="65000"/>
              </a:schemeClr>
            </a:solidFill>
          </c:spPr>
          <c:cat>
            <c:strRef>
              <c:f>CSIS!$G$31:$G$36</c:f>
              <c:strCache>
                <c:ptCount val="6"/>
                <c:pt idx="0">
                  <c:v>30 jours ou moins</c:v>
                </c:pt>
                <c:pt idx="1">
                  <c:v>31 à 60 jours</c:v>
                </c:pt>
                <c:pt idx="2">
                  <c:v>61 à 120 jours</c:v>
                </c:pt>
                <c:pt idx="3">
                  <c:v>121 à 180 jours</c:v>
                </c:pt>
                <c:pt idx="4">
                  <c:v>181 à 365 jours</c:v>
                </c:pt>
                <c:pt idx="5">
                  <c:v>Plus de 365 jours</c:v>
                </c:pt>
              </c:strCache>
            </c:strRef>
          </c:cat>
          <c:val>
            <c:numRef>
              <c:f>CSIS!$H$31:$H$36</c:f>
              <c:numCache>
                <c:formatCode>0.00%</c:formatCode>
                <c:ptCount val="6"/>
                <c:pt idx="0">
                  <c:v>9.1954022988505746E-2</c:v>
                </c:pt>
                <c:pt idx="1">
                  <c:v>0.25287356321839088</c:v>
                </c:pt>
                <c:pt idx="2">
                  <c:v>0.36781609195402409</c:v>
                </c:pt>
                <c:pt idx="3">
                  <c:v>0.22988505747126423</c:v>
                </c:pt>
                <c:pt idx="4">
                  <c:v>5.7471264367816112E-2</c:v>
                </c:pt>
                <c:pt idx="5">
                  <c:v>0</c:v>
                </c:pt>
              </c:numCache>
            </c:numRef>
          </c:val>
        </c:ser>
        <c:ser>
          <c:idx val="1"/>
          <c:order val="1"/>
          <c:tx>
            <c:strRef>
              <c:f>CSIS!$I$30</c:f>
              <c:strCache>
                <c:ptCount val="1"/>
                <c:pt idx="0">
                  <c:v>2013-2014</c:v>
                </c:pt>
              </c:strCache>
            </c:strRef>
          </c:tx>
          <c:spPr>
            <a:solidFill>
              <a:srgbClr val="FFC000"/>
            </a:solidFill>
          </c:spPr>
          <c:cat>
            <c:strRef>
              <c:f>CSIS!$G$31:$G$36</c:f>
              <c:strCache>
                <c:ptCount val="6"/>
                <c:pt idx="0">
                  <c:v>30 jours ou moins</c:v>
                </c:pt>
                <c:pt idx="1">
                  <c:v>31 à 60 jours</c:v>
                </c:pt>
                <c:pt idx="2">
                  <c:v>61 à 120 jours</c:v>
                </c:pt>
                <c:pt idx="3">
                  <c:v>121 à 180 jours</c:v>
                </c:pt>
                <c:pt idx="4">
                  <c:v>181 à 365 jours</c:v>
                </c:pt>
                <c:pt idx="5">
                  <c:v>Plus de 365 jours</c:v>
                </c:pt>
              </c:strCache>
            </c:strRef>
          </c:cat>
          <c:val>
            <c:numRef>
              <c:f>CSIS!$I$31:$I$36</c:f>
              <c:numCache>
                <c:formatCode>0.00%</c:formatCode>
                <c:ptCount val="6"/>
                <c:pt idx="0">
                  <c:v>5.6603773584905662E-2</c:v>
                </c:pt>
                <c:pt idx="1">
                  <c:v>0.12264150943396226</c:v>
                </c:pt>
                <c:pt idx="2">
                  <c:v>0.5094339622641505</c:v>
                </c:pt>
                <c:pt idx="3">
                  <c:v>0.26415094339622641</c:v>
                </c:pt>
                <c:pt idx="4">
                  <c:v>4.7169811320754707E-2</c:v>
                </c:pt>
                <c:pt idx="5">
                  <c:v>0</c:v>
                </c:pt>
              </c:numCache>
            </c:numRef>
          </c:val>
        </c:ser>
        <c:ser>
          <c:idx val="2"/>
          <c:order val="2"/>
          <c:tx>
            <c:strRef>
              <c:f>CSIS!$J$30</c:f>
              <c:strCache>
                <c:ptCount val="1"/>
                <c:pt idx="0">
                  <c:v>2014-2015</c:v>
                </c:pt>
              </c:strCache>
            </c:strRef>
          </c:tx>
          <c:spPr>
            <a:solidFill>
              <a:schemeClr val="accent5">
                <a:lumMod val="75000"/>
              </a:schemeClr>
            </a:solidFill>
          </c:spPr>
          <c:cat>
            <c:strRef>
              <c:f>CSIS!$G$31:$G$36</c:f>
              <c:strCache>
                <c:ptCount val="6"/>
                <c:pt idx="0">
                  <c:v>30 jours ou moins</c:v>
                </c:pt>
                <c:pt idx="1">
                  <c:v>31 à 60 jours</c:v>
                </c:pt>
                <c:pt idx="2">
                  <c:v>61 à 120 jours</c:v>
                </c:pt>
                <c:pt idx="3">
                  <c:v>121 à 180 jours</c:v>
                </c:pt>
                <c:pt idx="4">
                  <c:v>181 à 365 jours</c:v>
                </c:pt>
                <c:pt idx="5">
                  <c:v>Plus de 365 jours</c:v>
                </c:pt>
              </c:strCache>
            </c:strRef>
          </c:cat>
          <c:val>
            <c:numRef>
              <c:f>CSIS!$J$31:$J$36</c:f>
              <c:numCache>
                <c:formatCode>0.00%</c:formatCode>
                <c:ptCount val="6"/>
                <c:pt idx="0">
                  <c:v>0.10891089108910891</c:v>
                </c:pt>
                <c:pt idx="1">
                  <c:v>0.12871287128712874</c:v>
                </c:pt>
                <c:pt idx="2">
                  <c:v>0.47524752475247528</c:v>
                </c:pt>
                <c:pt idx="3">
                  <c:v>0.14851485148514876</c:v>
                </c:pt>
                <c:pt idx="4">
                  <c:v>8.9108910891089257E-2</c:v>
                </c:pt>
                <c:pt idx="5">
                  <c:v>4.9504950495049507E-2</c:v>
                </c:pt>
              </c:numCache>
            </c:numRef>
          </c:val>
        </c:ser>
        <c:dLbls/>
        <c:axId val="254568704"/>
        <c:axId val="254595072"/>
      </c:barChart>
      <c:catAx>
        <c:axId val="254568704"/>
        <c:scaling>
          <c:orientation val="minMax"/>
        </c:scaling>
        <c:axPos val="b"/>
        <c:numFmt formatCode="General" sourceLinked="0"/>
        <c:tickLblPos val="nextTo"/>
        <c:crossAx val="254595072"/>
        <c:crosses val="autoZero"/>
        <c:auto val="1"/>
        <c:lblAlgn val="ctr"/>
        <c:lblOffset val="100"/>
      </c:catAx>
      <c:valAx>
        <c:axId val="254595072"/>
        <c:scaling>
          <c:orientation val="minMax"/>
        </c:scaling>
        <c:axPos val="l"/>
        <c:majorGridlines/>
        <c:numFmt formatCode="0%" sourceLinked="0"/>
        <c:tickLblPos val="nextTo"/>
        <c:crossAx val="254568704"/>
        <c:crosses val="autoZero"/>
        <c:crossBetween val="between"/>
      </c:valAx>
    </c:plotArea>
    <c:legend>
      <c:legendPos val="b"/>
    </c:legend>
    <c:plotVisOnly val="1"/>
    <c:dispBlanksAs val="gap"/>
  </c:chart>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CSIS!$H$72</c:f>
              <c:strCache>
                <c:ptCount val="1"/>
                <c:pt idx="0">
                  <c:v>2012-2013</c:v>
                </c:pt>
              </c:strCache>
            </c:strRef>
          </c:tx>
          <c:spPr>
            <a:solidFill>
              <a:schemeClr val="bg1">
                <a:lumMod val="65000"/>
              </a:schemeClr>
            </a:solidFill>
          </c:spPr>
          <c:cat>
            <c:strRef>
              <c:f>CSIS!$G$73:$G$74</c:f>
              <c:strCache>
                <c:ptCount val="2"/>
                <c:pt idx="0">
                  <c:v>Divulgation complète </c:v>
                </c:pt>
                <c:pt idx="1">
                  <c:v>Divulgation partielle </c:v>
                </c:pt>
              </c:strCache>
            </c:strRef>
          </c:cat>
          <c:val>
            <c:numRef>
              <c:f>CSIS!$H$73:$H$74</c:f>
              <c:numCache>
                <c:formatCode>0.00%</c:formatCode>
                <c:ptCount val="2"/>
                <c:pt idx="0">
                  <c:v>8.4566596194503487E-3</c:v>
                </c:pt>
                <c:pt idx="1">
                  <c:v>0.2494714587737844</c:v>
                </c:pt>
              </c:numCache>
            </c:numRef>
          </c:val>
        </c:ser>
        <c:ser>
          <c:idx val="1"/>
          <c:order val="1"/>
          <c:tx>
            <c:strRef>
              <c:f>CSIS!$I$72</c:f>
              <c:strCache>
                <c:ptCount val="1"/>
                <c:pt idx="0">
                  <c:v>2013-2014</c:v>
                </c:pt>
              </c:strCache>
            </c:strRef>
          </c:tx>
          <c:spPr>
            <a:solidFill>
              <a:srgbClr val="FFC000"/>
            </a:solidFill>
          </c:spPr>
          <c:cat>
            <c:strRef>
              <c:f>CSIS!$G$73:$G$74</c:f>
              <c:strCache>
                <c:ptCount val="2"/>
                <c:pt idx="0">
                  <c:v>Divulgation complète </c:v>
                </c:pt>
                <c:pt idx="1">
                  <c:v>Divulgation partielle </c:v>
                </c:pt>
              </c:strCache>
            </c:strRef>
          </c:cat>
          <c:val>
            <c:numRef>
              <c:f>CSIS!$I$73:$I$74</c:f>
              <c:numCache>
                <c:formatCode>0.00%</c:formatCode>
                <c:ptCount val="2"/>
                <c:pt idx="0">
                  <c:v>1.0917030567685606E-3</c:v>
                </c:pt>
                <c:pt idx="1">
                  <c:v>0.13209606986899583</c:v>
                </c:pt>
              </c:numCache>
            </c:numRef>
          </c:val>
        </c:ser>
        <c:ser>
          <c:idx val="2"/>
          <c:order val="2"/>
          <c:tx>
            <c:strRef>
              <c:f>CSIS!$J$72</c:f>
              <c:strCache>
                <c:ptCount val="1"/>
                <c:pt idx="0">
                  <c:v>2014-2015</c:v>
                </c:pt>
              </c:strCache>
            </c:strRef>
          </c:tx>
          <c:spPr>
            <a:solidFill>
              <a:schemeClr val="accent5">
                <a:lumMod val="75000"/>
              </a:schemeClr>
            </a:solidFill>
          </c:spPr>
          <c:cat>
            <c:strRef>
              <c:f>CSIS!$G$73:$G$74</c:f>
              <c:strCache>
                <c:ptCount val="2"/>
                <c:pt idx="0">
                  <c:v>Divulgation complète </c:v>
                </c:pt>
                <c:pt idx="1">
                  <c:v>Divulgation partielle </c:v>
                </c:pt>
              </c:strCache>
            </c:strRef>
          </c:cat>
          <c:val>
            <c:numRef>
              <c:f>CSIS!$J$73:$J$74</c:f>
              <c:numCache>
                <c:formatCode>0.00%</c:formatCode>
                <c:ptCount val="2"/>
                <c:pt idx="0">
                  <c:v>9.5541401273885346E-3</c:v>
                </c:pt>
                <c:pt idx="1">
                  <c:v>0.41401273885350331</c:v>
                </c:pt>
              </c:numCache>
            </c:numRef>
          </c:val>
        </c:ser>
        <c:dLbls/>
        <c:axId val="255350656"/>
        <c:axId val="255352192"/>
      </c:barChart>
      <c:catAx>
        <c:axId val="255350656"/>
        <c:scaling>
          <c:orientation val="minMax"/>
        </c:scaling>
        <c:axPos val="b"/>
        <c:numFmt formatCode="General" sourceLinked="0"/>
        <c:tickLblPos val="nextTo"/>
        <c:crossAx val="255352192"/>
        <c:crosses val="autoZero"/>
        <c:auto val="1"/>
        <c:lblAlgn val="ctr"/>
        <c:lblOffset val="100"/>
      </c:catAx>
      <c:valAx>
        <c:axId val="255352192"/>
        <c:scaling>
          <c:orientation val="minMax"/>
        </c:scaling>
        <c:axPos val="l"/>
        <c:majorGridlines/>
        <c:numFmt formatCode="0%" sourceLinked="0"/>
        <c:tickLblPos val="nextTo"/>
        <c:crossAx val="255350656"/>
        <c:crosses val="autoZero"/>
        <c:crossBetween val="between"/>
      </c:valAx>
    </c:plotArea>
    <c:legend>
      <c:legendPos val="b"/>
    </c:legend>
    <c:plotVisOnly val="1"/>
    <c:dispBlanksAs val="gap"/>
  </c:chart>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PSC!$G$2</c:f>
              <c:strCache>
                <c:ptCount val="1"/>
                <c:pt idx="0">
                  <c:v>2012-2013</c:v>
                </c:pt>
              </c:strCache>
            </c:strRef>
          </c:tx>
          <c:spPr>
            <a:solidFill>
              <a:schemeClr val="bg1">
                <a:lumMod val="65000"/>
              </a:schemeClr>
            </a:solidFill>
          </c:spPr>
          <c:cat>
            <c:strRef>
              <c:f>PSC!$F$3:$F$8</c:f>
              <c:strCache>
                <c:ptCount val="6"/>
                <c:pt idx="0">
                  <c:v>30 jours ou moins</c:v>
                </c:pt>
                <c:pt idx="1">
                  <c:v>31 à 60 jours</c:v>
                </c:pt>
                <c:pt idx="2">
                  <c:v>61 à 120 jours</c:v>
                </c:pt>
                <c:pt idx="3">
                  <c:v>121 à 180 jours</c:v>
                </c:pt>
                <c:pt idx="4">
                  <c:v>181 à 365 jours</c:v>
                </c:pt>
                <c:pt idx="5">
                  <c:v>Plus de 365 jours</c:v>
                </c:pt>
              </c:strCache>
            </c:strRef>
          </c:cat>
          <c:val>
            <c:numRef>
              <c:f>PSC!$G$3:$G$8</c:f>
              <c:numCache>
                <c:formatCode>0.00%</c:formatCode>
                <c:ptCount val="6"/>
                <c:pt idx="0">
                  <c:v>0.65690376569037756</c:v>
                </c:pt>
                <c:pt idx="1">
                  <c:v>6.9037656903765857E-2</c:v>
                </c:pt>
                <c:pt idx="2">
                  <c:v>0.11087866108786605</c:v>
                </c:pt>
                <c:pt idx="3">
                  <c:v>6.0669456066945696E-2</c:v>
                </c:pt>
                <c:pt idx="4">
                  <c:v>8.1589958158995848E-2</c:v>
                </c:pt>
                <c:pt idx="5">
                  <c:v>2.0920502092050198E-2</c:v>
                </c:pt>
              </c:numCache>
            </c:numRef>
          </c:val>
        </c:ser>
        <c:ser>
          <c:idx val="1"/>
          <c:order val="1"/>
          <c:tx>
            <c:strRef>
              <c:f>PSC!$H$2</c:f>
              <c:strCache>
                <c:ptCount val="1"/>
                <c:pt idx="0">
                  <c:v>2013-2014</c:v>
                </c:pt>
              </c:strCache>
            </c:strRef>
          </c:tx>
          <c:spPr>
            <a:solidFill>
              <a:srgbClr val="FFC000"/>
            </a:solidFill>
          </c:spPr>
          <c:cat>
            <c:strRef>
              <c:f>PSC!$F$3:$F$8</c:f>
              <c:strCache>
                <c:ptCount val="6"/>
                <c:pt idx="0">
                  <c:v>30 jours ou moins</c:v>
                </c:pt>
                <c:pt idx="1">
                  <c:v>31 à 60 jours</c:v>
                </c:pt>
                <c:pt idx="2">
                  <c:v>61 à 120 jours</c:v>
                </c:pt>
                <c:pt idx="3">
                  <c:v>121 à 180 jours</c:v>
                </c:pt>
                <c:pt idx="4">
                  <c:v>181 à 365 jours</c:v>
                </c:pt>
                <c:pt idx="5">
                  <c:v>Plus de 365 jours</c:v>
                </c:pt>
              </c:strCache>
            </c:strRef>
          </c:cat>
          <c:val>
            <c:numRef>
              <c:f>PSC!$H$3:$H$8</c:f>
              <c:numCache>
                <c:formatCode>0.00%</c:formatCode>
                <c:ptCount val="6"/>
                <c:pt idx="0">
                  <c:v>0.68500948766603564</c:v>
                </c:pt>
                <c:pt idx="1">
                  <c:v>6.4516129032258188E-2</c:v>
                </c:pt>
                <c:pt idx="2">
                  <c:v>0.10626185958254269</c:v>
                </c:pt>
                <c:pt idx="3">
                  <c:v>5.6925996204933584E-2</c:v>
                </c:pt>
                <c:pt idx="4">
                  <c:v>6.0721062618595827E-2</c:v>
                </c:pt>
                <c:pt idx="5">
                  <c:v>2.6565464895635656E-2</c:v>
                </c:pt>
              </c:numCache>
            </c:numRef>
          </c:val>
        </c:ser>
        <c:ser>
          <c:idx val="2"/>
          <c:order val="2"/>
          <c:tx>
            <c:strRef>
              <c:f>PSC!$I$2</c:f>
              <c:strCache>
                <c:ptCount val="1"/>
                <c:pt idx="0">
                  <c:v>2014-2015</c:v>
                </c:pt>
              </c:strCache>
            </c:strRef>
          </c:tx>
          <c:spPr>
            <a:solidFill>
              <a:schemeClr val="accent5">
                <a:lumMod val="75000"/>
              </a:schemeClr>
            </a:solidFill>
          </c:spPr>
          <c:cat>
            <c:strRef>
              <c:f>PSC!$F$3:$F$8</c:f>
              <c:strCache>
                <c:ptCount val="6"/>
                <c:pt idx="0">
                  <c:v>30 jours ou moins</c:v>
                </c:pt>
                <c:pt idx="1">
                  <c:v>31 à 60 jours</c:v>
                </c:pt>
                <c:pt idx="2">
                  <c:v>61 à 120 jours</c:v>
                </c:pt>
                <c:pt idx="3">
                  <c:v>121 à 180 jours</c:v>
                </c:pt>
                <c:pt idx="4">
                  <c:v>181 à 365 jours</c:v>
                </c:pt>
                <c:pt idx="5">
                  <c:v>Plus de 365 jours</c:v>
                </c:pt>
              </c:strCache>
            </c:strRef>
          </c:cat>
          <c:val>
            <c:numRef>
              <c:f>PSC!$I$3:$I$8</c:f>
              <c:numCache>
                <c:formatCode>0.00%</c:formatCode>
                <c:ptCount val="6"/>
                <c:pt idx="0">
                  <c:v>0.63356164383561642</c:v>
                </c:pt>
                <c:pt idx="1">
                  <c:v>9.931506849315086E-2</c:v>
                </c:pt>
                <c:pt idx="2">
                  <c:v>0.16780821917808234</c:v>
                </c:pt>
                <c:pt idx="3">
                  <c:v>5.8219178082191778E-2</c:v>
                </c:pt>
                <c:pt idx="4">
                  <c:v>3.0821917808219284E-2</c:v>
                </c:pt>
                <c:pt idx="5">
                  <c:v>1.0273972602739724E-2</c:v>
                </c:pt>
              </c:numCache>
            </c:numRef>
          </c:val>
        </c:ser>
        <c:dLbls/>
        <c:axId val="255220352"/>
        <c:axId val="255234432"/>
      </c:barChart>
      <c:catAx>
        <c:axId val="255220352"/>
        <c:scaling>
          <c:orientation val="minMax"/>
        </c:scaling>
        <c:axPos val="b"/>
        <c:numFmt formatCode="General" sourceLinked="0"/>
        <c:tickLblPos val="nextTo"/>
        <c:crossAx val="255234432"/>
        <c:crosses val="autoZero"/>
        <c:auto val="1"/>
        <c:lblAlgn val="ctr"/>
        <c:lblOffset val="100"/>
      </c:catAx>
      <c:valAx>
        <c:axId val="255234432"/>
        <c:scaling>
          <c:orientation val="minMax"/>
        </c:scaling>
        <c:axPos val="l"/>
        <c:majorGridlines/>
        <c:numFmt formatCode="0%" sourceLinked="0"/>
        <c:tickLblPos val="nextTo"/>
        <c:crossAx val="255220352"/>
        <c:crosses val="autoZero"/>
        <c:crossBetween val="between"/>
      </c:valAx>
    </c:plotArea>
    <c:legend>
      <c:legendPos val="b"/>
    </c:legend>
    <c:plotVisOnly val="1"/>
    <c:dispBlanksAs val="gap"/>
  </c:chart>
  <c:txPr>
    <a:bodyPr/>
    <a:lstStyle/>
    <a:p>
      <a:pPr>
        <a:defRPr sz="100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RCMP!$N$2</c:f>
              <c:strCache>
                <c:ptCount val="1"/>
                <c:pt idx="0">
                  <c:v>2012-2013</c:v>
                </c:pt>
              </c:strCache>
            </c:strRef>
          </c:tx>
          <c:spPr>
            <a:solidFill>
              <a:schemeClr val="bg1">
                <a:lumMod val="65000"/>
              </a:schemeClr>
            </a:solidFill>
          </c:spPr>
          <c:cat>
            <c:strRef>
              <c:f>RCMP!$M$3:$M$8</c:f>
              <c:strCache>
                <c:ptCount val="6"/>
                <c:pt idx="0">
                  <c:v>30 jours ou moins</c:v>
                </c:pt>
                <c:pt idx="1">
                  <c:v>31 à 60 jours</c:v>
                </c:pt>
                <c:pt idx="2">
                  <c:v>61 à 120 jours</c:v>
                </c:pt>
                <c:pt idx="3">
                  <c:v>121 à 180 jours</c:v>
                </c:pt>
                <c:pt idx="4">
                  <c:v>181 à 365 jours</c:v>
                </c:pt>
                <c:pt idx="5">
                  <c:v>Plus de 365 jours</c:v>
                </c:pt>
              </c:strCache>
            </c:strRef>
          </c:cat>
          <c:val>
            <c:numRef>
              <c:f>RCMP!$N$3:$N$8</c:f>
              <c:numCache>
                <c:formatCode>0.00%</c:formatCode>
                <c:ptCount val="6"/>
                <c:pt idx="0">
                  <c:v>0.3547400611620804</c:v>
                </c:pt>
                <c:pt idx="1">
                  <c:v>0.19673802242609642</c:v>
                </c:pt>
                <c:pt idx="2">
                  <c:v>0.20489296636085627</c:v>
                </c:pt>
                <c:pt idx="3">
                  <c:v>9.2762487257900109E-2</c:v>
                </c:pt>
                <c:pt idx="4">
                  <c:v>0.11722731906218159</c:v>
                </c:pt>
                <c:pt idx="5">
                  <c:v>3.3639143730886882E-2</c:v>
                </c:pt>
              </c:numCache>
            </c:numRef>
          </c:val>
        </c:ser>
        <c:ser>
          <c:idx val="1"/>
          <c:order val="1"/>
          <c:tx>
            <c:strRef>
              <c:f>RCMP!$O$2</c:f>
              <c:strCache>
                <c:ptCount val="1"/>
                <c:pt idx="0">
                  <c:v>2013-2014</c:v>
                </c:pt>
              </c:strCache>
            </c:strRef>
          </c:tx>
          <c:spPr>
            <a:solidFill>
              <a:srgbClr val="FFC000"/>
            </a:solidFill>
          </c:spPr>
          <c:cat>
            <c:strRef>
              <c:f>RCMP!$M$3:$M$8</c:f>
              <c:strCache>
                <c:ptCount val="6"/>
                <c:pt idx="0">
                  <c:v>30 jours ou moins</c:v>
                </c:pt>
                <c:pt idx="1">
                  <c:v>31 à 60 jours</c:v>
                </c:pt>
                <c:pt idx="2">
                  <c:v>61 à 120 jours</c:v>
                </c:pt>
                <c:pt idx="3">
                  <c:v>121 à 180 jours</c:v>
                </c:pt>
                <c:pt idx="4">
                  <c:v>181 à 365 jours</c:v>
                </c:pt>
                <c:pt idx="5">
                  <c:v>Plus de 365 jours</c:v>
                </c:pt>
              </c:strCache>
            </c:strRef>
          </c:cat>
          <c:val>
            <c:numRef>
              <c:f>RCMP!$O$3:$O$8</c:f>
              <c:numCache>
                <c:formatCode>0.00%</c:formatCode>
                <c:ptCount val="6"/>
                <c:pt idx="0">
                  <c:v>0.29308323563892147</c:v>
                </c:pt>
                <c:pt idx="1">
                  <c:v>0.13188745603751464</c:v>
                </c:pt>
                <c:pt idx="2">
                  <c:v>0.12837045720984713</c:v>
                </c:pt>
                <c:pt idx="3">
                  <c:v>0.11090000000000007</c:v>
                </c:pt>
                <c:pt idx="4">
                  <c:v>0.25439624853458376</c:v>
                </c:pt>
                <c:pt idx="5">
                  <c:v>8.1600000000000047E-2</c:v>
                </c:pt>
              </c:numCache>
            </c:numRef>
          </c:val>
        </c:ser>
        <c:ser>
          <c:idx val="2"/>
          <c:order val="2"/>
          <c:tx>
            <c:strRef>
              <c:f>RCMP!$P$2</c:f>
              <c:strCache>
                <c:ptCount val="1"/>
                <c:pt idx="0">
                  <c:v>2014-2015</c:v>
                </c:pt>
              </c:strCache>
            </c:strRef>
          </c:tx>
          <c:spPr>
            <a:solidFill>
              <a:schemeClr val="accent5">
                <a:lumMod val="75000"/>
              </a:schemeClr>
            </a:solidFill>
          </c:spPr>
          <c:cat>
            <c:strRef>
              <c:f>RCMP!$M$3:$M$8</c:f>
              <c:strCache>
                <c:ptCount val="6"/>
                <c:pt idx="0">
                  <c:v>30 jours ou moins</c:v>
                </c:pt>
                <c:pt idx="1">
                  <c:v>31 à 60 jours</c:v>
                </c:pt>
                <c:pt idx="2">
                  <c:v>61 à 120 jours</c:v>
                </c:pt>
                <c:pt idx="3">
                  <c:v>121 à 180 jours</c:v>
                </c:pt>
                <c:pt idx="4">
                  <c:v>181 à 365 jours</c:v>
                </c:pt>
                <c:pt idx="5">
                  <c:v>Plus de 365 jours</c:v>
                </c:pt>
              </c:strCache>
            </c:strRef>
          </c:cat>
          <c:val>
            <c:numRef>
              <c:f>RCMP!$P$3:$P$8</c:f>
              <c:numCache>
                <c:formatCode>0.00%</c:formatCode>
                <c:ptCount val="6"/>
                <c:pt idx="0">
                  <c:v>0.59952324195470652</c:v>
                </c:pt>
                <c:pt idx="1">
                  <c:v>0.14153754469606691</c:v>
                </c:pt>
                <c:pt idx="2">
                  <c:v>0.10548271752085817</c:v>
                </c:pt>
                <c:pt idx="3">
                  <c:v>3.1585220500596034E-2</c:v>
                </c:pt>
                <c:pt idx="4">
                  <c:v>7.3003575685339703E-2</c:v>
                </c:pt>
                <c:pt idx="5">
                  <c:v>4.8867699642431775E-2</c:v>
                </c:pt>
              </c:numCache>
            </c:numRef>
          </c:val>
        </c:ser>
        <c:dLbls/>
        <c:axId val="244794112"/>
        <c:axId val="244795648"/>
      </c:barChart>
      <c:catAx>
        <c:axId val="244794112"/>
        <c:scaling>
          <c:orientation val="minMax"/>
        </c:scaling>
        <c:axPos val="b"/>
        <c:numFmt formatCode="General" sourceLinked="0"/>
        <c:tickLblPos val="nextTo"/>
        <c:crossAx val="244795648"/>
        <c:crosses val="autoZero"/>
        <c:auto val="1"/>
        <c:lblAlgn val="ctr"/>
        <c:lblOffset val="100"/>
      </c:catAx>
      <c:valAx>
        <c:axId val="244795648"/>
        <c:scaling>
          <c:orientation val="minMax"/>
        </c:scaling>
        <c:axPos val="l"/>
        <c:majorGridlines/>
        <c:numFmt formatCode="0%" sourceLinked="0"/>
        <c:tickLblPos val="nextTo"/>
        <c:crossAx val="244794112"/>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PSC!$H$30</c:f>
              <c:strCache>
                <c:ptCount val="1"/>
                <c:pt idx="0">
                  <c:v>2012-2013</c:v>
                </c:pt>
              </c:strCache>
            </c:strRef>
          </c:tx>
          <c:spPr>
            <a:solidFill>
              <a:schemeClr val="bg1">
                <a:lumMod val="65000"/>
              </a:schemeClr>
            </a:solidFill>
          </c:spPr>
          <c:cat>
            <c:strRef>
              <c:f>PSC!$G$31:$G$36</c:f>
              <c:strCache>
                <c:ptCount val="6"/>
                <c:pt idx="0">
                  <c:v>30 jours ou moins</c:v>
                </c:pt>
                <c:pt idx="1">
                  <c:v>31 à 60 jours</c:v>
                </c:pt>
                <c:pt idx="2">
                  <c:v>61 à 120 jours</c:v>
                </c:pt>
                <c:pt idx="3">
                  <c:v>121 à 180 jours</c:v>
                </c:pt>
                <c:pt idx="4">
                  <c:v>181 à 365 jours</c:v>
                </c:pt>
                <c:pt idx="5">
                  <c:v>Plus de 365 jours</c:v>
                </c:pt>
              </c:strCache>
            </c:strRef>
          </c:cat>
          <c:val>
            <c:numRef>
              <c:f>PSC!$H$31:$H$36</c:f>
              <c:numCache>
                <c:formatCode>0.00%</c:formatCode>
                <c:ptCount val="6"/>
                <c:pt idx="0">
                  <c:v>0.22535211267605632</c:v>
                </c:pt>
                <c:pt idx="1">
                  <c:v>0.25821596244131423</c:v>
                </c:pt>
                <c:pt idx="2">
                  <c:v>0.28169014084507044</c:v>
                </c:pt>
                <c:pt idx="3">
                  <c:v>0.12206572769953063</c:v>
                </c:pt>
                <c:pt idx="4">
                  <c:v>0.11267605633802817</c:v>
                </c:pt>
                <c:pt idx="5">
                  <c:v>0</c:v>
                </c:pt>
              </c:numCache>
            </c:numRef>
          </c:val>
        </c:ser>
        <c:ser>
          <c:idx val="1"/>
          <c:order val="1"/>
          <c:tx>
            <c:strRef>
              <c:f>PSC!$I$30</c:f>
              <c:strCache>
                <c:ptCount val="1"/>
                <c:pt idx="0">
                  <c:v>2013-2014</c:v>
                </c:pt>
              </c:strCache>
            </c:strRef>
          </c:tx>
          <c:spPr>
            <a:solidFill>
              <a:srgbClr val="FFC000"/>
            </a:solidFill>
          </c:spPr>
          <c:cat>
            <c:strRef>
              <c:f>PSC!$G$31:$G$36</c:f>
              <c:strCache>
                <c:ptCount val="6"/>
                <c:pt idx="0">
                  <c:v>30 jours ou moins</c:v>
                </c:pt>
                <c:pt idx="1">
                  <c:v>31 à 60 jours</c:v>
                </c:pt>
                <c:pt idx="2">
                  <c:v>61 à 120 jours</c:v>
                </c:pt>
                <c:pt idx="3">
                  <c:v>121 à 180 jours</c:v>
                </c:pt>
                <c:pt idx="4">
                  <c:v>181 à 365 jours</c:v>
                </c:pt>
                <c:pt idx="5">
                  <c:v>Plus de 365 jours</c:v>
                </c:pt>
              </c:strCache>
            </c:strRef>
          </c:cat>
          <c:val>
            <c:numRef>
              <c:f>PSC!$I$31:$I$36</c:f>
              <c:numCache>
                <c:formatCode>0.00%</c:formatCode>
                <c:ptCount val="6"/>
                <c:pt idx="0">
                  <c:v>0.16517857142857109</c:v>
                </c:pt>
                <c:pt idx="1">
                  <c:v>0.29910714285714285</c:v>
                </c:pt>
                <c:pt idx="2">
                  <c:v>0.24107142857142896</c:v>
                </c:pt>
                <c:pt idx="3">
                  <c:v>0.25446428571428636</c:v>
                </c:pt>
                <c:pt idx="4">
                  <c:v>3.5714285714285712E-2</c:v>
                </c:pt>
                <c:pt idx="5">
                  <c:v>4.464285714285714E-3</c:v>
                </c:pt>
              </c:numCache>
            </c:numRef>
          </c:val>
        </c:ser>
        <c:ser>
          <c:idx val="2"/>
          <c:order val="2"/>
          <c:tx>
            <c:strRef>
              <c:f>PSC!$J$30</c:f>
              <c:strCache>
                <c:ptCount val="1"/>
                <c:pt idx="0">
                  <c:v>2014-2015</c:v>
                </c:pt>
              </c:strCache>
            </c:strRef>
          </c:tx>
          <c:spPr>
            <a:solidFill>
              <a:schemeClr val="accent5">
                <a:lumMod val="75000"/>
              </a:schemeClr>
            </a:solidFill>
          </c:spPr>
          <c:cat>
            <c:strRef>
              <c:f>PSC!$G$31:$G$36</c:f>
              <c:strCache>
                <c:ptCount val="6"/>
                <c:pt idx="0">
                  <c:v>30 jours ou moins</c:v>
                </c:pt>
                <c:pt idx="1">
                  <c:v>31 à 60 jours</c:v>
                </c:pt>
                <c:pt idx="2">
                  <c:v>61 à 120 jours</c:v>
                </c:pt>
                <c:pt idx="3">
                  <c:v>121 à 180 jours</c:v>
                </c:pt>
                <c:pt idx="4">
                  <c:v>181 à 365 jours</c:v>
                </c:pt>
                <c:pt idx="5">
                  <c:v>Plus de 365 jours</c:v>
                </c:pt>
              </c:strCache>
            </c:strRef>
          </c:cat>
          <c:val>
            <c:numRef>
              <c:f>PSC!$J$31:$J$36</c:f>
              <c:numCache>
                <c:formatCode>0.00%</c:formatCode>
                <c:ptCount val="6"/>
                <c:pt idx="0">
                  <c:v>0.18881118881118919</c:v>
                </c:pt>
                <c:pt idx="1">
                  <c:v>0.39860139860139859</c:v>
                </c:pt>
                <c:pt idx="2">
                  <c:v>0.29370629370629381</c:v>
                </c:pt>
                <c:pt idx="3">
                  <c:v>5.5944055944055895E-2</c:v>
                </c:pt>
                <c:pt idx="4">
                  <c:v>4.8951048951048973E-2</c:v>
                </c:pt>
                <c:pt idx="5">
                  <c:v>1.3986013986013989E-2</c:v>
                </c:pt>
              </c:numCache>
            </c:numRef>
          </c:val>
        </c:ser>
        <c:dLbls/>
        <c:axId val="255256832"/>
        <c:axId val="255393792"/>
      </c:barChart>
      <c:catAx>
        <c:axId val="255256832"/>
        <c:scaling>
          <c:orientation val="minMax"/>
        </c:scaling>
        <c:axPos val="b"/>
        <c:numFmt formatCode="General" sourceLinked="0"/>
        <c:tickLblPos val="nextTo"/>
        <c:crossAx val="255393792"/>
        <c:crosses val="autoZero"/>
        <c:auto val="1"/>
        <c:lblAlgn val="ctr"/>
        <c:lblOffset val="100"/>
      </c:catAx>
      <c:valAx>
        <c:axId val="255393792"/>
        <c:scaling>
          <c:orientation val="minMax"/>
        </c:scaling>
        <c:axPos val="l"/>
        <c:majorGridlines/>
        <c:numFmt formatCode="0%" sourceLinked="0"/>
        <c:tickLblPos val="nextTo"/>
        <c:crossAx val="255256832"/>
        <c:crosses val="autoZero"/>
        <c:crossBetween val="between"/>
      </c:valAx>
    </c:plotArea>
    <c:legend>
      <c:legendPos val="b"/>
      <c:layout>
        <c:manualLayout>
          <c:xMode val="edge"/>
          <c:yMode val="edge"/>
          <c:x val="0.25345010982786503"/>
          <c:y val="0.92898158843605783"/>
          <c:w val="0.49309961568480237"/>
          <c:h val="6.195359814801818E-2"/>
        </c:manualLayout>
      </c:layout>
    </c:legend>
    <c:plotVisOnly val="1"/>
    <c:dispBlanksAs val="gap"/>
  </c:chart>
  <c:txPr>
    <a:bodyPr/>
    <a:lstStyle/>
    <a:p>
      <a:pPr>
        <a:defRPr sz="1000"/>
      </a:pPr>
      <a:endParaRPr lang="en-US"/>
    </a:p>
  </c:txPr>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PSC!$H$62</c:f>
              <c:strCache>
                <c:ptCount val="1"/>
                <c:pt idx="0">
                  <c:v>2012-2013</c:v>
                </c:pt>
              </c:strCache>
            </c:strRef>
          </c:tx>
          <c:spPr>
            <a:solidFill>
              <a:schemeClr val="bg1">
                <a:lumMod val="65000"/>
              </a:schemeClr>
            </a:solidFill>
          </c:spPr>
          <c:cat>
            <c:strRef>
              <c:f>PSC!$G$63:$G$64</c:f>
              <c:strCache>
                <c:ptCount val="2"/>
                <c:pt idx="0">
                  <c:v>Divulgation complète </c:v>
                </c:pt>
                <c:pt idx="1">
                  <c:v>Divulgation partielle </c:v>
                </c:pt>
              </c:strCache>
            </c:strRef>
          </c:cat>
          <c:val>
            <c:numRef>
              <c:f>PSC!$H$63:$H$64</c:f>
              <c:numCache>
                <c:formatCode>0.00%</c:formatCode>
                <c:ptCount val="2"/>
                <c:pt idx="0">
                  <c:v>6.694560669456065E-2</c:v>
                </c:pt>
                <c:pt idx="1">
                  <c:v>0.42259414225941438</c:v>
                </c:pt>
              </c:numCache>
            </c:numRef>
          </c:val>
        </c:ser>
        <c:ser>
          <c:idx val="1"/>
          <c:order val="1"/>
          <c:tx>
            <c:strRef>
              <c:f>PSC!$I$62</c:f>
              <c:strCache>
                <c:ptCount val="1"/>
                <c:pt idx="0">
                  <c:v>2013-2014</c:v>
                </c:pt>
              </c:strCache>
            </c:strRef>
          </c:tx>
          <c:spPr>
            <a:solidFill>
              <a:srgbClr val="FFC000"/>
            </a:solidFill>
          </c:spPr>
          <c:cat>
            <c:strRef>
              <c:f>PSC!$G$63:$G$64</c:f>
              <c:strCache>
                <c:ptCount val="2"/>
                <c:pt idx="0">
                  <c:v>Divulgation complète </c:v>
                </c:pt>
                <c:pt idx="1">
                  <c:v>Divulgation partielle </c:v>
                </c:pt>
              </c:strCache>
            </c:strRef>
          </c:cat>
          <c:val>
            <c:numRef>
              <c:f>PSC!$I$63:$I$64</c:f>
              <c:numCache>
                <c:formatCode>0.00%</c:formatCode>
                <c:ptCount val="2"/>
                <c:pt idx="0">
                  <c:v>6.8311195445920334E-2</c:v>
                </c:pt>
                <c:pt idx="1">
                  <c:v>0.4648956356736243</c:v>
                </c:pt>
              </c:numCache>
            </c:numRef>
          </c:val>
        </c:ser>
        <c:ser>
          <c:idx val="2"/>
          <c:order val="2"/>
          <c:tx>
            <c:strRef>
              <c:f>PSC!$J$62</c:f>
              <c:strCache>
                <c:ptCount val="1"/>
                <c:pt idx="0">
                  <c:v>2014-2015</c:v>
                </c:pt>
              </c:strCache>
            </c:strRef>
          </c:tx>
          <c:spPr>
            <a:solidFill>
              <a:schemeClr val="accent5">
                <a:lumMod val="75000"/>
              </a:schemeClr>
            </a:solidFill>
          </c:spPr>
          <c:cat>
            <c:strRef>
              <c:f>PSC!$G$63:$G$64</c:f>
              <c:strCache>
                <c:ptCount val="2"/>
                <c:pt idx="0">
                  <c:v>Divulgation complète </c:v>
                </c:pt>
                <c:pt idx="1">
                  <c:v>Divulgation partielle </c:v>
                </c:pt>
              </c:strCache>
            </c:strRef>
          </c:cat>
          <c:val>
            <c:numRef>
              <c:f>PSC!$J$63:$J$64</c:f>
              <c:numCache>
                <c:formatCode>0.00%</c:formatCode>
                <c:ptCount val="2"/>
                <c:pt idx="0">
                  <c:v>0.10616438356164404</c:v>
                </c:pt>
                <c:pt idx="1">
                  <c:v>0.5616438356164396</c:v>
                </c:pt>
              </c:numCache>
            </c:numRef>
          </c:val>
        </c:ser>
        <c:dLbls/>
        <c:axId val="255424384"/>
        <c:axId val="255425920"/>
      </c:barChart>
      <c:catAx>
        <c:axId val="255424384"/>
        <c:scaling>
          <c:orientation val="minMax"/>
        </c:scaling>
        <c:axPos val="b"/>
        <c:numFmt formatCode="General" sourceLinked="0"/>
        <c:tickLblPos val="nextTo"/>
        <c:crossAx val="255425920"/>
        <c:crosses val="autoZero"/>
        <c:auto val="1"/>
        <c:lblAlgn val="ctr"/>
        <c:lblOffset val="100"/>
      </c:catAx>
      <c:valAx>
        <c:axId val="255425920"/>
        <c:scaling>
          <c:orientation val="minMax"/>
        </c:scaling>
        <c:axPos val="l"/>
        <c:majorGridlines/>
        <c:numFmt formatCode="0%" sourceLinked="0"/>
        <c:tickLblPos val="nextTo"/>
        <c:crossAx val="255424384"/>
        <c:crosses val="autoZero"/>
        <c:crossBetween val="between"/>
      </c:valAx>
    </c:plotArea>
    <c:legend>
      <c:legendPos val="b"/>
    </c:legend>
    <c:plotVisOnly val="1"/>
    <c:dispBlanksAs val="gap"/>
  </c:chart>
  <c:txPr>
    <a:bodyPr/>
    <a:lstStyle/>
    <a:p>
      <a:pPr>
        <a:defRPr sz="10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9EAA-D8E9-45F6-9B4F-396EE7B5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143</Pages>
  <Words>20449</Words>
  <Characters>116561</Characters>
  <Application>Microsoft Office Word</Application>
  <DocSecurity>0</DocSecurity>
  <Lines>971</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Office of the Information Commissioner of Canada</Company>
  <LinksUpToDate>false</LinksUpToDate>
  <CharactersWithSpaces>136737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Bourdeau</dc:creator>
  <cp:lastModifiedBy>mduguay</cp:lastModifiedBy>
  <cp:revision>2</cp:revision>
  <dcterms:created xsi:type="dcterms:W3CDTF">2017-03-03T19:17:00Z</dcterms:created>
  <dcterms:modified xsi:type="dcterms:W3CDTF">2017-03-03T19:17:00Z</dcterms:modified>
</cp:coreProperties>
</file>