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Override PartName="/word/charts/chart77.xml" ContentType="application/vnd.openxmlformats-officedocument.drawingml.chart+xml"/>
  <Override PartName="/word/charts/chart79.xml" ContentType="application/vnd.openxmlformats-officedocument.drawingml.chart+xml"/>
  <Override PartName="/word/charts/chart8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91.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charts/chart8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Override PartName="/word/charts/chart89.xml" ContentType="application/vnd.openxmlformats-officedocument.drawingml.chart+xml"/>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charts/chart87.xml" ContentType="application/vnd.openxmlformats-officedocument.drawingml.chart+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word/charts/chart85.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83.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charts/chart90.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F0" w:rsidRDefault="002F32F0" w:rsidP="000430A4">
      <w:pPr>
        <w:pStyle w:val="Heading1"/>
      </w:pPr>
    </w:p>
    <w:p w:rsidR="000430A4" w:rsidRPr="00E7346D" w:rsidRDefault="000430A4" w:rsidP="000430A4">
      <w:pPr>
        <w:pStyle w:val="Heading1"/>
      </w:pPr>
      <w:r w:rsidRPr="00E7346D">
        <w:t>Immigration, Refugees and Citizenship Canada</w:t>
      </w:r>
    </w:p>
    <w:p w:rsidR="000430A4" w:rsidRPr="00E7346D" w:rsidRDefault="000430A4" w:rsidP="000430A4">
      <w:pPr>
        <w:jc w:val="both"/>
        <w:rPr>
          <w:b/>
        </w:rPr>
      </w:pPr>
      <w:r w:rsidRPr="00E7346D">
        <w:rPr>
          <w:rStyle w:val="Heading2Char"/>
        </w:rPr>
        <w:t>Overall performance</w:t>
      </w:r>
      <w:r>
        <w:rPr>
          <w:rStyle w:val="FootnoteReference"/>
          <w:b/>
        </w:rPr>
        <w:footnoteReference w:id="1"/>
      </w:r>
    </w:p>
    <w:p w:rsidR="000430A4" w:rsidRPr="00710A3E" w:rsidRDefault="000430A4" w:rsidP="000430A4">
      <w:pPr>
        <w:jc w:val="both"/>
      </w:pPr>
      <w:r>
        <w:t>Immigration, Refugees and Citizenship Canada (IRCC)</w:t>
      </w:r>
      <w:r>
        <w:rPr>
          <w:rStyle w:val="FootnoteReference"/>
        </w:rPr>
        <w:footnoteReference w:id="2"/>
      </w:r>
      <w:r w:rsidRPr="0095232E">
        <w:t xml:space="preserve"> showed </w:t>
      </w:r>
      <w:r>
        <w:t>a similar performance as the previous year despite an increase of 16.3% in requests received. This report p</w:t>
      </w:r>
      <w:r w:rsidRPr="0095232E">
        <w:t>rovide</w:t>
      </w:r>
      <w:r>
        <w:t>s</w:t>
      </w:r>
      <w:r w:rsidRPr="0095232E">
        <w:t xml:space="preserve"> comparative statistics for the last three periods</w:t>
      </w:r>
      <w:r w:rsidRPr="00710A3E">
        <w:t xml:space="preserve"> (2012-2015).</w:t>
      </w:r>
    </w:p>
    <w:p w:rsidR="000430A4" w:rsidRPr="00E7346D" w:rsidRDefault="000430A4" w:rsidP="000430A4">
      <w:pPr>
        <w:pStyle w:val="Heading2"/>
      </w:pPr>
      <w:r w:rsidRPr="00E7346D">
        <w:t>Workload</w:t>
      </w:r>
    </w:p>
    <w:p w:rsidR="000430A4" w:rsidRPr="00B75C1D" w:rsidRDefault="000430A4" w:rsidP="000430A4">
      <w:pPr>
        <w:jc w:val="both"/>
      </w:pPr>
      <w:r>
        <w:t>IRCC</w:t>
      </w:r>
      <w:r w:rsidRPr="006477F5">
        <w:t xml:space="preserve"> received</w:t>
      </w:r>
      <w:r>
        <w:t xml:space="preserve"> by far</w:t>
      </w:r>
      <w:r w:rsidRPr="006477F5">
        <w:t xml:space="preserve"> </w:t>
      </w:r>
      <w:r>
        <w:t xml:space="preserve">the highest number of requests (36,066) under the </w:t>
      </w:r>
      <w:r w:rsidRPr="0073648E">
        <w:rPr>
          <w:i/>
        </w:rPr>
        <w:t>Access to Information Act</w:t>
      </w:r>
      <w:r>
        <w:t xml:space="preserve"> (the Act), </w:t>
      </w:r>
      <w:r w:rsidRPr="006477F5">
        <w:t xml:space="preserve">representing </w:t>
      </w:r>
      <w:r>
        <w:t>50.0</w:t>
      </w:r>
      <w:r w:rsidRPr="006477F5">
        <w:t xml:space="preserve">% of total requests received </w:t>
      </w:r>
      <w:r>
        <w:t>across government</w:t>
      </w:r>
      <w:r w:rsidRPr="006477F5">
        <w:t xml:space="preserve"> in 2014-2015.</w:t>
      </w:r>
      <w:r>
        <w:t xml:space="preserve"> It is also an increase of 16.3% compared to the 29,281requests received in 2013-2014.</w:t>
      </w:r>
      <w:r w:rsidRPr="0074388D">
        <w:t xml:space="preserve"> </w:t>
      </w:r>
      <w:r>
        <w:t xml:space="preserve">The majority of requests </w:t>
      </w:r>
      <w:r w:rsidRPr="00B75C1D">
        <w:t>were from the</w:t>
      </w:r>
      <w:r>
        <w:t xml:space="preserve"> business sector (52.3%), followed by </w:t>
      </w:r>
      <w:r w:rsidRPr="00B75C1D">
        <w:t xml:space="preserve">the </w:t>
      </w:r>
      <w:r>
        <w:t>public (36.5%).</w:t>
      </w:r>
    </w:p>
    <w:p w:rsidR="000430A4" w:rsidRDefault="000430A4" w:rsidP="000430A4">
      <w:pPr>
        <w:jc w:val="both"/>
      </w:pPr>
      <w:r>
        <w:t>IRCC</w:t>
      </w:r>
      <w:r w:rsidRPr="00B75C1D">
        <w:t xml:space="preserve"> completed </w:t>
      </w:r>
      <w:r>
        <w:t>33</w:t>
      </w:r>
      <w:r w:rsidRPr="00B75C1D">
        <w:t>,</w:t>
      </w:r>
      <w:r>
        <w:t xml:space="preserve">524 </w:t>
      </w:r>
      <w:r w:rsidRPr="00B75C1D">
        <w:t xml:space="preserve">requests </w:t>
      </w:r>
      <w:r>
        <w:t xml:space="preserve">during </w:t>
      </w:r>
      <w:r w:rsidRPr="00B75C1D">
        <w:t xml:space="preserve">this reporting period. </w:t>
      </w:r>
      <w:r>
        <w:t>The</w:t>
      </w:r>
      <w:r w:rsidRPr="00446232">
        <w:t xml:space="preserve"> completion rate</w:t>
      </w:r>
      <w:r>
        <w:rPr>
          <w:rStyle w:val="FootnoteReference"/>
        </w:rPr>
        <w:footnoteReference w:id="3"/>
      </w:r>
      <w:r w:rsidRPr="00446232">
        <w:t xml:space="preserve"> was 90</w:t>
      </w:r>
      <w:r>
        <w:t>.2</w:t>
      </w:r>
      <w:r w:rsidRPr="00446232">
        <w:t>%</w:t>
      </w:r>
      <w:r>
        <w:t xml:space="preserve">, which is higher than the government-wide rate, which was 85.1%. In 2013-2014, the completion rate for IRCC was 89.8%. </w:t>
      </w:r>
      <w:r w:rsidRPr="00FD4FF7">
        <w:t>IRCC also</w:t>
      </w:r>
      <w:r>
        <w:t xml:space="preserve"> </w:t>
      </w:r>
      <w:r w:rsidRPr="00446232">
        <w:t xml:space="preserve">received </w:t>
      </w:r>
      <w:r>
        <w:t>899</w:t>
      </w:r>
      <w:r w:rsidRPr="00446232">
        <w:t xml:space="preserve"> informal requests </w:t>
      </w:r>
      <w:r>
        <w:t>in 2014-2015 and 43.8</w:t>
      </w:r>
      <w:r w:rsidRPr="00446232">
        <w:t xml:space="preserve">% of </w:t>
      </w:r>
      <w:r>
        <w:t xml:space="preserve">these </w:t>
      </w:r>
      <w:r w:rsidRPr="00446232">
        <w:t xml:space="preserve">were completed within 30 days. </w:t>
      </w:r>
      <w:r>
        <w:t>T</w:t>
      </w:r>
      <w:r w:rsidRPr="00BD32C0">
        <w:t>he number of consultations received by IRCC from other federal government institutions increased from 178 to 222, an increase of 24.7%.</w:t>
      </w:r>
    </w:p>
    <w:p w:rsidR="000430A4" w:rsidRDefault="000430A4" w:rsidP="000430A4">
      <w:pPr>
        <w:jc w:val="both"/>
      </w:pPr>
      <w:r>
        <w:t xml:space="preserve">In 2014-2015, IRCC processed 1,615,772 pages, representing an increase of 30.2% in comparison to the previous period. The </w:t>
      </w:r>
      <w:r w:rsidRPr="00816067">
        <w:t>average number of pages processed per completed request</w:t>
      </w:r>
      <w:r>
        <w:t xml:space="preserve"> increased marginally from 48 in 2013-2014 to 50 in 2014-2015.</w:t>
      </w:r>
    </w:p>
    <w:p w:rsidR="000430A4" w:rsidRPr="00B17075" w:rsidRDefault="000430A4" w:rsidP="000430A4">
      <w:pPr>
        <w:jc w:val="both"/>
      </w:pPr>
      <w:r w:rsidRPr="00B17075">
        <w:t xml:space="preserve">The information released by </w:t>
      </w:r>
      <w:r>
        <w:t>IRCC</w:t>
      </w:r>
      <w:r w:rsidRPr="00B17075">
        <w:t xml:space="preserve"> was mostly in electronic format</w:t>
      </w:r>
      <w:r>
        <w:t xml:space="preserve">: </w:t>
      </w:r>
      <w:r w:rsidRPr="00B17075">
        <w:t>29,164</w:t>
      </w:r>
      <w:r>
        <w:t xml:space="preserve"> requests in electronic format and</w:t>
      </w:r>
      <w:r w:rsidRPr="00B17075">
        <w:t xml:space="preserve"> </w:t>
      </w:r>
      <w:r>
        <w:t>979 requests in</w:t>
      </w:r>
      <w:r w:rsidRPr="00B17075">
        <w:t xml:space="preserve"> paper format. </w:t>
      </w:r>
      <w:r w:rsidRPr="00FD4FF7">
        <w:t xml:space="preserve">This represents a significant reduction of 48.6% in the number of requests disclosed in paper format compared to the previous year </w:t>
      </w:r>
      <w:r>
        <w:t xml:space="preserve">where they had </w:t>
      </w:r>
      <w:r w:rsidRPr="00FD4FF7">
        <w:t>1,</w:t>
      </w:r>
      <w:r>
        <w:t>906</w:t>
      </w:r>
      <w:r w:rsidRPr="00FD4FF7">
        <w:t>.</w:t>
      </w:r>
    </w:p>
    <w:p w:rsidR="000430A4" w:rsidRPr="00785A73" w:rsidRDefault="000430A4" w:rsidP="000430A4">
      <w:pPr>
        <w:pStyle w:val="Heading3"/>
      </w:pPr>
      <w:r w:rsidRPr="00785A73">
        <w:t>Table 1: Workload</w:t>
      </w:r>
    </w:p>
    <w:tbl>
      <w:tblPr>
        <w:tblW w:w="9442" w:type="dxa"/>
        <w:tblInd w:w="98" w:type="dxa"/>
        <w:tblLook w:val="04A0"/>
      </w:tblPr>
      <w:tblGrid>
        <w:gridCol w:w="4259"/>
        <w:gridCol w:w="1562"/>
        <w:gridCol w:w="1864"/>
        <w:gridCol w:w="1757"/>
      </w:tblGrid>
      <w:tr w:rsidR="000430A4" w:rsidRPr="007C47DD" w:rsidTr="002F32F0">
        <w:trPr>
          <w:trHeight w:val="315"/>
        </w:trPr>
        <w:tc>
          <w:tcPr>
            <w:tcW w:w="4259" w:type="dxa"/>
            <w:tcBorders>
              <w:top w:val="single" w:sz="4" w:space="0" w:color="auto"/>
              <w:left w:val="single" w:sz="4" w:space="0" w:color="auto"/>
              <w:right w:val="nil"/>
            </w:tcBorders>
            <w:shd w:val="clear" w:color="auto" w:fill="auto"/>
            <w:noWrap/>
            <w:vAlign w:val="bottom"/>
            <w:hideMark/>
          </w:tcPr>
          <w:p w:rsidR="000430A4" w:rsidRPr="007C47DD"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Measures</w:t>
            </w:r>
          </w:p>
        </w:tc>
        <w:tc>
          <w:tcPr>
            <w:tcW w:w="1562" w:type="dxa"/>
            <w:tcBorders>
              <w:top w:val="single" w:sz="4" w:space="0" w:color="auto"/>
              <w:left w:val="nil"/>
              <w:right w:val="nil"/>
            </w:tcBorders>
            <w:shd w:val="clear" w:color="auto" w:fill="auto"/>
            <w:noWrap/>
            <w:vAlign w:val="bottom"/>
            <w:hideMark/>
          </w:tcPr>
          <w:p w:rsidR="000430A4" w:rsidRPr="007C47DD" w:rsidRDefault="000430A4" w:rsidP="002F32F0">
            <w:pPr>
              <w:spacing w:after="0" w:line="240" w:lineRule="auto"/>
              <w:jc w:val="center"/>
              <w:rPr>
                <w:rFonts w:ascii="Calibri" w:eastAsia="Times New Roman" w:hAnsi="Calibri" w:cs="Times New Roman"/>
                <w:color w:val="000000"/>
              </w:rPr>
            </w:pPr>
            <w:r w:rsidRPr="007C47DD">
              <w:rPr>
                <w:rFonts w:ascii="Calibri" w:eastAsia="Times New Roman" w:hAnsi="Calibri" w:cs="Times New Roman"/>
                <w:color w:val="000000"/>
              </w:rPr>
              <w:t>2012-2013</w:t>
            </w:r>
          </w:p>
        </w:tc>
        <w:tc>
          <w:tcPr>
            <w:tcW w:w="1864" w:type="dxa"/>
            <w:tcBorders>
              <w:top w:val="single" w:sz="4" w:space="0" w:color="auto"/>
              <w:left w:val="nil"/>
              <w:right w:val="nil"/>
            </w:tcBorders>
            <w:shd w:val="clear" w:color="auto" w:fill="auto"/>
            <w:noWrap/>
            <w:vAlign w:val="bottom"/>
            <w:hideMark/>
          </w:tcPr>
          <w:p w:rsidR="000430A4" w:rsidRPr="007C47DD" w:rsidRDefault="000430A4" w:rsidP="002F32F0">
            <w:pPr>
              <w:spacing w:after="0" w:line="240" w:lineRule="auto"/>
              <w:jc w:val="center"/>
              <w:rPr>
                <w:rFonts w:ascii="Calibri" w:eastAsia="Times New Roman" w:hAnsi="Calibri" w:cs="Times New Roman"/>
                <w:color w:val="000000"/>
              </w:rPr>
            </w:pPr>
            <w:r w:rsidRPr="007C47DD">
              <w:rPr>
                <w:rFonts w:ascii="Calibri" w:eastAsia="Times New Roman" w:hAnsi="Calibri" w:cs="Times New Roman"/>
                <w:color w:val="000000"/>
              </w:rPr>
              <w:t>2013-2014</w:t>
            </w:r>
          </w:p>
        </w:tc>
        <w:tc>
          <w:tcPr>
            <w:tcW w:w="1757" w:type="dxa"/>
            <w:tcBorders>
              <w:top w:val="single" w:sz="4" w:space="0" w:color="auto"/>
              <w:left w:val="nil"/>
              <w:right w:val="single" w:sz="4" w:space="0" w:color="auto"/>
            </w:tcBorders>
            <w:shd w:val="clear" w:color="auto" w:fill="auto"/>
            <w:noWrap/>
            <w:vAlign w:val="bottom"/>
            <w:hideMark/>
          </w:tcPr>
          <w:p w:rsidR="000430A4" w:rsidRPr="007C47DD" w:rsidRDefault="000430A4" w:rsidP="002F32F0">
            <w:pPr>
              <w:spacing w:after="0" w:line="240" w:lineRule="auto"/>
              <w:jc w:val="center"/>
              <w:rPr>
                <w:rFonts w:ascii="Calibri" w:eastAsia="Times New Roman" w:hAnsi="Calibri" w:cs="Times New Roman"/>
                <w:color w:val="000000"/>
              </w:rPr>
            </w:pPr>
            <w:r w:rsidRPr="007C47DD">
              <w:rPr>
                <w:rFonts w:ascii="Calibri" w:eastAsia="Times New Roman" w:hAnsi="Calibri" w:cs="Times New Roman"/>
                <w:color w:val="000000"/>
              </w:rPr>
              <w:t>2014-2015</w:t>
            </w:r>
          </w:p>
        </w:tc>
      </w:tr>
      <w:tr w:rsidR="000430A4" w:rsidRPr="007C47DD" w:rsidTr="002F32F0">
        <w:trPr>
          <w:trHeight w:val="360"/>
        </w:trPr>
        <w:tc>
          <w:tcPr>
            <w:tcW w:w="4259" w:type="dxa"/>
            <w:tcBorders>
              <w:top w:val="nil"/>
              <w:left w:val="single" w:sz="4" w:space="0" w:color="auto"/>
              <w:bottom w:val="nil"/>
              <w:right w:val="nil"/>
            </w:tcBorders>
            <w:shd w:val="clear" w:color="000000" w:fill="DBE5F1"/>
            <w:noWrap/>
            <w:hideMark/>
          </w:tcPr>
          <w:p w:rsidR="000430A4" w:rsidRPr="007C47DD" w:rsidRDefault="000430A4" w:rsidP="002F32F0">
            <w:pPr>
              <w:spacing w:after="0" w:line="240" w:lineRule="auto"/>
              <w:rPr>
                <w:rFonts w:ascii="Calibri" w:eastAsia="Times New Roman" w:hAnsi="Calibri" w:cs="Times New Roman"/>
                <w:color w:val="000000"/>
              </w:rPr>
            </w:pPr>
            <w:r w:rsidRPr="007C47DD">
              <w:rPr>
                <w:rFonts w:ascii="Calibri" w:eastAsia="Times New Roman" w:hAnsi="Calibri" w:cs="Times New Roman"/>
                <w:color w:val="000000"/>
              </w:rPr>
              <w:t xml:space="preserve">Number of requests received </w:t>
            </w:r>
          </w:p>
        </w:tc>
        <w:tc>
          <w:tcPr>
            <w:tcW w:w="1562" w:type="dxa"/>
            <w:tcBorders>
              <w:top w:val="nil"/>
              <w:left w:val="nil"/>
              <w:bottom w:val="nil"/>
              <w:right w:val="nil"/>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25</w:t>
            </w:r>
            <w:r w:rsidR="00F257F8">
              <w:rPr>
                <w:rFonts w:ascii="Calibri" w:eastAsia="Times New Roman" w:hAnsi="Calibri" w:cs="Times New Roman"/>
                <w:b/>
                <w:bCs/>
                <w:color w:val="000000"/>
              </w:rPr>
              <w:t>,</w:t>
            </w:r>
            <w:r w:rsidRPr="007C47DD">
              <w:rPr>
                <w:rFonts w:ascii="Calibri" w:eastAsia="Times New Roman" w:hAnsi="Calibri" w:cs="Times New Roman"/>
                <w:b/>
                <w:bCs/>
                <w:color w:val="000000"/>
              </w:rPr>
              <w:t>010</w:t>
            </w:r>
          </w:p>
        </w:tc>
        <w:tc>
          <w:tcPr>
            <w:tcW w:w="1864" w:type="dxa"/>
            <w:tcBorders>
              <w:top w:val="nil"/>
              <w:left w:val="nil"/>
              <w:bottom w:val="nil"/>
              <w:right w:val="nil"/>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29</w:t>
            </w:r>
            <w:r w:rsidR="00F257F8">
              <w:rPr>
                <w:rFonts w:ascii="Calibri" w:eastAsia="Times New Roman" w:hAnsi="Calibri" w:cs="Times New Roman"/>
                <w:b/>
                <w:bCs/>
                <w:color w:val="000000"/>
              </w:rPr>
              <w:t>,</w:t>
            </w:r>
            <w:r w:rsidRPr="007C47DD">
              <w:rPr>
                <w:rFonts w:ascii="Calibri" w:eastAsia="Times New Roman" w:hAnsi="Calibri" w:cs="Times New Roman"/>
                <w:b/>
                <w:bCs/>
                <w:color w:val="000000"/>
              </w:rPr>
              <w:t>281</w:t>
            </w:r>
          </w:p>
        </w:tc>
        <w:tc>
          <w:tcPr>
            <w:tcW w:w="1757" w:type="dxa"/>
            <w:tcBorders>
              <w:top w:val="nil"/>
              <w:left w:val="nil"/>
              <w:bottom w:val="nil"/>
              <w:right w:val="single" w:sz="4" w:space="0" w:color="auto"/>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34</w:t>
            </w:r>
            <w:r w:rsidR="00F257F8">
              <w:rPr>
                <w:rFonts w:ascii="Calibri" w:eastAsia="Times New Roman" w:hAnsi="Calibri" w:cs="Times New Roman"/>
                <w:b/>
                <w:bCs/>
                <w:color w:val="000000"/>
              </w:rPr>
              <w:t>,</w:t>
            </w:r>
            <w:r w:rsidRPr="007C47DD">
              <w:rPr>
                <w:rFonts w:ascii="Calibri" w:eastAsia="Times New Roman" w:hAnsi="Calibri" w:cs="Times New Roman"/>
                <w:b/>
                <w:bCs/>
                <w:color w:val="000000"/>
              </w:rPr>
              <w:t>066</w:t>
            </w:r>
          </w:p>
        </w:tc>
      </w:tr>
      <w:tr w:rsidR="000430A4" w:rsidRPr="007C47DD" w:rsidTr="002F32F0">
        <w:trPr>
          <w:trHeight w:val="360"/>
        </w:trPr>
        <w:tc>
          <w:tcPr>
            <w:tcW w:w="4259" w:type="dxa"/>
            <w:tcBorders>
              <w:top w:val="nil"/>
              <w:left w:val="single" w:sz="4" w:space="0" w:color="auto"/>
              <w:bottom w:val="nil"/>
              <w:right w:val="nil"/>
            </w:tcBorders>
            <w:shd w:val="clear" w:color="auto" w:fill="auto"/>
            <w:hideMark/>
          </w:tcPr>
          <w:p w:rsidR="000430A4" w:rsidRPr="007C47DD" w:rsidRDefault="000430A4" w:rsidP="002F32F0">
            <w:pPr>
              <w:spacing w:after="0" w:line="240" w:lineRule="auto"/>
              <w:rPr>
                <w:rFonts w:ascii="Calibri" w:eastAsia="Times New Roman" w:hAnsi="Calibri" w:cs="Times New Roman"/>
                <w:color w:val="000000"/>
              </w:rPr>
            </w:pPr>
            <w:r w:rsidRPr="007C47DD">
              <w:rPr>
                <w:rFonts w:ascii="Calibri" w:eastAsia="Times New Roman" w:hAnsi="Calibri" w:cs="Times New Roman"/>
                <w:color w:val="000000"/>
              </w:rPr>
              <w:t>Annual change (%)</w:t>
            </w:r>
          </w:p>
        </w:tc>
        <w:tc>
          <w:tcPr>
            <w:tcW w:w="1562" w:type="dxa"/>
            <w:tcBorders>
              <w:top w:val="nil"/>
              <w:left w:val="nil"/>
              <w:bottom w:val="nil"/>
              <w:right w:val="nil"/>
            </w:tcBorders>
            <w:shd w:val="clear" w:color="auto"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sidRPr="007C47DD">
              <w:rPr>
                <w:rFonts w:ascii="Calibri" w:eastAsia="Times New Roman" w:hAnsi="Calibri" w:cs="Times New Roman"/>
                <w:color w:val="000000"/>
              </w:rPr>
              <w:t>-</w:t>
            </w:r>
          </w:p>
        </w:tc>
        <w:tc>
          <w:tcPr>
            <w:tcW w:w="1864" w:type="dxa"/>
            <w:tcBorders>
              <w:top w:val="nil"/>
              <w:left w:val="nil"/>
              <w:bottom w:val="nil"/>
              <w:right w:val="nil"/>
            </w:tcBorders>
            <w:shd w:val="clear" w:color="auto"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17.1</w:t>
            </w:r>
            <w:r w:rsidRPr="007C47DD">
              <w:rPr>
                <w:rFonts w:ascii="Calibri" w:eastAsia="Times New Roman" w:hAnsi="Calibri" w:cs="Times New Roman"/>
                <w:color w:val="000000"/>
              </w:rPr>
              <w:t>%</w:t>
            </w:r>
          </w:p>
        </w:tc>
        <w:tc>
          <w:tcPr>
            <w:tcW w:w="1757" w:type="dxa"/>
            <w:tcBorders>
              <w:top w:val="nil"/>
              <w:left w:val="nil"/>
              <w:bottom w:val="nil"/>
              <w:right w:val="single" w:sz="4" w:space="0" w:color="auto"/>
            </w:tcBorders>
            <w:shd w:val="clear" w:color="auto"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16.3</w:t>
            </w:r>
            <w:r w:rsidRPr="007C47DD">
              <w:rPr>
                <w:rFonts w:ascii="Calibri" w:eastAsia="Times New Roman" w:hAnsi="Calibri" w:cs="Times New Roman"/>
                <w:color w:val="000000"/>
              </w:rPr>
              <w:t>%</w:t>
            </w:r>
          </w:p>
        </w:tc>
      </w:tr>
      <w:tr w:rsidR="000430A4" w:rsidRPr="007C47DD" w:rsidTr="002F32F0">
        <w:trPr>
          <w:trHeight w:val="300"/>
        </w:trPr>
        <w:tc>
          <w:tcPr>
            <w:tcW w:w="4259" w:type="dxa"/>
            <w:tcBorders>
              <w:top w:val="nil"/>
              <w:left w:val="single" w:sz="4" w:space="0" w:color="auto"/>
              <w:bottom w:val="nil"/>
              <w:right w:val="nil"/>
            </w:tcBorders>
            <w:shd w:val="clear" w:color="000000" w:fill="DBE5F1"/>
            <w:hideMark/>
          </w:tcPr>
          <w:p w:rsidR="000430A4" w:rsidRPr="007C47DD" w:rsidRDefault="000430A4" w:rsidP="002F32F0">
            <w:pPr>
              <w:spacing w:after="0" w:line="240" w:lineRule="auto"/>
              <w:rPr>
                <w:rFonts w:ascii="Calibri" w:eastAsia="Times New Roman" w:hAnsi="Calibri" w:cs="Times New Roman"/>
                <w:color w:val="000000"/>
              </w:rPr>
            </w:pPr>
            <w:r w:rsidRPr="007C47DD">
              <w:rPr>
                <w:rFonts w:ascii="Calibri" w:eastAsia="Times New Roman" w:hAnsi="Calibri" w:cs="Times New Roman"/>
                <w:color w:val="000000"/>
              </w:rPr>
              <w:t>Completed requests</w:t>
            </w:r>
          </w:p>
        </w:tc>
        <w:tc>
          <w:tcPr>
            <w:tcW w:w="1562" w:type="dxa"/>
            <w:tcBorders>
              <w:top w:val="nil"/>
              <w:left w:val="nil"/>
              <w:bottom w:val="nil"/>
              <w:right w:val="nil"/>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26</w:t>
            </w:r>
            <w:r w:rsidR="00F257F8">
              <w:rPr>
                <w:rFonts w:ascii="Calibri" w:eastAsia="Times New Roman" w:hAnsi="Calibri" w:cs="Times New Roman"/>
                <w:b/>
                <w:bCs/>
                <w:color w:val="000000"/>
              </w:rPr>
              <w:t>,</w:t>
            </w:r>
            <w:r w:rsidRPr="007C47DD">
              <w:rPr>
                <w:rFonts w:ascii="Calibri" w:eastAsia="Times New Roman" w:hAnsi="Calibri" w:cs="Times New Roman"/>
                <w:b/>
                <w:bCs/>
                <w:color w:val="000000"/>
              </w:rPr>
              <w:t>020</w:t>
            </w:r>
          </w:p>
        </w:tc>
        <w:tc>
          <w:tcPr>
            <w:tcW w:w="1864" w:type="dxa"/>
            <w:tcBorders>
              <w:top w:val="nil"/>
              <w:left w:val="nil"/>
              <w:bottom w:val="nil"/>
              <w:right w:val="nil"/>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27</w:t>
            </w:r>
            <w:r w:rsidR="00F257F8">
              <w:rPr>
                <w:rFonts w:ascii="Calibri" w:eastAsia="Times New Roman" w:hAnsi="Calibri" w:cs="Times New Roman"/>
                <w:b/>
                <w:bCs/>
                <w:color w:val="000000"/>
              </w:rPr>
              <w:t>,</w:t>
            </w:r>
            <w:r w:rsidRPr="007C47DD">
              <w:rPr>
                <w:rFonts w:ascii="Calibri" w:eastAsia="Times New Roman" w:hAnsi="Calibri" w:cs="Times New Roman"/>
                <w:b/>
                <w:bCs/>
                <w:color w:val="000000"/>
              </w:rPr>
              <w:t>407</w:t>
            </w:r>
          </w:p>
        </w:tc>
        <w:tc>
          <w:tcPr>
            <w:tcW w:w="1757" w:type="dxa"/>
            <w:tcBorders>
              <w:top w:val="nil"/>
              <w:left w:val="nil"/>
              <w:bottom w:val="nil"/>
              <w:right w:val="single" w:sz="4" w:space="0" w:color="auto"/>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33</w:t>
            </w:r>
            <w:r w:rsidR="00F257F8">
              <w:rPr>
                <w:rFonts w:ascii="Calibri" w:eastAsia="Times New Roman" w:hAnsi="Calibri" w:cs="Times New Roman"/>
                <w:b/>
                <w:bCs/>
                <w:color w:val="000000"/>
              </w:rPr>
              <w:t>,</w:t>
            </w:r>
            <w:r w:rsidRPr="007C47DD">
              <w:rPr>
                <w:rFonts w:ascii="Calibri" w:eastAsia="Times New Roman" w:hAnsi="Calibri" w:cs="Times New Roman"/>
                <w:b/>
                <w:bCs/>
                <w:color w:val="000000"/>
              </w:rPr>
              <w:t>524</w:t>
            </w:r>
          </w:p>
        </w:tc>
      </w:tr>
      <w:tr w:rsidR="000430A4" w:rsidRPr="007C47DD" w:rsidTr="002F32F0">
        <w:trPr>
          <w:trHeight w:val="315"/>
        </w:trPr>
        <w:tc>
          <w:tcPr>
            <w:tcW w:w="4259" w:type="dxa"/>
            <w:tcBorders>
              <w:top w:val="nil"/>
              <w:left w:val="single" w:sz="4" w:space="0" w:color="auto"/>
              <w:right w:val="nil"/>
            </w:tcBorders>
            <w:shd w:val="clear" w:color="auto" w:fill="auto"/>
            <w:hideMark/>
          </w:tcPr>
          <w:p w:rsidR="000430A4" w:rsidRPr="007C47DD" w:rsidRDefault="000430A4" w:rsidP="002F32F0">
            <w:pPr>
              <w:spacing w:after="0" w:line="240" w:lineRule="auto"/>
              <w:rPr>
                <w:rFonts w:ascii="Calibri" w:eastAsia="Times New Roman" w:hAnsi="Calibri" w:cs="Times New Roman"/>
                <w:color w:val="000000"/>
              </w:rPr>
            </w:pPr>
            <w:r w:rsidRPr="007C47DD">
              <w:rPr>
                <w:rFonts w:ascii="Calibri" w:eastAsia="Times New Roman" w:hAnsi="Calibri" w:cs="Times New Roman"/>
                <w:color w:val="000000"/>
              </w:rPr>
              <w:t>Annual change</w:t>
            </w:r>
            <w:r>
              <w:rPr>
                <w:rFonts w:ascii="Calibri" w:eastAsia="Times New Roman" w:hAnsi="Calibri" w:cs="Times New Roman"/>
                <w:color w:val="000000"/>
              </w:rPr>
              <w:t xml:space="preserve"> (%)</w:t>
            </w:r>
          </w:p>
        </w:tc>
        <w:tc>
          <w:tcPr>
            <w:tcW w:w="1562" w:type="dxa"/>
            <w:tcBorders>
              <w:top w:val="nil"/>
              <w:left w:val="nil"/>
              <w:right w:val="nil"/>
            </w:tcBorders>
            <w:shd w:val="clear" w:color="auto"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sidRPr="007C47DD">
              <w:rPr>
                <w:rFonts w:ascii="Calibri" w:eastAsia="Times New Roman" w:hAnsi="Calibri" w:cs="Times New Roman"/>
                <w:color w:val="000000"/>
              </w:rPr>
              <w:t>-</w:t>
            </w:r>
          </w:p>
        </w:tc>
        <w:tc>
          <w:tcPr>
            <w:tcW w:w="1864" w:type="dxa"/>
            <w:tcBorders>
              <w:top w:val="nil"/>
              <w:left w:val="nil"/>
              <w:right w:val="nil"/>
            </w:tcBorders>
            <w:shd w:val="clear" w:color="auto"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r w:rsidRPr="007C47DD">
              <w:rPr>
                <w:rFonts w:ascii="Calibri" w:eastAsia="Times New Roman" w:hAnsi="Calibri" w:cs="Times New Roman"/>
                <w:color w:val="000000"/>
              </w:rPr>
              <w:t>%</w:t>
            </w:r>
          </w:p>
        </w:tc>
        <w:tc>
          <w:tcPr>
            <w:tcW w:w="1757" w:type="dxa"/>
            <w:tcBorders>
              <w:top w:val="nil"/>
              <w:left w:val="nil"/>
              <w:right w:val="single" w:sz="4" w:space="0" w:color="auto"/>
            </w:tcBorders>
            <w:shd w:val="clear" w:color="auto"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sidRPr="007C47DD">
              <w:rPr>
                <w:rFonts w:ascii="Calibri" w:eastAsia="Times New Roman" w:hAnsi="Calibri" w:cs="Times New Roman"/>
                <w:color w:val="000000"/>
              </w:rPr>
              <w:t>22.3%</w:t>
            </w:r>
          </w:p>
        </w:tc>
      </w:tr>
      <w:tr w:rsidR="000430A4" w:rsidRPr="007C47DD" w:rsidTr="002F32F0">
        <w:trPr>
          <w:trHeight w:val="570"/>
        </w:trPr>
        <w:tc>
          <w:tcPr>
            <w:tcW w:w="4259" w:type="dxa"/>
            <w:tcBorders>
              <w:top w:val="nil"/>
              <w:left w:val="single" w:sz="4" w:space="0" w:color="auto"/>
              <w:right w:val="nil"/>
            </w:tcBorders>
            <w:shd w:val="clear" w:color="000000" w:fill="DBE5F1"/>
            <w:hideMark/>
          </w:tcPr>
          <w:p w:rsidR="000430A4" w:rsidRPr="007C47DD" w:rsidRDefault="000430A4" w:rsidP="002F32F0">
            <w:pPr>
              <w:spacing w:after="0" w:line="240" w:lineRule="auto"/>
              <w:rPr>
                <w:rFonts w:ascii="Calibri" w:eastAsia="Times New Roman" w:hAnsi="Calibri" w:cs="Times New Roman"/>
                <w:color w:val="000000"/>
              </w:rPr>
            </w:pPr>
            <w:r w:rsidRPr="007C47DD">
              <w:rPr>
                <w:rFonts w:ascii="Calibri" w:eastAsia="Times New Roman" w:hAnsi="Calibri" w:cs="Times New Roman"/>
                <w:color w:val="000000"/>
              </w:rPr>
              <w:t>Number of consultations received (from other government institutions)</w:t>
            </w:r>
          </w:p>
        </w:tc>
        <w:tc>
          <w:tcPr>
            <w:tcW w:w="1562" w:type="dxa"/>
            <w:tcBorders>
              <w:top w:val="nil"/>
              <w:left w:val="nil"/>
              <w:right w:val="nil"/>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188</w:t>
            </w:r>
          </w:p>
        </w:tc>
        <w:tc>
          <w:tcPr>
            <w:tcW w:w="1864" w:type="dxa"/>
            <w:tcBorders>
              <w:top w:val="nil"/>
              <w:left w:val="nil"/>
              <w:right w:val="nil"/>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178</w:t>
            </w:r>
          </w:p>
        </w:tc>
        <w:tc>
          <w:tcPr>
            <w:tcW w:w="1757" w:type="dxa"/>
            <w:tcBorders>
              <w:top w:val="nil"/>
              <w:left w:val="nil"/>
              <w:right w:val="single" w:sz="4" w:space="0" w:color="auto"/>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222</w:t>
            </w:r>
          </w:p>
        </w:tc>
      </w:tr>
      <w:tr w:rsidR="000430A4" w:rsidRPr="007C47DD" w:rsidTr="002F32F0">
        <w:trPr>
          <w:trHeight w:val="480"/>
        </w:trPr>
        <w:tc>
          <w:tcPr>
            <w:tcW w:w="4259" w:type="dxa"/>
            <w:tcBorders>
              <w:top w:val="nil"/>
              <w:left w:val="single" w:sz="4" w:space="0" w:color="auto"/>
              <w:right w:val="nil"/>
            </w:tcBorders>
            <w:shd w:val="clear" w:color="auto" w:fill="auto"/>
            <w:hideMark/>
          </w:tcPr>
          <w:p w:rsidR="000430A4" w:rsidRPr="007C47DD" w:rsidRDefault="000430A4" w:rsidP="002F32F0">
            <w:pPr>
              <w:spacing w:after="0" w:line="240" w:lineRule="auto"/>
              <w:rPr>
                <w:rFonts w:ascii="Calibri" w:eastAsia="Times New Roman" w:hAnsi="Calibri" w:cs="Times New Roman"/>
                <w:color w:val="000000"/>
              </w:rPr>
            </w:pPr>
            <w:r w:rsidRPr="007C47DD">
              <w:rPr>
                <w:rFonts w:ascii="Calibri" w:eastAsia="Times New Roman" w:hAnsi="Calibri" w:cs="Times New Roman"/>
                <w:color w:val="000000"/>
              </w:rPr>
              <w:lastRenderedPageBreak/>
              <w:t>Annual change (%)</w:t>
            </w:r>
          </w:p>
        </w:tc>
        <w:tc>
          <w:tcPr>
            <w:tcW w:w="1562" w:type="dxa"/>
            <w:tcBorders>
              <w:top w:val="nil"/>
              <w:left w:val="nil"/>
              <w:right w:val="nil"/>
            </w:tcBorders>
            <w:shd w:val="clear" w:color="auto"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sidRPr="007C47DD">
              <w:rPr>
                <w:rFonts w:ascii="Calibri" w:eastAsia="Times New Roman" w:hAnsi="Calibri" w:cs="Times New Roman"/>
                <w:color w:val="000000"/>
              </w:rPr>
              <w:t>-</w:t>
            </w:r>
          </w:p>
        </w:tc>
        <w:tc>
          <w:tcPr>
            <w:tcW w:w="1864" w:type="dxa"/>
            <w:tcBorders>
              <w:top w:val="nil"/>
              <w:left w:val="nil"/>
              <w:right w:val="nil"/>
            </w:tcBorders>
            <w:shd w:val="clear" w:color="auto"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r w:rsidRPr="007C47DD">
              <w:rPr>
                <w:rFonts w:ascii="Calibri" w:eastAsia="Times New Roman" w:hAnsi="Calibri" w:cs="Times New Roman"/>
                <w:color w:val="000000"/>
              </w:rPr>
              <w:t>%</w:t>
            </w:r>
          </w:p>
        </w:tc>
        <w:tc>
          <w:tcPr>
            <w:tcW w:w="1757" w:type="dxa"/>
            <w:tcBorders>
              <w:top w:val="nil"/>
              <w:left w:val="nil"/>
              <w:right w:val="single" w:sz="4" w:space="0" w:color="auto"/>
            </w:tcBorders>
            <w:shd w:val="clear" w:color="auto"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sidRPr="007C47DD">
              <w:rPr>
                <w:rFonts w:ascii="Calibri" w:eastAsia="Times New Roman" w:hAnsi="Calibri" w:cs="Times New Roman"/>
                <w:color w:val="000000"/>
              </w:rPr>
              <w:t>24.7%</w:t>
            </w:r>
          </w:p>
        </w:tc>
      </w:tr>
      <w:tr w:rsidR="000430A4" w:rsidRPr="007C47DD" w:rsidTr="002F32F0">
        <w:trPr>
          <w:trHeight w:val="615"/>
        </w:trPr>
        <w:tc>
          <w:tcPr>
            <w:tcW w:w="4259" w:type="dxa"/>
            <w:tcBorders>
              <w:left w:val="single" w:sz="4" w:space="0" w:color="auto"/>
              <w:right w:val="nil"/>
            </w:tcBorders>
            <w:shd w:val="clear" w:color="000000" w:fill="DBE5F1"/>
            <w:hideMark/>
          </w:tcPr>
          <w:p w:rsidR="000430A4" w:rsidRPr="007C47DD" w:rsidRDefault="000430A4" w:rsidP="002F32F0">
            <w:pPr>
              <w:spacing w:after="0" w:line="240" w:lineRule="auto"/>
              <w:rPr>
                <w:rFonts w:ascii="Calibri" w:eastAsia="Times New Roman" w:hAnsi="Calibri" w:cs="Times New Roman"/>
                <w:color w:val="000000"/>
              </w:rPr>
            </w:pPr>
            <w:r w:rsidRPr="007C47DD">
              <w:rPr>
                <w:rFonts w:ascii="Calibri" w:eastAsia="Times New Roman" w:hAnsi="Calibri" w:cs="Times New Roman"/>
                <w:color w:val="000000"/>
              </w:rPr>
              <w:t>Average number of pages processed per request completed</w:t>
            </w:r>
          </w:p>
        </w:tc>
        <w:tc>
          <w:tcPr>
            <w:tcW w:w="1562" w:type="dxa"/>
            <w:tcBorders>
              <w:left w:val="nil"/>
              <w:right w:val="nil"/>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59</w:t>
            </w:r>
          </w:p>
        </w:tc>
        <w:tc>
          <w:tcPr>
            <w:tcW w:w="1864" w:type="dxa"/>
            <w:tcBorders>
              <w:left w:val="nil"/>
              <w:right w:val="nil"/>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4</w:t>
            </w:r>
            <w:r>
              <w:rPr>
                <w:rFonts w:ascii="Calibri" w:eastAsia="Times New Roman" w:hAnsi="Calibri" w:cs="Times New Roman"/>
                <w:b/>
                <w:bCs/>
                <w:color w:val="000000"/>
              </w:rPr>
              <w:t>8</w:t>
            </w:r>
          </w:p>
        </w:tc>
        <w:tc>
          <w:tcPr>
            <w:tcW w:w="1757" w:type="dxa"/>
            <w:tcBorders>
              <w:left w:val="nil"/>
              <w:right w:val="single" w:sz="4" w:space="0" w:color="auto"/>
            </w:tcBorders>
            <w:shd w:val="clear" w:color="000000" w:fill="DBE5F1"/>
            <w:noWrap/>
            <w:vAlign w:val="center"/>
            <w:hideMark/>
          </w:tcPr>
          <w:p w:rsidR="000430A4" w:rsidRPr="007C47DD" w:rsidRDefault="000430A4" w:rsidP="002F32F0">
            <w:pPr>
              <w:spacing w:after="0" w:line="240" w:lineRule="auto"/>
              <w:jc w:val="center"/>
              <w:rPr>
                <w:rFonts w:ascii="Calibri" w:eastAsia="Times New Roman" w:hAnsi="Calibri" w:cs="Times New Roman"/>
                <w:b/>
                <w:bCs/>
                <w:color w:val="000000"/>
              </w:rPr>
            </w:pPr>
            <w:r w:rsidRPr="007C47DD">
              <w:rPr>
                <w:rFonts w:ascii="Calibri" w:eastAsia="Times New Roman" w:hAnsi="Calibri" w:cs="Times New Roman"/>
                <w:b/>
                <w:bCs/>
                <w:color w:val="000000"/>
              </w:rPr>
              <w:t>50</w:t>
            </w:r>
          </w:p>
        </w:tc>
      </w:tr>
      <w:tr w:rsidR="000430A4" w:rsidRPr="007C47DD" w:rsidTr="002F32F0">
        <w:trPr>
          <w:trHeight w:val="540"/>
        </w:trPr>
        <w:tc>
          <w:tcPr>
            <w:tcW w:w="4259" w:type="dxa"/>
            <w:tcBorders>
              <w:top w:val="nil"/>
              <w:left w:val="single" w:sz="4" w:space="0" w:color="auto"/>
              <w:bottom w:val="single" w:sz="4" w:space="0" w:color="auto"/>
              <w:right w:val="nil"/>
            </w:tcBorders>
            <w:shd w:val="clear" w:color="000000" w:fill="auto"/>
            <w:hideMark/>
          </w:tcPr>
          <w:p w:rsidR="000430A4" w:rsidRPr="007C47DD" w:rsidRDefault="000430A4" w:rsidP="002F32F0">
            <w:pPr>
              <w:spacing w:after="0" w:line="240" w:lineRule="auto"/>
              <w:rPr>
                <w:rFonts w:ascii="Calibri" w:eastAsia="Times New Roman" w:hAnsi="Calibri" w:cs="Times New Roman"/>
                <w:color w:val="000000"/>
              </w:rPr>
            </w:pPr>
            <w:r w:rsidRPr="007C47DD">
              <w:rPr>
                <w:rFonts w:ascii="Calibri" w:eastAsia="Times New Roman" w:hAnsi="Calibri" w:cs="Times New Roman"/>
                <w:color w:val="000000"/>
              </w:rPr>
              <w:t>% of requests for which more than 1</w:t>
            </w:r>
            <w:r w:rsidR="00F257F8">
              <w:rPr>
                <w:rFonts w:ascii="Calibri" w:eastAsia="Times New Roman" w:hAnsi="Calibri" w:cs="Times New Roman"/>
                <w:color w:val="000000"/>
              </w:rPr>
              <w:t>,</w:t>
            </w:r>
            <w:r w:rsidRPr="007C47DD">
              <w:rPr>
                <w:rFonts w:ascii="Calibri" w:eastAsia="Times New Roman" w:hAnsi="Calibri" w:cs="Times New Roman"/>
                <w:color w:val="000000"/>
              </w:rPr>
              <w:t>000 pages were processed</w:t>
            </w:r>
          </w:p>
        </w:tc>
        <w:tc>
          <w:tcPr>
            <w:tcW w:w="1562" w:type="dxa"/>
            <w:tcBorders>
              <w:top w:val="nil"/>
              <w:left w:val="nil"/>
              <w:bottom w:val="single" w:sz="4" w:space="0" w:color="auto"/>
              <w:right w:val="nil"/>
            </w:tcBorders>
            <w:shd w:val="clear" w:color="000000"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0.3</w:t>
            </w:r>
            <w:r w:rsidRPr="007C47DD">
              <w:rPr>
                <w:rFonts w:ascii="Calibri" w:eastAsia="Times New Roman" w:hAnsi="Calibri" w:cs="Times New Roman"/>
                <w:color w:val="000000"/>
              </w:rPr>
              <w:t>%</w:t>
            </w:r>
          </w:p>
        </w:tc>
        <w:tc>
          <w:tcPr>
            <w:tcW w:w="1864" w:type="dxa"/>
            <w:tcBorders>
              <w:top w:val="nil"/>
              <w:left w:val="nil"/>
              <w:bottom w:val="single" w:sz="4" w:space="0" w:color="auto"/>
              <w:right w:val="nil"/>
            </w:tcBorders>
            <w:shd w:val="clear" w:color="000000"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w:t>
            </w:r>
            <w:r w:rsidRPr="007C47DD">
              <w:rPr>
                <w:rFonts w:ascii="Calibri" w:eastAsia="Times New Roman" w:hAnsi="Calibri" w:cs="Times New Roman"/>
                <w:color w:val="000000"/>
              </w:rPr>
              <w:t>%</w:t>
            </w:r>
          </w:p>
        </w:tc>
        <w:tc>
          <w:tcPr>
            <w:tcW w:w="1757" w:type="dxa"/>
            <w:tcBorders>
              <w:top w:val="nil"/>
              <w:left w:val="nil"/>
              <w:bottom w:val="single" w:sz="4" w:space="0" w:color="auto"/>
              <w:right w:val="single" w:sz="4" w:space="0" w:color="auto"/>
            </w:tcBorders>
            <w:shd w:val="clear" w:color="000000" w:fill="auto"/>
            <w:noWrap/>
            <w:vAlign w:val="center"/>
            <w:hideMark/>
          </w:tcPr>
          <w:p w:rsidR="000430A4" w:rsidRPr="007C47DD"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w:t>
            </w:r>
            <w:r w:rsidRPr="007C47DD">
              <w:rPr>
                <w:rFonts w:ascii="Calibri" w:eastAsia="Times New Roman" w:hAnsi="Calibri" w:cs="Times New Roman"/>
                <w:color w:val="000000"/>
              </w:rPr>
              <w:t>%</w:t>
            </w:r>
          </w:p>
        </w:tc>
      </w:tr>
    </w:tbl>
    <w:p w:rsidR="000430A4" w:rsidRPr="000B309F" w:rsidRDefault="000430A4" w:rsidP="000430A4">
      <w:pPr>
        <w:pStyle w:val="Heading2"/>
        <w:spacing w:before="240"/>
      </w:pPr>
      <w:r w:rsidRPr="00E7346D">
        <w:t>Request Completion Time</w:t>
      </w:r>
    </w:p>
    <w:p w:rsidR="000430A4" w:rsidRPr="000B309F" w:rsidRDefault="000430A4" w:rsidP="000430A4">
      <w:pPr>
        <w:pStyle w:val="Heading4"/>
      </w:pPr>
      <w:r w:rsidRPr="000B309F">
        <w:t>Timeliness</w:t>
      </w:r>
    </w:p>
    <w:p w:rsidR="000430A4" w:rsidRDefault="000430A4" w:rsidP="000430A4">
      <w:pPr>
        <w:jc w:val="both"/>
      </w:pPr>
      <w:r w:rsidRPr="00AC6818">
        <w:t xml:space="preserve">Figure 1 </w:t>
      </w:r>
      <w:r>
        <w:t>reveals</w:t>
      </w:r>
      <w:r w:rsidRPr="00AC6818">
        <w:t xml:space="preserve"> that </w:t>
      </w:r>
      <w:r>
        <w:t>69.3</w:t>
      </w:r>
      <w:r w:rsidRPr="00AC6818">
        <w:t xml:space="preserve">% of requests were completed within 30 days or less, which </w:t>
      </w:r>
      <w:r>
        <w:t>is</w:t>
      </w:r>
      <w:r w:rsidRPr="00AC6818">
        <w:t xml:space="preserve"> higher than the res</w:t>
      </w:r>
      <w:r>
        <w:t>ults observed in 2013-2014 (67.2</w:t>
      </w:r>
      <w:r w:rsidRPr="00AC6818">
        <w:t xml:space="preserve">%). </w:t>
      </w:r>
      <w:r>
        <w:t>The percentage of requests completed between 61 and 120 days decreased by 3.7% from the previous period.</w:t>
      </w:r>
    </w:p>
    <w:p w:rsidR="000430A4" w:rsidRPr="00A41EAD" w:rsidRDefault="000430A4" w:rsidP="000430A4">
      <w:pPr>
        <w:pStyle w:val="Heading3"/>
      </w:pPr>
      <w:r w:rsidRPr="00A41EAD">
        <w:t xml:space="preserve">Figure 1: Request Completion Time </w:t>
      </w:r>
    </w:p>
    <w:p w:rsidR="000430A4" w:rsidRPr="00E7346D" w:rsidRDefault="000430A4" w:rsidP="000430A4">
      <w:pPr>
        <w:spacing w:line="240" w:lineRule="auto"/>
        <w:jc w:val="center"/>
        <w:rPr>
          <w:sz w:val="24"/>
          <w:szCs w:val="24"/>
        </w:rPr>
      </w:pPr>
      <w:r w:rsidRPr="00490747">
        <w:rPr>
          <w:noProof/>
          <w:color w:val="FF0000"/>
          <w:sz w:val="24"/>
          <w:szCs w:val="24"/>
        </w:rPr>
        <w:drawing>
          <wp:inline distT="0" distB="0" distL="0" distR="0">
            <wp:extent cx="5947576" cy="4023360"/>
            <wp:effectExtent l="0" t="0" r="15240" b="1524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30A4" w:rsidRPr="00F01CA2" w:rsidRDefault="000430A4" w:rsidP="000430A4">
      <w:pPr>
        <w:pStyle w:val="Heading2"/>
      </w:pPr>
      <w:r w:rsidRPr="00D2368F">
        <w:t>Extensions</w:t>
      </w:r>
    </w:p>
    <w:p w:rsidR="000430A4" w:rsidRPr="00FA3E2C" w:rsidRDefault="000430A4" w:rsidP="000430A4">
      <w:pPr>
        <w:jc w:val="both"/>
      </w:pPr>
      <w:r w:rsidRPr="00FA3E2C">
        <w:t>IRCC took a total of 1,465 extensions in 2014-2015 compared to 1,531 in 2013-2014. The most common reason for taking an extension was interference with operations, for which 60.3% of the total extensions were claimed, followed by 37.7% for consultations, and 2.0% for third-party notice.</w:t>
      </w:r>
    </w:p>
    <w:p w:rsidR="000430A4" w:rsidRPr="00FA3E2C" w:rsidRDefault="000430A4" w:rsidP="000430A4">
      <w:pPr>
        <w:jc w:val="both"/>
      </w:pPr>
      <w:r w:rsidRPr="00FA3E2C">
        <w:lastRenderedPageBreak/>
        <w:t>Figure 2 shows that 19.6% of the extensions taken in 2014-2015 were for 30 days or less, which is higher than the previous year. However, when compared to 2012-2013, the proportion of extensions taken for less than 30 days dropped significantly in 2013-2014. The proportion of extensions of 31 to 60 days decreased from 86.4% in 2013-2014 to 60.7% in 2014-2015.</w:t>
      </w:r>
    </w:p>
    <w:p w:rsidR="000430A4" w:rsidRPr="00A41EAD" w:rsidRDefault="000430A4" w:rsidP="000430A4">
      <w:pPr>
        <w:pStyle w:val="Heading3"/>
        <w:rPr>
          <w:noProof/>
        </w:rPr>
      </w:pPr>
      <w:r w:rsidRPr="00A41EAD">
        <w:t xml:space="preserve">Figure 2: Length of Extensions </w:t>
      </w:r>
    </w:p>
    <w:p w:rsidR="000430A4" w:rsidRDefault="000430A4" w:rsidP="000430A4">
      <w:pPr>
        <w:rPr>
          <w:b/>
          <w:noProof/>
        </w:rPr>
      </w:pPr>
      <w:r w:rsidRPr="00490747">
        <w:rPr>
          <w:b/>
          <w:noProof/>
        </w:rPr>
        <w:drawing>
          <wp:inline distT="0" distB="0" distL="0" distR="0">
            <wp:extent cx="5947576" cy="3880237"/>
            <wp:effectExtent l="0" t="0" r="15240" b="2540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30A4" w:rsidRPr="00D2368F" w:rsidRDefault="000430A4" w:rsidP="000430A4">
      <w:pPr>
        <w:pStyle w:val="Heading4"/>
      </w:pPr>
      <w:r>
        <w:t>Deemed refusals</w:t>
      </w:r>
    </w:p>
    <w:p w:rsidR="000430A4" w:rsidRPr="00FA3E2C" w:rsidRDefault="000430A4" w:rsidP="000430A4">
      <w:pPr>
        <w:jc w:val="both"/>
      </w:pPr>
      <w:r w:rsidRPr="00FA3E2C">
        <w:t>In 2014-2015, the number of requests closed past the statutory deadline was 3,706, which accounts for 11.1% of all completed requests. This rate represents a “C” grade.</w:t>
      </w:r>
      <w:r w:rsidRPr="00FA3E2C">
        <w:rPr>
          <w:rStyle w:val="FootnoteReference"/>
        </w:rPr>
        <w:footnoteReference w:id="4"/>
      </w:r>
      <w:r w:rsidRPr="00FA3E2C">
        <w:t xml:space="preserve"> Workload was invoked as the principal reason for overdue requests (for 97.9% of requests closed past the statutory federal deadline).</w:t>
      </w:r>
    </w:p>
    <w:p w:rsidR="000430A4" w:rsidRDefault="000430A4" w:rsidP="000430A4">
      <w:pPr>
        <w:jc w:val="both"/>
      </w:pPr>
      <w:r w:rsidRPr="00FA3E2C">
        <w:t>Figure 3 shows that 59.4% of overdue requests were late by 15 days or less, 8.6% of requests were late between 16 and 30 days and 8.9% were late between 61 and 120 days. 2.9% of overdue requests took more than 365 days to complete. In 2013-2014, 53.3% of overdue requests were responded within 15 days.</w:t>
      </w:r>
    </w:p>
    <w:p w:rsidR="000430A4" w:rsidRPr="00FA3E2C" w:rsidRDefault="000430A4" w:rsidP="000430A4">
      <w:r>
        <w:br w:type="page"/>
      </w:r>
    </w:p>
    <w:p w:rsidR="000430A4" w:rsidRPr="00A41EAD" w:rsidRDefault="000430A4" w:rsidP="000430A4">
      <w:pPr>
        <w:pStyle w:val="Heading3"/>
      </w:pPr>
      <w:r w:rsidRPr="00A41EAD">
        <w:lastRenderedPageBreak/>
        <w:t>Figure 3: Lateness of Overdue Requests</w:t>
      </w:r>
    </w:p>
    <w:p w:rsidR="000430A4" w:rsidRPr="0063090C" w:rsidRDefault="000430A4" w:rsidP="000430A4">
      <w:pPr>
        <w:jc w:val="both"/>
        <w:rPr>
          <w:b/>
        </w:rPr>
      </w:pPr>
      <w:r w:rsidRPr="00A94C07">
        <w:rPr>
          <w:b/>
          <w:noProof/>
        </w:rPr>
        <w:drawing>
          <wp:inline distT="0" distB="0" distL="0" distR="0">
            <wp:extent cx="5947576" cy="4039263"/>
            <wp:effectExtent l="0" t="0" r="15240" b="18415"/>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30A4" w:rsidRPr="00E7346D" w:rsidRDefault="000430A4" w:rsidP="000430A4">
      <w:pPr>
        <w:pStyle w:val="Heading2"/>
      </w:pPr>
      <w:r w:rsidRPr="00E7346D">
        <w:t>Disclosure</w:t>
      </w:r>
    </w:p>
    <w:p w:rsidR="000430A4" w:rsidRPr="00D2368F" w:rsidRDefault="000430A4" w:rsidP="000430A4">
      <w:pPr>
        <w:pStyle w:val="Heading4"/>
      </w:pPr>
      <w:r w:rsidRPr="00D2368F">
        <w:t xml:space="preserve">Percentage of requests for </w:t>
      </w:r>
      <w:r>
        <w:t>which information was disclosed</w:t>
      </w:r>
    </w:p>
    <w:p w:rsidR="000430A4" w:rsidRDefault="000430A4" w:rsidP="000430A4">
      <w:pPr>
        <w:jc w:val="both"/>
      </w:pPr>
      <w:r>
        <w:t>In 2014-2015, 30.8</w:t>
      </w:r>
      <w:r w:rsidRPr="00840C55">
        <w:t>% of completed requests were entire</w:t>
      </w:r>
      <w:r>
        <w:t xml:space="preserve">ly disclosed. This is lower than the previous period’s rate of full disclosure (33.4%) </w:t>
      </w:r>
      <w:r w:rsidRPr="00840C55">
        <w:t xml:space="preserve">(see Figure 4). </w:t>
      </w:r>
      <w:r>
        <w:t>T</w:t>
      </w:r>
      <w:r w:rsidRPr="00840C55">
        <w:t>he rate for par</w:t>
      </w:r>
      <w:r>
        <w:t>tially disclosed requests was 62.9% in 2014-2015 and 5.6</w:t>
      </w:r>
      <w:r w:rsidRPr="00D56B9C">
        <w:t>% of requests were abandoned</w:t>
      </w:r>
      <w:r>
        <w:t xml:space="preserve">, representing </w:t>
      </w:r>
      <w:r w:rsidRPr="00D56B9C">
        <w:t>1,893</w:t>
      </w:r>
      <w:r>
        <w:t xml:space="preserve"> requests.</w:t>
      </w:r>
    </w:p>
    <w:p w:rsidR="000430A4" w:rsidRDefault="000430A4" w:rsidP="000430A4">
      <w:r>
        <w:br w:type="page"/>
      </w:r>
    </w:p>
    <w:p w:rsidR="000430A4" w:rsidRPr="00A41EAD" w:rsidRDefault="000430A4" w:rsidP="000430A4">
      <w:pPr>
        <w:pStyle w:val="Heading3"/>
      </w:pPr>
      <w:r w:rsidRPr="00A41EAD">
        <w:lastRenderedPageBreak/>
        <w:t>Figure 4: Level of Disclosure</w:t>
      </w:r>
    </w:p>
    <w:p w:rsidR="000430A4" w:rsidRDefault="000430A4" w:rsidP="000430A4">
      <w:pPr>
        <w:jc w:val="center"/>
      </w:pPr>
      <w:r w:rsidRPr="00A94C07">
        <w:rPr>
          <w:noProof/>
        </w:rPr>
        <w:drawing>
          <wp:inline distT="0" distB="0" distL="0" distR="0">
            <wp:extent cx="5931673" cy="3999506"/>
            <wp:effectExtent l="0" t="0" r="0" b="127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30A4" w:rsidRPr="00D2368F" w:rsidRDefault="000430A4" w:rsidP="000430A4">
      <w:pPr>
        <w:pStyle w:val="Heading4"/>
      </w:pPr>
      <w:r>
        <w:t>Exemptions</w:t>
      </w:r>
    </w:p>
    <w:p w:rsidR="000430A4" w:rsidRDefault="000430A4" w:rsidP="000430A4">
      <w:pPr>
        <w:jc w:val="both"/>
      </w:pPr>
      <w:r w:rsidRPr="00DA5209">
        <w:t xml:space="preserve">The </w:t>
      </w:r>
      <w:r>
        <w:t xml:space="preserve">average </w:t>
      </w:r>
      <w:r w:rsidRPr="00DA5209">
        <w:t>number of exemption</w:t>
      </w:r>
      <w:r>
        <w:t>s used per completed request increased slightly</w:t>
      </w:r>
      <w:r w:rsidRPr="00DA5209">
        <w:t xml:space="preserve"> </w:t>
      </w:r>
      <w:r>
        <w:t xml:space="preserve">from 0.81 in 2013-2014 to 0.89 </w:t>
      </w:r>
      <w:r w:rsidRPr="00DA5209">
        <w:t>in 2014-2015</w:t>
      </w:r>
      <w:r>
        <w:t xml:space="preserve"> </w:t>
      </w:r>
      <w:r w:rsidRPr="00376A79">
        <w:t>(see Table 2).</w:t>
      </w:r>
      <w:r>
        <w:rPr>
          <w:color w:val="C00000"/>
        </w:rPr>
        <w:t xml:space="preserve"> </w:t>
      </w:r>
      <w:r w:rsidRPr="00D56B9C">
        <w:t>The most used exemptions in 2014-2015 were section 19 (Personal Information)</w:t>
      </w:r>
      <w:r>
        <w:t xml:space="preserve"> (48.6</w:t>
      </w:r>
      <w:r w:rsidRPr="00D56B9C">
        <w:t>%), and section 15 (International Affairs and Defence)</w:t>
      </w:r>
      <w:r>
        <w:t xml:space="preserve"> (29.8</w:t>
      </w:r>
      <w:r w:rsidRPr="00D56B9C">
        <w:t>%), followed by section 16 (Law Enforcement and Investigations) (14</w:t>
      </w:r>
      <w:r>
        <w:t>.2</w:t>
      </w:r>
      <w:r w:rsidRPr="00D56B9C">
        <w:t>%).</w:t>
      </w:r>
    </w:p>
    <w:p w:rsidR="000430A4" w:rsidRPr="00785A73" w:rsidRDefault="000430A4" w:rsidP="000430A4">
      <w:pPr>
        <w:pStyle w:val="Heading3"/>
      </w:pPr>
      <w:r w:rsidRPr="00785A73">
        <w:t xml:space="preserve">Table 2: </w:t>
      </w:r>
      <w:r w:rsidRPr="00974988">
        <w:t>Exemptions</w:t>
      </w:r>
    </w:p>
    <w:tbl>
      <w:tblPr>
        <w:tblW w:w="9349" w:type="dxa"/>
        <w:tblInd w:w="98" w:type="dxa"/>
        <w:tblLook w:val="04A0"/>
      </w:tblPr>
      <w:tblGrid>
        <w:gridCol w:w="4217"/>
        <w:gridCol w:w="1547"/>
        <w:gridCol w:w="1846"/>
        <w:gridCol w:w="1739"/>
      </w:tblGrid>
      <w:tr w:rsidR="000430A4" w:rsidRPr="00C34074" w:rsidTr="002F32F0">
        <w:trPr>
          <w:trHeight w:val="315"/>
        </w:trPr>
        <w:tc>
          <w:tcPr>
            <w:tcW w:w="4217"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C34074" w:rsidRDefault="000430A4" w:rsidP="002F32F0">
            <w:pPr>
              <w:spacing w:after="0" w:line="240" w:lineRule="auto"/>
              <w:rPr>
                <w:rFonts w:ascii="Calibri" w:eastAsia="Times New Roman" w:hAnsi="Calibri" w:cs="Times New Roman"/>
                <w:color w:val="000000"/>
              </w:rPr>
            </w:pPr>
            <w:r w:rsidRPr="00C34074">
              <w:rPr>
                <w:rFonts w:ascii="Calibri" w:eastAsia="Times New Roman" w:hAnsi="Calibri" w:cs="Times New Roman"/>
                <w:color w:val="000000"/>
              </w:rPr>
              <w:t xml:space="preserve">Exemptions </w:t>
            </w:r>
          </w:p>
        </w:tc>
        <w:tc>
          <w:tcPr>
            <w:tcW w:w="1547" w:type="dxa"/>
            <w:tcBorders>
              <w:top w:val="single" w:sz="8" w:space="0" w:color="auto"/>
              <w:left w:val="nil"/>
              <w:bottom w:val="single" w:sz="8" w:space="0" w:color="auto"/>
              <w:right w:val="nil"/>
            </w:tcBorders>
            <w:shd w:val="clear" w:color="000000" w:fill="DBE5F1"/>
            <w:noWrap/>
            <w:vAlign w:val="bottom"/>
            <w:hideMark/>
          </w:tcPr>
          <w:p w:rsidR="000430A4" w:rsidRPr="00C34074" w:rsidRDefault="000430A4" w:rsidP="002F32F0">
            <w:pPr>
              <w:spacing w:after="0" w:line="240" w:lineRule="auto"/>
              <w:jc w:val="center"/>
              <w:rPr>
                <w:rFonts w:ascii="Calibri" w:eastAsia="Times New Roman" w:hAnsi="Calibri" w:cs="Times New Roman"/>
                <w:b/>
                <w:bCs/>
                <w:color w:val="000000"/>
              </w:rPr>
            </w:pPr>
            <w:r w:rsidRPr="00C34074">
              <w:rPr>
                <w:rFonts w:ascii="Calibri" w:eastAsia="Times New Roman" w:hAnsi="Calibri" w:cs="Times New Roman"/>
                <w:b/>
                <w:bCs/>
                <w:color w:val="000000"/>
              </w:rPr>
              <w:t>2012-2013</w:t>
            </w:r>
          </w:p>
        </w:tc>
        <w:tc>
          <w:tcPr>
            <w:tcW w:w="1846" w:type="dxa"/>
            <w:tcBorders>
              <w:top w:val="single" w:sz="8" w:space="0" w:color="auto"/>
              <w:left w:val="nil"/>
              <w:bottom w:val="single" w:sz="8" w:space="0" w:color="auto"/>
              <w:right w:val="nil"/>
            </w:tcBorders>
            <w:shd w:val="clear" w:color="000000" w:fill="DBE5F1"/>
            <w:noWrap/>
            <w:vAlign w:val="bottom"/>
            <w:hideMark/>
          </w:tcPr>
          <w:p w:rsidR="000430A4" w:rsidRPr="00C34074" w:rsidRDefault="000430A4" w:rsidP="002F32F0">
            <w:pPr>
              <w:spacing w:after="0" w:line="240" w:lineRule="auto"/>
              <w:jc w:val="center"/>
              <w:rPr>
                <w:rFonts w:ascii="Calibri" w:eastAsia="Times New Roman" w:hAnsi="Calibri" w:cs="Times New Roman"/>
                <w:b/>
                <w:bCs/>
                <w:color w:val="000000"/>
              </w:rPr>
            </w:pPr>
            <w:r w:rsidRPr="00C34074">
              <w:rPr>
                <w:rFonts w:ascii="Calibri" w:eastAsia="Times New Roman" w:hAnsi="Calibri" w:cs="Times New Roman"/>
                <w:b/>
                <w:bCs/>
                <w:color w:val="000000"/>
              </w:rPr>
              <w:t>2013-2014</w:t>
            </w:r>
          </w:p>
        </w:tc>
        <w:tc>
          <w:tcPr>
            <w:tcW w:w="1739"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C34074" w:rsidRDefault="000430A4" w:rsidP="002F32F0">
            <w:pPr>
              <w:spacing w:after="0" w:line="240" w:lineRule="auto"/>
              <w:jc w:val="center"/>
              <w:rPr>
                <w:rFonts w:ascii="Calibri" w:eastAsia="Times New Roman" w:hAnsi="Calibri" w:cs="Times New Roman"/>
                <w:b/>
                <w:bCs/>
                <w:color w:val="000000"/>
              </w:rPr>
            </w:pPr>
            <w:r w:rsidRPr="00C34074">
              <w:rPr>
                <w:rFonts w:ascii="Calibri" w:eastAsia="Times New Roman" w:hAnsi="Calibri" w:cs="Times New Roman"/>
                <w:b/>
                <w:bCs/>
                <w:color w:val="000000"/>
              </w:rPr>
              <w:t>2014-2015</w:t>
            </w:r>
          </w:p>
        </w:tc>
      </w:tr>
      <w:tr w:rsidR="000430A4" w:rsidRPr="00C34074" w:rsidTr="002F32F0">
        <w:trPr>
          <w:trHeight w:val="300"/>
        </w:trPr>
        <w:tc>
          <w:tcPr>
            <w:tcW w:w="4217" w:type="dxa"/>
            <w:tcBorders>
              <w:top w:val="nil"/>
              <w:left w:val="single" w:sz="8" w:space="0" w:color="auto"/>
              <w:bottom w:val="nil"/>
              <w:right w:val="nil"/>
            </w:tcBorders>
            <w:shd w:val="clear" w:color="auto" w:fill="auto"/>
            <w:noWrap/>
            <w:vAlign w:val="bottom"/>
            <w:hideMark/>
          </w:tcPr>
          <w:p w:rsidR="000430A4" w:rsidRPr="00C34074"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C34074">
              <w:rPr>
                <w:rFonts w:ascii="Calibri" w:eastAsia="Times New Roman" w:hAnsi="Calibri" w:cs="Times New Roman"/>
                <w:color w:val="000000"/>
              </w:rPr>
              <w:t xml:space="preserve">umber </w:t>
            </w:r>
            <w:r>
              <w:rPr>
                <w:rFonts w:ascii="Calibri" w:eastAsia="Times New Roman" w:hAnsi="Calibri" w:cs="Times New Roman"/>
                <w:color w:val="000000"/>
              </w:rPr>
              <w:t>of exemptions</w:t>
            </w:r>
          </w:p>
        </w:tc>
        <w:tc>
          <w:tcPr>
            <w:tcW w:w="1547" w:type="dxa"/>
            <w:tcBorders>
              <w:top w:val="nil"/>
              <w:left w:val="nil"/>
              <w:bottom w:val="nil"/>
              <w:right w:val="nil"/>
            </w:tcBorders>
            <w:shd w:val="clear" w:color="auto" w:fill="auto"/>
            <w:noWrap/>
            <w:vAlign w:val="bottom"/>
            <w:hideMark/>
          </w:tcPr>
          <w:p w:rsidR="000430A4" w:rsidRPr="00C34074" w:rsidRDefault="000430A4" w:rsidP="002F32F0">
            <w:pPr>
              <w:spacing w:after="0" w:line="240" w:lineRule="auto"/>
              <w:jc w:val="center"/>
              <w:rPr>
                <w:rFonts w:ascii="Calibri" w:eastAsia="Times New Roman" w:hAnsi="Calibri" w:cs="Times New Roman"/>
                <w:color w:val="000000"/>
              </w:rPr>
            </w:pPr>
            <w:r w:rsidRPr="00C34074">
              <w:rPr>
                <w:rFonts w:ascii="Calibri" w:eastAsia="Times New Roman" w:hAnsi="Calibri" w:cs="Times New Roman"/>
                <w:color w:val="000000"/>
              </w:rPr>
              <w:t>22</w:t>
            </w:r>
            <w:r>
              <w:rPr>
                <w:rFonts w:ascii="Calibri" w:eastAsia="Times New Roman" w:hAnsi="Calibri" w:cs="Times New Roman"/>
                <w:color w:val="000000"/>
              </w:rPr>
              <w:t>,</w:t>
            </w:r>
            <w:r w:rsidRPr="00C34074">
              <w:rPr>
                <w:rFonts w:ascii="Calibri" w:eastAsia="Times New Roman" w:hAnsi="Calibri" w:cs="Times New Roman"/>
                <w:color w:val="000000"/>
              </w:rPr>
              <w:t>916</w:t>
            </w:r>
          </w:p>
        </w:tc>
        <w:tc>
          <w:tcPr>
            <w:tcW w:w="1846" w:type="dxa"/>
            <w:tcBorders>
              <w:top w:val="nil"/>
              <w:left w:val="nil"/>
              <w:bottom w:val="nil"/>
              <w:right w:val="nil"/>
            </w:tcBorders>
            <w:shd w:val="clear" w:color="auto" w:fill="auto"/>
            <w:noWrap/>
            <w:vAlign w:val="bottom"/>
            <w:hideMark/>
          </w:tcPr>
          <w:p w:rsidR="000430A4" w:rsidRPr="00C34074" w:rsidRDefault="000430A4" w:rsidP="002F32F0">
            <w:pPr>
              <w:spacing w:after="0" w:line="240" w:lineRule="auto"/>
              <w:jc w:val="center"/>
              <w:rPr>
                <w:rFonts w:ascii="Calibri" w:eastAsia="Times New Roman" w:hAnsi="Calibri" w:cs="Times New Roman"/>
                <w:color w:val="000000"/>
              </w:rPr>
            </w:pPr>
            <w:r w:rsidRPr="00C34074">
              <w:rPr>
                <w:rFonts w:ascii="Calibri" w:eastAsia="Times New Roman" w:hAnsi="Calibri" w:cs="Times New Roman"/>
                <w:color w:val="000000"/>
              </w:rPr>
              <w:t>22</w:t>
            </w:r>
            <w:r>
              <w:rPr>
                <w:rFonts w:ascii="Calibri" w:eastAsia="Times New Roman" w:hAnsi="Calibri" w:cs="Times New Roman"/>
                <w:color w:val="000000"/>
              </w:rPr>
              <w:t>,</w:t>
            </w:r>
            <w:r w:rsidRPr="00C34074">
              <w:rPr>
                <w:rFonts w:ascii="Calibri" w:eastAsia="Times New Roman" w:hAnsi="Calibri" w:cs="Times New Roman"/>
                <w:color w:val="000000"/>
              </w:rPr>
              <w:t>062</w:t>
            </w:r>
          </w:p>
        </w:tc>
        <w:tc>
          <w:tcPr>
            <w:tcW w:w="1739" w:type="dxa"/>
            <w:tcBorders>
              <w:top w:val="nil"/>
              <w:left w:val="nil"/>
              <w:bottom w:val="nil"/>
              <w:right w:val="single" w:sz="8" w:space="0" w:color="auto"/>
            </w:tcBorders>
            <w:shd w:val="clear" w:color="auto" w:fill="auto"/>
            <w:noWrap/>
            <w:vAlign w:val="bottom"/>
            <w:hideMark/>
          </w:tcPr>
          <w:p w:rsidR="000430A4" w:rsidRPr="00C34074" w:rsidRDefault="000430A4" w:rsidP="002F32F0">
            <w:pPr>
              <w:spacing w:after="0" w:line="240" w:lineRule="auto"/>
              <w:jc w:val="center"/>
              <w:rPr>
                <w:rFonts w:ascii="Calibri" w:eastAsia="Times New Roman" w:hAnsi="Calibri" w:cs="Times New Roman"/>
                <w:color w:val="000000"/>
              </w:rPr>
            </w:pPr>
            <w:r w:rsidRPr="00C34074">
              <w:rPr>
                <w:rFonts w:ascii="Calibri" w:eastAsia="Times New Roman" w:hAnsi="Calibri" w:cs="Times New Roman"/>
                <w:color w:val="000000"/>
              </w:rPr>
              <w:t>29</w:t>
            </w:r>
            <w:r>
              <w:rPr>
                <w:rFonts w:ascii="Calibri" w:eastAsia="Times New Roman" w:hAnsi="Calibri" w:cs="Times New Roman"/>
                <w:color w:val="000000"/>
              </w:rPr>
              <w:t>,</w:t>
            </w:r>
            <w:r w:rsidRPr="00C34074">
              <w:rPr>
                <w:rFonts w:ascii="Calibri" w:eastAsia="Times New Roman" w:hAnsi="Calibri" w:cs="Times New Roman"/>
                <w:color w:val="000000"/>
              </w:rPr>
              <w:t>996</w:t>
            </w:r>
          </w:p>
        </w:tc>
      </w:tr>
      <w:tr w:rsidR="000430A4" w:rsidRPr="00C34074" w:rsidTr="002F32F0">
        <w:trPr>
          <w:trHeight w:val="300"/>
        </w:trPr>
        <w:tc>
          <w:tcPr>
            <w:tcW w:w="4217" w:type="dxa"/>
            <w:tcBorders>
              <w:top w:val="nil"/>
              <w:left w:val="single" w:sz="8" w:space="0" w:color="auto"/>
              <w:bottom w:val="nil"/>
              <w:right w:val="nil"/>
            </w:tcBorders>
            <w:shd w:val="clear" w:color="auto" w:fill="auto"/>
            <w:noWrap/>
            <w:vAlign w:val="bottom"/>
            <w:hideMark/>
          </w:tcPr>
          <w:p w:rsidR="000430A4" w:rsidRPr="00C34074" w:rsidRDefault="000430A4" w:rsidP="002F32F0">
            <w:pPr>
              <w:spacing w:after="0" w:line="240" w:lineRule="auto"/>
              <w:rPr>
                <w:rFonts w:ascii="Calibri" w:eastAsia="Times New Roman" w:hAnsi="Calibri" w:cs="Times New Roman"/>
                <w:color w:val="000000"/>
              </w:rPr>
            </w:pPr>
            <w:r w:rsidRPr="00C34074">
              <w:rPr>
                <w:rFonts w:ascii="Calibri" w:eastAsia="Times New Roman" w:hAnsi="Calibri" w:cs="Times New Roman"/>
                <w:color w:val="000000"/>
              </w:rPr>
              <w:t>Total number of completed requests</w:t>
            </w:r>
          </w:p>
        </w:tc>
        <w:tc>
          <w:tcPr>
            <w:tcW w:w="1547" w:type="dxa"/>
            <w:tcBorders>
              <w:top w:val="nil"/>
              <w:left w:val="nil"/>
              <w:bottom w:val="nil"/>
              <w:right w:val="nil"/>
            </w:tcBorders>
            <w:shd w:val="clear" w:color="auto" w:fill="auto"/>
            <w:noWrap/>
            <w:vAlign w:val="bottom"/>
            <w:hideMark/>
          </w:tcPr>
          <w:p w:rsidR="000430A4" w:rsidRPr="00C34074" w:rsidRDefault="000430A4" w:rsidP="002F32F0">
            <w:pPr>
              <w:spacing w:after="0" w:line="240" w:lineRule="auto"/>
              <w:jc w:val="center"/>
              <w:rPr>
                <w:rFonts w:ascii="Calibri" w:eastAsia="Times New Roman" w:hAnsi="Calibri" w:cs="Times New Roman"/>
                <w:color w:val="000000"/>
              </w:rPr>
            </w:pPr>
            <w:r w:rsidRPr="00C34074">
              <w:rPr>
                <w:rFonts w:ascii="Calibri" w:eastAsia="Times New Roman" w:hAnsi="Calibri" w:cs="Times New Roman"/>
                <w:color w:val="000000"/>
              </w:rPr>
              <w:t>26</w:t>
            </w:r>
            <w:r>
              <w:rPr>
                <w:rFonts w:ascii="Calibri" w:eastAsia="Times New Roman" w:hAnsi="Calibri" w:cs="Times New Roman"/>
                <w:color w:val="000000"/>
              </w:rPr>
              <w:t>,</w:t>
            </w:r>
            <w:r w:rsidRPr="00C34074">
              <w:rPr>
                <w:rFonts w:ascii="Calibri" w:eastAsia="Times New Roman" w:hAnsi="Calibri" w:cs="Times New Roman"/>
                <w:color w:val="000000"/>
              </w:rPr>
              <w:t>020</w:t>
            </w:r>
          </w:p>
        </w:tc>
        <w:tc>
          <w:tcPr>
            <w:tcW w:w="1846" w:type="dxa"/>
            <w:tcBorders>
              <w:top w:val="nil"/>
              <w:left w:val="nil"/>
              <w:bottom w:val="nil"/>
              <w:right w:val="nil"/>
            </w:tcBorders>
            <w:shd w:val="clear" w:color="auto" w:fill="auto"/>
            <w:noWrap/>
            <w:vAlign w:val="bottom"/>
            <w:hideMark/>
          </w:tcPr>
          <w:p w:rsidR="000430A4" w:rsidRPr="00C34074" w:rsidRDefault="000430A4" w:rsidP="002F32F0">
            <w:pPr>
              <w:spacing w:after="0" w:line="240" w:lineRule="auto"/>
              <w:jc w:val="center"/>
              <w:rPr>
                <w:rFonts w:ascii="Calibri" w:eastAsia="Times New Roman" w:hAnsi="Calibri" w:cs="Times New Roman"/>
                <w:color w:val="000000"/>
              </w:rPr>
            </w:pPr>
            <w:r w:rsidRPr="00C34074">
              <w:rPr>
                <w:rFonts w:ascii="Calibri" w:eastAsia="Times New Roman" w:hAnsi="Calibri" w:cs="Times New Roman"/>
                <w:color w:val="000000"/>
              </w:rPr>
              <w:t>27</w:t>
            </w:r>
            <w:r>
              <w:rPr>
                <w:rFonts w:ascii="Calibri" w:eastAsia="Times New Roman" w:hAnsi="Calibri" w:cs="Times New Roman"/>
                <w:color w:val="000000"/>
              </w:rPr>
              <w:t>,</w:t>
            </w:r>
            <w:r w:rsidRPr="00C34074">
              <w:rPr>
                <w:rFonts w:ascii="Calibri" w:eastAsia="Times New Roman" w:hAnsi="Calibri" w:cs="Times New Roman"/>
                <w:color w:val="000000"/>
              </w:rPr>
              <w:t>407</w:t>
            </w:r>
          </w:p>
        </w:tc>
        <w:tc>
          <w:tcPr>
            <w:tcW w:w="1739" w:type="dxa"/>
            <w:tcBorders>
              <w:top w:val="nil"/>
              <w:left w:val="nil"/>
              <w:bottom w:val="nil"/>
              <w:right w:val="single" w:sz="8" w:space="0" w:color="auto"/>
            </w:tcBorders>
            <w:shd w:val="clear" w:color="auto" w:fill="auto"/>
            <w:noWrap/>
            <w:vAlign w:val="bottom"/>
            <w:hideMark/>
          </w:tcPr>
          <w:p w:rsidR="000430A4" w:rsidRPr="00C34074" w:rsidRDefault="000430A4" w:rsidP="002F32F0">
            <w:pPr>
              <w:spacing w:after="0" w:line="240" w:lineRule="auto"/>
              <w:jc w:val="center"/>
              <w:rPr>
                <w:rFonts w:ascii="Calibri" w:eastAsia="Times New Roman" w:hAnsi="Calibri" w:cs="Times New Roman"/>
                <w:color w:val="000000"/>
              </w:rPr>
            </w:pPr>
            <w:r w:rsidRPr="00C34074">
              <w:rPr>
                <w:rFonts w:ascii="Calibri" w:eastAsia="Times New Roman" w:hAnsi="Calibri" w:cs="Times New Roman"/>
                <w:color w:val="000000"/>
              </w:rPr>
              <w:t>33</w:t>
            </w:r>
            <w:r>
              <w:rPr>
                <w:rFonts w:ascii="Calibri" w:eastAsia="Times New Roman" w:hAnsi="Calibri" w:cs="Times New Roman"/>
                <w:color w:val="000000"/>
              </w:rPr>
              <w:t>,</w:t>
            </w:r>
            <w:r w:rsidRPr="00C34074">
              <w:rPr>
                <w:rFonts w:ascii="Calibri" w:eastAsia="Times New Roman" w:hAnsi="Calibri" w:cs="Times New Roman"/>
                <w:color w:val="000000"/>
              </w:rPr>
              <w:t>524</w:t>
            </w:r>
          </w:p>
        </w:tc>
      </w:tr>
      <w:tr w:rsidR="000430A4" w:rsidRPr="00C34074" w:rsidTr="002F32F0">
        <w:trPr>
          <w:trHeight w:val="315"/>
        </w:trPr>
        <w:tc>
          <w:tcPr>
            <w:tcW w:w="4217" w:type="dxa"/>
            <w:tcBorders>
              <w:top w:val="nil"/>
              <w:left w:val="single" w:sz="8" w:space="0" w:color="auto"/>
              <w:bottom w:val="single" w:sz="8" w:space="0" w:color="auto"/>
              <w:right w:val="nil"/>
            </w:tcBorders>
            <w:shd w:val="clear" w:color="000000" w:fill="DBE5F1"/>
            <w:noWrap/>
            <w:vAlign w:val="bottom"/>
            <w:hideMark/>
          </w:tcPr>
          <w:p w:rsidR="000430A4" w:rsidRPr="00C34074" w:rsidRDefault="000430A4" w:rsidP="002F32F0">
            <w:pPr>
              <w:spacing w:after="0" w:line="240" w:lineRule="auto"/>
              <w:rPr>
                <w:rFonts w:ascii="Calibri" w:eastAsia="Times New Roman" w:hAnsi="Calibri" w:cs="Times New Roman"/>
                <w:color w:val="000000"/>
              </w:rPr>
            </w:pPr>
            <w:r w:rsidRPr="00C34074">
              <w:rPr>
                <w:rFonts w:ascii="Calibri" w:eastAsia="Times New Roman" w:hAnsi="Calibri" w:cs="Times New Roman"/>
                <w:color w:val="000000"/>
              </w:rPr>
              <w:t xml:space="preserve">Average number of exemptions per request </w:t>
            </w:r>
          </w:p>
        </w:tc>
        <w:tc>
          <w:tcPr>
            <w:tcW w:w="1547" w:type="dxa"/>
            <w:tcBorders>
              <w:top w:val="nil"/>
              <w:left w:val="nil"/>
              <w:bottom w:val="single" w:sz="8" w:space="0" w:color="auto"/>
              <w:right w:val="nil"/>
            </w:tcBorders>
            <w:shd w:val="clear" w:color="000000" w:fill="DBE5F1"/>
            <w:noWrap/>
            <w:vAlign w:val="bottom"/>
            <w:hideMark/>
          </w:tcPr>
          <w:p w:rsidR="000430A4" w:rsidRPr="00C34074"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0.88</w:t>
            </w:r>
          </w:p>
        </w:tc>
        <w:tc>
          <w:tcPr>
            <w:tcW w:w="1846" w:type="dxa"/>
            <w:tcBorders>
              <w:top w:val="nil"/>
              <w:left w:val="nil"/>
              <w:bottom w:val="single" w:sz="8" w:space="0" w:color="auto"/>
              <w:right w:val="nil"/>
            </w:tcBorders>
            <w:shd w:val="clear" w:color="000000" w:fill="DBE5F1"/>
            <w:noWrap/>
            <w:vAlign w:val="bottom"/>
            <w:hideMark/>
          </w:tcPr>
          <w:p w:rsidR="000430A4" w:rsidRPr="00C34074" w:rsidRDefault="000430A4" w:rsidP="002F32F0">
            <w:pPr>
              <w:spacing w:after="0" w:line="240" w:lineRule="auto"/>
              <w:jc w:val="center"/>
              <w:rPr>
                <w:rFonts w:ascii="Calibri" w:eastAsia="Times New Roman" w:hAnsi="Calibri" w:cs="Times New Roman"/>
                <w:color w:val="000000"/>
              </w:rPr>
            </w:pPr>
            <w:r w:rsidRPr="00C34074">
              <w:rPr>
                <w:rFonts w:ascii="Calibri" w:eastAsia="Times New Roman" w:hAnsi="Calibri" w:cs="Times New Roman"/>
                <w:color w:val="000000"/>
              </w:rPr>
              <w:t>0.8</w:t>
            </w:r>
            <w:r>
              <w:rPr>
                <w:rFonts w:ascii="Calibri" w:eastAsia="Times New Roman" w:hAnsi="Calibri" w:cs="Times New Roman"/>
                <w:color w:val="000000"/>
              </w:rPr>
              <w:t>1</w:t>
            </w:r>
          </w:p>
        </w:tc>
        <w:tc>
          <w:tcPr>
            <w:tcW w:w="1739" w:type="dxa"/>
            <w:tcBorders>
              <w:top w:val="nil"/>
              <w:left w:val="nil"/>
              <w:bottom w:val="single" w:sz="8" w:space="0" w:color="auto"/>
              <w:right w:val="single" w:sz="8" w:space="0" w:color="auto"/>
            </w:tcBorders>
            <w:shd w:val="clear" w:color="000000" w:fill="DBE5F1"/>
            <w:noWrap/>
            <w:vAlign w:val="bottom"/>
            <w:hideMark/>
          </w:tcPr>
          <w:p w:rsidR="000430A4" w:rsidRPr="00C34074" w:rsidRDefault="000430A4" w:rsidP="002F32F0">
            <w:pPr>
              <w:spacing w:after="0" w:line="240" w:lineRule="auto"/>
              <w:jc w:val="center"/>
              <w:rPr>
                <w:rFonts w:ascii="Calibri" w:eastAsia="Times New Roman" w:hAnsi="Calibri" w:cs="Times New Roman"/>
                <w:color w:val="000000"/>
              </w:rPr>
            </w:pPr>
            <w:r w:rsidRPr="00C34074">
              <w:rPr>
                <w:rFonts w:ascii="Calibri" w:eastAsia="Times New Roman" w:hAnsi="Calibri" w:cs="Times New Roman"/>
                <w:color w:val="000000"/>
              </w:rPr>
              <w:t>0.</w:t>
            </w:r>
            <w:r>
              <w:rPr>
                <w:rFonts w:ascii="Calibri" w:eastAsia="Times New Roman" w:hAnsi="Calibri" w:cs="Times New Roman"/>
                <w:color w:val="000000"/>
              </w:rPr>
              <w:t>8</w:t>
            </w:r>
            <w:r w:rsidRPr="00C34074">
              <w:rPr>
                <w:rFonts w:ascii="Calibri" w:eastAsia="Times New Roman" w:hAnsi="Calibri" w:cs="Times New Roman"/>
                <w:color w:val="000000"/>
              </w:rPr>
              <w:t>9</w:t>
            </w:r>
          </w:p>
        </w:tc>
      </w:tr>
    </w:tbl>
    <w:p w:rsidR="000430A4" w:rsidRPr="00E7346D" w:rsidRDefault="000430A4" w:rsidP="000430A4">
      <w:pPr>
        <w:pStyle w:val="Heading2"/>
        <w:spacing w:before="240"/>
      </w:pPr>
      <w:r w:rsidRPr="00E7346D">
        <w:t>Complaints at the OIC</w:t>
      </w:r>
    </w:p>
    <w:p w:rsidR="000430A4" w:rsidRPr="00077AA4" w:rsidRDefault="000430A4" w:rsidP="000430A4">
      <w:pPr>
        <w:jc w:val="both"/>
        <w:rPr>
          <w:b/>
        </w:rPr>
      </w:pPr>
      <w:r w:rsidRPr="00D96453">
        <w:t xml:space="preserve">The number of complaints received by the </w:t>
      </w:r>
      <w:r w:rsidRPr="00D56B9C">
        <w:t>OIC</w:t>
      </w:r>
      <w:r>
        <w:rPr>
          <w:rStyle w:val="FootnoteReference"/>
        </w:rPr>
        <w:footnoteReference w:id="5"/>
      </w:r>
      <w:r w:rsidRPr="00D56B9C">
        <w:t xml:space="preserve"> in 2014-2015</w:t>
      </w:r>
      <w:r>
        <w:t xml:space="preserve"> </w:t>
      </w:r>
      <w:r w:rsidRPr="00D96453">
        <w:t>against IRCC was 246, which is less compared to the 305 complaints received by our office in 2013-2014. Around 45% of complaints were refusals</w:t>
      </w:r>
      <w:r>
        <w:t>.</w:t>
      </w:r>
      <w:r w:rsidRPr="00D96453">
        <w:t xml:space="preserve"> Almost 51% of complaints received this reporting period were well-founded and resolved, </w:t>
      </w:r>
      <w:r w:rsidRPr="00D96453">
        <w:lastRenderedPageBreak/>
        <w:t>while 14% were not well-founded. In addition, 26 complaints were discontinued a</w:t>
      </w:r>
      <w:r>
        <w:t>nd 31 were pending resolution.</w:t>
      </w:r>
    </w:p>
    <w:p w:rsidR="000430A4" w:rsidRDefault="000430A4">
      <w:r>
        <w:br w:type="page"/>
      </w:r>
    </w:p>
    <w:p w:rsidR="000430A4" w:rsidRPr="004D76F6" w:rsidRDefault="000430A4" w:rsidP="000430A4">
      <w:pPr>
        <w:pStyle w:val="Heading1"/>
      </w:pPr>
      <w:r w:rsidRPr="004D76F6">
        <w:lastRenderedPageBreak/>
        <w:t>Canada Border Services Agency</w:t>
      </w:r>
    </w:p>
    <w:p w:rsidR="000430A4" w:rsidRPr="004D76F6" w:rsidRDefault="000430A4" w:rsidP="000430A4">
      <w:pPr>
        <w:jc w:val="both"/>
        <w:rPr>
          <w:b/>
        </w:rPr>
      </w:pPr>
      <w:r w:rsidRPr="004D76F6">
        <w:rPr>
          <w:rStyle w:val="Heading2Char"/>
        </w:rPr>
        <w:t>Overall performance</w:t>
      </w:r>
      <w:r w:rsidRPr="00116D75">
        <w:rPr>
          <w:rStyle w:val="FootnoteReference"/>
          <w:b/>
        </w:rPr>
        <w:footnoteReference w:id="6"/>
      </w:r>
    </w:p>
    <w:p w:rsidR="000430A4" w:rsidRDefault="000430A4" w:rsidP="000430A4">
      <w:pPr>
        <w:jc w:val="both"/>
      </w:pPr>
      <w:r w:rsidRPr="00116D75">
        <w:t>The Canada Border Services Agency (CBSA) showed a similar performance as the previous year, despite a substantial increase of 43.5% in the number of requests received. This</w:t>
      </w:r>
      <w:r>
        <w:t xml:space="preserve"> report</w:t>
      </w:r>
      <w:r w:rsidRPr="00C754D7">
        <w:t xml:space="preserve"> provide</w:t>
      </w:r>
      <w:r>
        <w:t>s</w:t>
      </w:r>
      <w:r w:rsidRPr="00C754D7">
        <w:t xml:space="preserve"> comparative statistics for the last three periods (2012-2015).</w:t>
      </w:r>
    </w:p>
    <w:p w:rsidR="000430A4" w:rsidRPr="004D76F6" w:rsidRDefault="000430A4" w:rsidP="000430A4">
      <w:pPr>
        <w:pStyle w:val="Heading2"/>
      </w:pPr>
      <w:r w:rsidRPr="004D76F6">
        <w:t>Workload</w:t>
      </w:r>
    </w:p>
    <w:p w:rsidR="000430A4" w:rsidRPr="00116D75" w:rsidRDefault="000430A4" w:rsidP="000430A4">
      <w:pPr>
        <w:jc w:val="both"/>
      </w:pPr>
      <w:r>
        <w:t>In 2013-2014, CBSA received 4,</w:t>
      </w:r>
      <w:r w:rsidRPr="00116D75">
        <w:t>671 requests compared to 6,705</w:t>
      </w:r>
      <w:r w:rsidRPr="00116D75">
        <w:rPr>
          <w:rStyle w:val="FootnoteReference"/>
        </w:rPr>
        <w:footnoteReference w:id="7"/>
      </w:r>
      <w:r w:rsidRPr="00116D75">
        <w:t xml:space="preserve"> in 2014-2015, which represents an increase of 43.5%. The 6,705 requests received by the department represented 9.8% of total requests received across government in 2014-2015. The majority of requests (74.6%) received by CBSA were from the public, followed b</w:t>
      </w:r>
      <w:r>
        <w:t>y the business sector (20.5%).</w:t>
      </w:r>
    </w:p>
    <w:p w:rsidR="000430A4" w:rsidRPr="00116D75" w:rsidRDefault="000430A4" w:rsidP="000430A4">
      <w:pPr>
        <w:jc w:val="both"/>
      </w:pPr>
      <w:r w:rsidRPr="00116D75">
        <w:t>CBSA completed 6,802 requests during this reporting period. The completion rate</w:t>
      </w:r>
      <w:r w:rsidRPr="00116D75">
        <w:rPr>
          <w:rStyle w:val="FootnoteReference"/>
        </w:rPr>
        <w:footnoteReference w:id="8"/>
      </w:r>
      <w:r w:rsidRPr="00116D75">
        <w:t xml:space="preserve"> was 86.2%,</w:t>
      </w:r>
      <w:r>
        <w:t xml:space="preserve"> </w:t>
      </w:r>
      <w:r w:rsidRPr="00116D75">
        <w:t xml:space="preserve">which is slightly higher that the government-wide rate, which was 85.1%. In 2013-2014, the completion rate for CBSA was 77.6%. They also received 450 informal requests in 2014-2015 </w:t>
      </w:r>
      <w:r>
        <w:t>and 89.8</w:t>
      </w:r>
      <w:r w:rsidRPr="00116D75">
        <w:t xml:space="preserve">% of these were completed within 30 days. The number of consultations received by CBSA from other federal </w:t>
      </w:r>
      <w:r>
        <w:t>government institutions in</w:t>
      </w:r>
      <w:r w:rsidRPr="00116D75">
        <w:t>creased from 282 to 291</w:t>
      </w:r>
      <w:r>
        <w:t>, representing an in</w:t>
      </w:r>
      <w:r w:rsidRPr="00116D75">
        <w:t>crease of 3.2% compa</w:t>
      </w:r>
      <w:r>
        <w:t>red to 2013-2014.</w:t>
      </w:r>
    </w:p>
    <w:p w:rsidR="000430A4" w:rsidRPr="00116D75" w:rsidRDefault="000430A4" w:rsidP="000430A4">
      <w:pPr>
        <w:jc w:val="both"/>
      </w:pPr>
      <w:r w:rsidRPr="00116D75">
        <w:t>In 2014-2015, 442,779 pages were processed in comparison to 386,072 pages in 2013-2014. This represents a 14.7% increase in the number of pages processed. Table 1 shows that the average number of pages processed per request has decreased ove</w:t>
      </w:r>
      <w:r>
        <w:t xml:space="preserve">r the past three years from 112 </w:t>
      </w:r>
      <w:r w:rsidRPr="00116D75">
        <w:t>pages in 2012-2013 to 6</w:t>
      </w:r>
      <w:r>
        <w:t>9</w:t>
      </w:r>
      <w:r w:rsidRPr="00116D75">
        <w:t xml:space="preserve"> pages in 2014-2015.</w:t>
      </w:r>
    </w:p>
    <w:p w:rsidR="000430A4" w:rsidRDefault="000430A4" w:rsidP="000430A4">
      <w:pPr>
        <w:spacing w:line="240" w:lineRule="auto"/>
        <w:contextualSpacing/>
        <w:jc w:val="both"/>
      </w:pPr>
      <w:r w:rsidRPr="00116D75">
        <w:t>The information released by CBSA was mostly in paper format: 4,924 requests in paper format compared to 1,041 requests in electronic format. The number of requests released in paper format was 2,941 in 2013-2014.</w:t>
      </w:r>
      <w:r w:rsidRPr="00116D75">
        <w:rPr>
          <w:rStyle w:val="FootnoteReference"/>
        </w:rPr>
        <w:footnoteReference w:id="9"/>
      </w:r>
    </w:p>
    <w:p w:rsidR="000430A4" w:rsidRPr="000F6716" w:rsidRDefault="000430A4" w:rsidP="000430A4">
      <w:pPr>
        <w:pStyle w:val="Heading3"/>
      </w:pPr>
      <w:r w:rsidRPr="000F6716">
        <w:t>Table 1: Workload</w:t>
      </w:r>
    </w:p>
    <w:tbl>
      <w:tblPr>
        <w:tblStyle w:val="LightShading-Accent1"/>
        <w:tblW w:w="9313" w:type="dxa"/>
        <w:tblInd w:w="108" w:type="dxa"/>
        <w:tblLook w:val="04A0"/>
      </w:tblPr>
      <w:tblGrid>
        <w:gridCol w:w="4772"/>
        <w:gridCol w:w="1458"/>
        <w:gridCol w:w="1582"/>
        <w:gridCol w:w="1501"/>
      </w:tblGrid>
      <w:tr w:rsidR="000430A4" w:rsidRPr="00D12797" w:rsidTr="002F32F0">
        <w:trPr>
          <w:cnfStyle w:val="100000000000"/>
          <w:trHeight w:val="550"/>
        </w:trPr>
        <w:tc>
          <w:tcPr>
            <w:cnfStyle w:val="001000000000"/>
            <w:tcW w:w="4772" w:type="dxa"/>
            <w:tcBorders>
              <w:top w:val="single" w:sz="8" w:space="0" w:color="auto"/>
              <w:left w:val="single" w:sz="8" w:space="0" w:color="auto"/>
              <w:bottom w:val="single" w:sz="8" w:space="0" w:color="auto"/>
            </w:tcBorders>
            <w:noWrap/>
            <w:vAlign w:val="bottom"/>
            <w:hideMark/>
          </w:tcPr>
          <w:p w:rsidR="000430A4" w:rsidRPr="004D76F6" w:rsidRDefault="000430A4" w:rsidP="002F32F0">
            <w:pPr>
              <w:rPr>
                <w:rFonts w:ascii="Calibri" w:eastAsia="Times New Roman" w:hAnsi="Calibri" w:cs="Times New Roman"/>
                <w:b w:val="0"/>
                <w:color w:val="auto"/>
              </w:rPr>
            </w:pPr>
            <w:r w:rsidRPr="004D76F6">
              <w:rPr>
                <w:rFonts w:ascii="Calibri" w:eastAsia="Times New Roman" w:hAnsi="Calibri" w:cs="Times New Roman"/>
                <w:b w:val="0"/>
                <w:color w:val="auto"/>
              </w:rPr>
              <w:t xml:space="preserve">Measures </w:t>
            </w:r>
          </w:p>
        </w:tc>
        <w:tc>
          <w:tcPr>
            <w:tcW w:w="1458" w:type="dxa"/>
            <w:tcBorders>
              <w:top w:val="single" w:sz="8" w:space="0" w:color="auto"/>
              <w:bottom w:val="single" w:sz="8" w:space="0" w:color="auto"/>
            </w:tcBorders>
            <w:noWrap/>
            <w:vAlign w:val="bottom"/>
            <w:hideMark/>
          </w:tcPr>
          <w:p w:rsidR="000430A4" w:rsidRPr="004D76F6" w:rsidRDefault="000430A4" w:rsidP="002F32F0">
            <w:pPr>
              <w:jc w:val="center"/>
              <w:cnfStyle w:val="100000000000"/>
              <w:rPr>
                <w:rFonts w:ascii="Calibri" w:eastAsia="Times New Roman" w:hAnsi="Calibri" w:cs="Times New Roman"/>
                <w:b w:val="0"/>
                <w:color w:val="auto"/>
              </w:rPr>
            </w:pPr>
            <w:r w:rsidRPr="004D76F6">
              <w:rPr>
                <w:rFonts w:ascii="Calibri" w:eastAsia="Times New Roman" w:hAnsi="Calibri" w:cs="Times New Roman"/>
                <w:b w:val="0"/>
                <w:color w:val="auto"/>
              </w:rPr>
              <w:t>2012-2013</w:t>
            </w:r>
          </w:p>
        </w:tc>
        <w:tc>
          <w:tcPr>
            <w:tcW w:w="1582" w:type="dxa"/>
            <w:tcBorders>
              <w:top w:val="single" w:sz="8" w:space="0" w:color="auto"/>
              <w:bottom w:val="single" w:sz="8" w:space="0" w:color="auto"/>
            </w:tcBorders>
            <w:noWrap/>
            <w:vAlign w:val="bottom"/>
            <w:hideMark/>
          </w:tcPr>
          <w:p w:rsidR="000430A4" w:rsidRPr="004D76F6" w:rsidRDefault="000430A4" w:rsidP="002F32F0">
            <w:pPr>
              <w:jc w:val="center"/>
              <w:cnfStyle w:val="100000000000"/>
              <w:rPr>
                <w:rFonts w:ascii="Calibri" w:eastAsia="Times New Roman" w:hAnsi="Calibri" w:cs="Times New Roman"/>
                <w:b w:val="0"/>
                <w:color w:val="auto"/>
              </w:rPr>
            </w:pPr>
            <w:r w:rsidRPr="004D76F6">
              <w:rPr>
                <w:rFonts w:ascii="Calibri" w:eastAsia="Times New Roman" w:hAnsi="Calibri" w:cs="Times New Roman"/>
                <w:b w:val="0"/>
                <w:color w:val="auto"/>
              </w:rPr>
              <w:t>2013-2014</w:t>
            </w:r>
          </w:p>
        </w:tc>
        <w:tc>
          <w:tcPr>
            <w:tcW w:w="1501" w:type="dxa"/>
            <w:tcBorders>
              <w:top w:val="single" w:sz="8" w:space="0" w:color="auto"/>
              <w:bottom w:val="single" w:sz="8" w:space="0" w:color="auto"/>
              <w:right w:val="single" w:sz="8" w:space="0" w:color="auto"/>
            </w:tcBorders>
            <w:noWrap/>
            <w:vAlign w:val="bottom"/>
            <w:hideMark/>
          </w:tcPr>
          <w:p w:rsidR="000430A4" w:rsidRPr="004D76F6" w:rsidRDefault="000430A4" w:rsidP="002F32F0">
            <w:pPr>
              <w:jc w:val="center"/>
              <w:cnfStyle w:val="100000000000"/>
              <w:rPr>
                <w:rFonts w:ascii="Calibri" w:eastAsia="Times New Roman" w:hAnsi="Calibri" w:cs="Times New Roman"/>
                <w:b w:val="0"/>
                <w:color w:val="auto"/>
              </w:rPr>
            </w:pPr>
            <w:r w:rsidRPr="004D76F6">
              <w:rPr>
                <w:rFonts w:ascii="Calibri" w:eastAsia="Times New Roman" w:hAnsi="Calibri" w:cs="Times New Roman"/>
                <w:b w:val="0"/>
                <w:color w:val="auto"/>
              </w:rPr>
              <w:t>2014-2015</w:t>
            </w:r>
          </w:p>
        </w:tc>
      </w:tr>
      <w:tr w:rsidR="000430A4" w:rsidRPr="00D12797" w:rsidTr="002F32F0">
        <w:trPr>
          <w:cnfStyle w:val="000000100000"/>
          <w:trHeight w:val="311"/>
        </w:trPr>
        <w:tc>
          <w:tcPr>
            <w:cnfStyle w:val="001000000000"/>
            <w:tcW w:w="4772" w:type="dxa"/>
            <w:tcBorders>
              <w:top w:val="single" w:sz="8" w:space="0" w:color="auto"/>
              <w:left w:val="single" w:sz="8" w:space="0" w:color="auto"/>
              <w:bottom w:val="nil"/>
            </w:tcBorders>
            <w:shd w:val="clear" w:color="auto" w:fill="DBE5F1"/>
            <w:noWrap/>
            <w:hideMark/>
          </w:tcPr>
          <w:p w:rsidR="000430A4" w:rsidRPr="004D76F6" w:rsidRDefault="000430A4" w:rsidP="002F32F0">
            <w:pPr>
              <w:rPr>
                <w:rFonts w:ascii="Calibri" w:eastAsia="Times New Roman" w:hAnsi="Calibri" w:cs="Times New Roman"/>
                <w:b w:val="0"/>
                <w:color w:val="auto"/>
              </w:rPr>
            </w:pPr>
            <w:r w:rsidRPr="004D76F6">
              <w:rPr>
                <w:rFonts w:ascii="Calibri" w:eastAsia="Times New Roman" w:hAnsi="Calibri" w:cs="Times New Roman"/>
                <w:b w:val="0"/>
                <w:color w:val="auto"/>
              </w:rPr>
              <w:t xml:space="preserve">Number of requests received </w:t>
            </w:r>
          </w:p>
        </w:tc>
        <w:tc>
          <w:tcPr>
            <w:tcW w:w="1458" w:type="dxa"/>
            <w:tcBorders>
              <w:top w:val="single" w:sz="8" w:space="0" w:color="auto"/>
              <w:bottom w:val="nil"/>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sidRPr="000F6716">
              <w:rPr>
                <w:rFonts w:ascii="Calibri" w:eastAsia="Times New Roman" w:hAnsi="Calibri" w:cs="Times New Roman"/>
                <w:b/>
                <w:color w:val="auto"/>
              </w:rPr>
              <w:t>3</w:t>
            </w:r>
            <w:r w:rsidR="00F257F8">
              <w:rPr>
                <w:rFonts w:ascii="Calibri" w:eastAsia="Times New Roman" w:hAnsi="Calibri" w:cs="Times New Roman"/>
                <w:b/>
                <w:color w:val="auto"/>
              </w:rPr>
              <w:t>,</w:t>
            </w:r>
            <w:r w:rsidRPr="000F6716">
              <w:rPr>
                <w:rFonts w:ascii="Calibri" w:eastAsia="Times New Roman" w:hAnsi="Calibri" w:cs="Times New Roman"/>
                <w:b/>
                <w:color w:val="auto"/>
              </w:rPr>
              <w:t>147</w:t>
            </w:r>
          </w:p>
        </w:tc>
        <w:tc>
          <w:tcPr>
            <w:tcW w:w="1582" w:type="dxa"/>
            <w:tcBorders>
              <w:top w:val="single" w:sz="8" w:space="0" w:color="auto"/>
              <w:bottom w:val="nil"/>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sidRPr="000F6716">
              <w:rPr>
                <w:rFonts w:ascii="Calibri" w:eastAsia="Times New Roman" w:hAnsi="Calibri" w:cs="Times New Roman"/>
                <w:b/>
                <w:color w:val="auto"/>
              </w:rPr>
              <w:t>4</w:t>
            </w:r>
            <w:r w:rsidR="00F257F8">
              <w:rPr>
                <w:rFonts w:ascii="Calibri" w:eastAsia="Times New Roman" w:hAnsi="Calibri" w:cs="Times New Roman"/>
                <w:b/>
                <w:color w:val="auto"/>
              </w:rPr>
              <w:t>,</w:t>
            </w:r>
            <w:r w:rsidRPr="000F6716">
              <w:rPr>
                <w:rFonts w:ascii="Calibri" w:eastAsia="Times New Roman" w:hAnsi="Calibri" w:cs="Times New Roman"/>
                <w:b/>
                <w:color w:val="auto"/>
              </w:rPr>
              <w:t>671</w:t>
            </w:r>
          </w:p>
        </w:tc>
        <w:tc>
          <w:tcPr>
            <w:tcW w:w="1501" w:type="dxa"/>
            <w:tcBorders>
              <w:top w:val="single" w:sz="8" w:space="0" w:color="auto"/>
              <w:bottom w:val="nil"/>
              <w:right w:val="single" w:sz="8" w:space="0" w:color="auto"/>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sidRPr="000F6716">
              <w:rPr>
                <w:rFonts w:ascii="Calibri" w:eastAsia="Times New Roman" w:hAnsi="Calibri" w:cs="Times New Roman"/>
                <w:b/>
                <w:color w:val="auto"/>
              </w:rPr>
              <w:t>6</w:t>
            </w:r>
            <w:r w:rsidR="00F257F8">
              <w:rPr>
                <w:rFonts w:ascii="Calibri" w:eastAsia="Times New Roman" w:hAnsi="Calibri" w:cs="Times New Roman"/>
                <w:b/>
                <w:color w:val="auto"/>
              </w:rPr>
              <w:t>,</w:t>
            </w:r>
            <w:r w:rsidRPr="000F6716">
              <w:rPr>
                <w:rFonts w:ascii="Calibri" w:eastAsia="Times New Roman" w:hAnsi="Calibri" w:cs="Times New Roman"/>
                <w:b/>
                <w:color w:val="auto"/>
              </w:rPr>
              <w:t>705</w:t>
            </w:r>
          </w:p>
        </w:tc>
      </w:tr>
      <w:tr w:rsidR="000430A4" w:rsidRPr="00D12797" w:rsidTr="002F32F0">
        <w:trPr>
          <w:trHeight w:val="297"/>
        </w:trPr>
        <w:tc>
          <w:tcPr>
            <w:cnfStyle w:val="001000000000"/>
            <w:tcW w:w="4772" w:type="dxa"/>
            <w:tcBorders>
              <w:top w:val="nil"/>
              <w:left w:val="single" w:sz="8" w:space="0" w:color="auto"/>
              <w:bottom w:val="nil"/>
            </w:tcBorders>
            <w:hideMark/>
          </w:tcPr>
          <w:p w:rsidR="000430A4" w:rsidRPr="004D76F6" w:rsidRDefault="000430A4" w:rsidP="002F32F0">
            <w:pPr>
              <w:rPr>
                <w:rFonts w:ascii="Calibri" w:eastAsia="Times New Roman" w:hAnsi="Calibri" w:cs="Times New Roman"/>
                <w:b w:val="0"/>
                <w:color w:val="auto"/>
              </w:rPr>
            </w:pPr>
            <w:r w:rsidRPr="004D76F6">
              <w:rPr>
                <w:rFonts w:ascii="Calibri" w:eastAsia="Times New Roman" w:hAnsi="Calibri" w:cs="Times New Roman"/>
                <w:b w:val="0"/>
                <w:color w:val="auto"/>
              </w:rPr>
              <w:t>Annual change (%)</w:t>
            </w:r>
          </w:p>
        </w:tc>
        <w:tc>
          <w:tcPr>
            <w:tcW w:w="1458" w:type="dxa"/>
            <w:tcBorders>
              <w:top w:val="nil"/>
              <w:bottom w:val="nil"/>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w:t>
            </w:r>
          </w:p>
        </w:tc>
        <w:tc>
          <w:tcPr>
            <w:tcW w:w="1582" w:type="dxa"/>
            <w:tcBorders>
              <w:top w:val="nil"/>
              <w:bottom w:val="nil"/>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48.4%</w:t>
            </w:r>
          </w:p>
        </w:tc>
        <w:tc>
          <w:tcPr>
            <w:tcW w:w="1501" w:type="dxa"/>
            <w:tcBorders>
              <w:top w:val="nil"/>
              <w:bottom w:val="nil"/>
              <w:right w:val="single" w:sz="8" w:space="0" w:color="auto"/>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43.5%</w:t>
            </w:r>
          </w:p>
        </w:tc>
      </w:tr>
      <w:tr w:rsidR="000430A4" w:rsidRPr="00D12797" w:rsidTr="002F32F0">
        <w:trPr>
          <w:cnfStyle w:val="000000100000"/>
          <w:trHeight w:val="306"/>
        </w:trPr>
        <w:tc>
          <w:tcPr>
            <w:cnfStyle w:val="001000000000"/>
            <w:tcW w:w="4772" w:type="dxa"/>
            <w:tcBorders>
              <w:top w:val="nil"/>
              <w:left w:val="single" w:sz="8" w:space="0" w:color="auto"/>
              <w:bottom w:val="nil"/>
            </w:tcBorders>
            <w:shd w:val="clear" w:color="auto" w:fill="DBE5F1"/>
            <w:hideMark/>
          </w:tcPr>
          <w:p w:rsidR="000430A4" w:rsidRPr="004D76F6" w:rsidRDefault="000430A4" w:rsidP="002F32F0">
            <w:pPr>
              <w:rPr>
                <w:rFonts w:ascii="Calibri" w:eastAsia="Times New Roman" w:hAnsi="Calibri" w:cs="Times New Roman"/>
                <w:b w:val="0"/>
                <w:color w:val="auto"/>
              </w:rPr>
            </w:pPr>
            <w:r w:rsidRPr="004D76F6">
              <w:rPr>
                <w:rFonts w:ascii="Calibri" w:eastAsia="Times New Roman" w:hAnsi="Calibri" w:cs="Times New Roman"/>
                <w:b w:val="0"/>
                <w:color w:val="auto"/>
              </w:rPr>
              <w:t>Completed requests</w:t>
            </w:r>
          </w:p>
        </w:tc>
        <w:tc>
          <w:tcPr>
            <w:tcW w:w="1458" w:type="dxa"/>
            <w:tcBorders>
              <w:top w:val="nil"/>
              <w:bottom w:val="nil"/>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sidRPr="000F6716">
              <w:rPr>
                <w:rFonts w:ascii="Calibri" w:eastAsia="Times New Roman" w:hAnsi="Calibri" w:cs="Times New Roman"/>
                <w:b/>
                <w:color w:val="auto"/>
              </w:rPr>
              <w:t>2</w:t>
            </w:r>
            <w:r w:rsidR="00F257F8">
              <w:rPr>
                <w:rFonts w:ascii="Calibri" w:eastAsia="Times New Roman" w:hAnsi="Calibri" w:cs="Times New Roman"/>
                <w:b/>
                <w:color w:val="auto"/>
              </w:rPr>
              <w:t>,</w:t>
            </w:r>
            <w:r w:rsidRPr="000F6716">
              <w:rPr>
                <w:rFonts w:ascii="Calibri" w:eastAsia="Times New Roman" w:hAnsi="Calibri" w:cs="Times New Roman"/>
                <w:b/>
                <w:color w:val="auto"/>
              </w:rPr>
              <w:t>891</w:t>
            </w:r>
          </w:p>
        </w:tc>
        <w:tc>
          <w:tcPr>
            <w:tcW w:w="1582" w:type="dxa"/>
            <w:tcBorders>
              <w:top w:val="nil"/>
              <w:bottom w:val="nil"/>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sidRPr="000F6716">
              <w:rPr>
                <w:rFonts w:ascii="Calibri" w:eastAsia="Times New Roman" w:hAnsi="Calibri" w:cs="Times New Roman"/>
                <w:b/>
                <w:color w:val="auto"/>
              </w:rPr>
              <w:t>4</w:t>
            </w:r>
            <w:r w:rsidR="00F257F8">
              <w:rPr>
                <w:rFonts w:ascii="Calibri" w:eastAsia="Times New Roman" w:hAnsi="Calibri" w:cs="Times New Roman"/>
                <w:b/>
                <w:color w:val="auto"/>
              </w:rPr>
              <w:t>,</w:t>
            </w:r>
            <w:r w:rsidRPr="000F6716">
              <w:rPr>
                <w:rFonts w:ascii="Calibri" w:eastAsia="Times New Roman" w:hAnsi="Calibri" w:cs="Times New Roman"/>
                <w:b/>
                <w:color w:val="auto"/>
              </w:rPr>
              <w:t>079</w:t>
            </w:r>
          </w:p>
        </w:tc>
        <w:tc>
          <w:tcPr>
            <w:tcW w:w="1501" w:type="dxa"/>
            <w:tcBorders>
              <w:top w:val="nil"/>
              <w:bottom w:val="nil"/>
              <w:right w:val="single" w:sz="8" w:space="0" w:color="auto"/>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sidRPr="000F6716">
              <w:rPr>
                <w:rFonts w:ascii="Calibri" w:eastAsia="Times New Roman" w:hAnsi="Calibri" w:cs="Times New Roman"/>
                <w:b/>
                <w:color w:val="auto"/>
              </w:rPr>
              <w:t>6</w:t>
            </w:r>
            <w:r w:rsidR="00F257F8">
              <w:rPr>
                <w:rFonts w:ascii="Calibri" w:eastAsia="Times New Roman" w:hAnsi="Calibri" w:cs="Times New Roman"/>
                <w:b/>
                <w:color w:val="auto"/>
              </w:rPr>
              <w:t>,</w:t>
            </w:r>
            <w:r w:rsidRPr="000F6716">
              <w:rPr>
                <w:rFonts w:ascii="Calibri" w:eastAsia="Times New Roman" w:hAnsi="Calibri" w:cs="Times New Roman"/>
                <w:b/>
                <w:color w:val="auto"/>
              </w:rPr>
              <w:t>802</w:t>
            </w:r>
          </w:p>
        </w:tc>
      </w:tr>
      <w:tr w:rsidR="000430A4" w:rsidRPr="00D12797" w:rsidTr="002F32F0">
        <w:trPr>
          <w:trHeight w:val="297"/>
        </w:trPr>
        <w:tc>
          <w:tcPr>
            <w:cnfStyle w:val="001000000000"/>
            <w:tcW w:w="4772" w:type="dxa"/>
            <w:tcBorders>
              <w:top w:val="nil"/>
              <w:left w:val="single" w:sz="8" w:space="0" w:color="auto"/>
              <w:bottom w:val="nil"/>
            </w:tcBorders>
            <w:hideMark/>
          </w:tcPr>
          <w:p w:rsidR="000430A4" w:rsidRPr="004D76F6" w:rsidRDefault="000430A4" w:rsidP="002F32F0">
            <w:pPr>
              <w:rPr>
                <w:rFonts w:ascii="Calibri" w:eastAsia="Times New Roman" w:hAnsi="Calibri" w:cs="Times New Roman"/>
                <w:b w:val="0"/>
                <w:color w:val="auto"/>
              </w:rPr>
            </w:pPr>
            <w:r w:rsidRPr="004D76F6">
              <w:rPr>
                <w:rFonts w:ascii="Calibri" w:eastAsia="Times New Roman" w:hAnsi="Calibri" w:cs="Times New Roman"/>
                <w:b w:val="0"/>
                <w:color w:val="auto"/>
              </w:rPr>
              <w:lastRenderedPageBreak/>
              <w:t>Annual change (%)</w:t>
            </w:r>
          </w:p>
        </w:tc>
        <w:tc>
          <w:tcPr>
            <w:tcW w:w="1458" w:type="dxa"/>
            <w:tcBorders>
              <w:top w:val="nil"/>
              <w:bottom w:val="nil"/>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w:t>
            </w:r>
          </w:p>
        </w:tc>
        <w:tc>
          <w:tcPr>
            <w:tcW w:w="1582" w:type="dxa"/>
            <w:tcBorders>
              <w:top w:val="nil"/>
              <w:bottom w:val="nil"/>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41.1%</w:t>
            </w:r>
          </w:p>
        </w:tc>
        <w:tc>
          <w:tcPr>
            <w:tcW w:w="1501" w:type="dxa"/>
            <w:tcBorders>
              <w:top w:val="nil"/>
              <w:bottom w:val="nil"/>
              <w:right w:val="single" w:sz="8" w:space="0" w:color="auto"/>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66.8%</w:t>
            </w:r>
          </w:p>
        </w:tc>
      </w:tr>
      <w:tr w:rsidR="000430A4" w:rsidRPr="00D12797" w:rsidTr="002F32F0">
        <w:trPr>
          <w:cnfStyle w:val="000000100000"/>
          <w:trHeight w:val="415"/>
        </w:trPr>
        <w:tc>
          <w:tcPr>
            <w:cnfStyle w:val="001000000000"/>
            <w:tcW w:w="4772" w:type="dxa"/>
            <w:tcBorders>
              <w:top w:val="nil"/>
              <w:left w:val="single" w:sz="8" w:space="0" w:color="auto"/>
              <w:bottom w:val="nil"/>
            </w:tcBorders>
            <w:shd w:val="clear" w:color="auto" w:fill="DBE5F1"/>
            <w:hideMark/>
          </w:tcPr>
          <w:p w:rsidR="000430A4" w:rsidRPr="004D76F6" w:rsidRDefault="000430A4" w:rsidP="002F32F0">
            <w:pPr>
              <w:rPr>
                <w:rFonts w:ascii="Calibri" w:eastAsia="Times New Roman" w:hAnsi="Calibri" w:cs="Times New Roman"/>
                <w:b w:val="0"/>
                <w:color w:val="auto"/>
              </w:rPr>
            </w:pPr>
            <w:r w:rsidRPr="004D76F6">
              <w:rPr>
                <w:rFonts w:ascii="Calibri" w:eastAsia="Times New Roman" w:hAnsi="Calibri" w:cs="Times New Roman"/>
                <w:b w:val="0"/>
                <w:color w:val="auto"/>
              </w:rPr>
              <w:t>Number of consultations received (from other government institutions)</w:t>
            </w:r>
          </w:p>
        </w:tc>
        <w:tc>
          <w:tcPr>
            <w:tcW w:w="1458" w:type="dxa"/>
            <w:tcBorders>
              <w:top w:val="nil"/>
              <w:bottom w:val="nil"/>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sidRPr="000F6716">
              <w:rPr>
                <w:rFonts w:ascii="Calibri" w:eastAsia="Times New Roman" w:hAnsi="Calibri" w:cs="Times New Roman"/>
                <w:b/>
                <w:color w:val="auto"/>
              </w:rPr>
              <w:t>366</w:t>
            </w:r>
          </w:p>
        </w:tc>
        <w:tc>
          <w:tcPr>
            <w:tcW w:w="1582" w:type="dxa"/>
            <w:tcBorders>
              <w:top w:val="nil"/>
              <w:bottom w:val="nil"/>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sidRPr="000F6716">
              <w:rPr>
                <w:rFonts w:ascii="Calibri" w:eastAsia="Times New Roman" w:hAnsi="Calibri" w:cs="Times New Roman"/>
                <w:b/>
                <w:color w:val="auto"/>
              </w:rPr>
              <w:t>282</w:t>
            </w:r>
          </w:p>
        </w:tc>
        <w:tc>
          <w:tcPr>
            <w:tcW w:w="1501" w:type="dxa"/>
            <w:tcBorders>
              <w:top w:val="nil"/>
              <w:bottom w:val="nil"/>
              <w:right w:val="single" w:sz="8" w:space="0" w:color="auto"/>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sidRPr="000F6716">
              <w:rPr>
                <w:rFonts w:ascii="Calibri" w:eastAsia="Times New Roman" w:hAnsi="Calibri" w:cs="Times New Roman"/>
                <w:b/>
                <w:color w:val="auto"/>
              </w:rPr>
              <w:t>291</w:t>
            </w:r>
          </w:p>
        </w:tc>
      </w:tr>
      <w:tr w:rsidR="000430A4" w:rsidRPr="00D12797" w:rsidTr="002F32F0">
        <w:trPr>
          <w:trHeight w:val="297"/>
        </w:trPr>
        <w:tc>
          <w:tcPr>
            <w:cnfStyle w:val="001000000000"/>
            <w:tcW w:w="4772" w:type="dxa"/>
            <w:tcBorders>
              <w:top w:val="nil"/>
              <w:left w:val="single" w:sz="8" w:space="0" w:color="auto"/>
              <w:bottom w:val="nil"/>
            </w:tcBorders>
            <w:hideMark/>
          </w:tcPr>
          <w:p w:rsidR="000430A4" w:rsidRPr="004D76F6" w:rsidRDefault="000430A4" w:rsidP="002F32F0">
            <w:pPr>
              <w:rPr>
                <w:rFonts w:ascii="Calibri" w:eastAsia="Times New Roman" w:hAnsi="Calibri" w:cs="Times New Roman"/>
                <w:b w:val="0"/>
                <w:color w:val="auto"/>
              </w:rPr>
            </w:pPr>
            <w:r w:rsidRPr="004D76F6">
              <w:rPr>
                <w:rFonts w:ascii="Calibri" w:eastAsia="Times New Roman" w:hAnsi="Calibri" w:cs="Times New Roman"/>
                <w:b w:val="0"/>
                <w:color w:val="auto"/>
              </w:rPr>
              <w:t>Annual change (%)</w:t>
            </w:r>
          </w:p>
        </w:tc>
        <w:tc>
          <w:tcPr>
            <w:tcW w:w="1458" w:type="dxa"/>
            <w:tcBorders>
              <w:top w:val="nil"/>
              <w:bottom w:val="nil"/>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w:t>
            </w:r>
          </w:p>
        </w:tc>
        <w:tc>
          <w:tcPr>
            <w:tcW w:w="1582" w:type="dxa"/>
            <w:tcBorders>
              <w:top w:val="nil"/>
              <w:bottom w:val="nil"/>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-23.0%</w:t>
            </w:r>
          </w:p>
        </w:tc>
        <w:tc>
          <w:tcPr>
            <w:tcW w:w="1501" w:type="dxa"/>
            <w:tcBorders>
              <w:top w:val="nil"/>
              <w:bottom w:val="nil"/>
              <w:right w:val="single" w:sz="8" w:space="0" w:color="auto"/>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3.2%</w:t>
            </w:r>
          </w:p>
        </w:tc>
      </w:tr>
      <w:tr w:rsidR="000430A4" w:rsidRPr="00D12797" w:rsidTr="002F32F0">
        <w:trPr>
          <w:cnfStyle w:val="000000100000"/>
          <w:trHeight w:val="593"/>
        </w:trPr>
        <w:tc>
          <w:tcPr>
            <w:cnfStyle w:val="001000000000"/>
            <w:tcW w:w="4772" w:type="dxa"/>
            <w:tcBorders>
              <w:top w:val="nil"/>
              <w:left w:val="single" w:sz="8" w:space="0" w:color="auto"/>
              <w:bottom w:val="nil"/>
            </w:tcBorders>
            <w:shd w:val="clear" w:color="auto" w:fill="DBE5F1"/>
            <w:hideMark/>
          </w:tcPr>
          <w:p w:rsidR="000430A4" w:rsidRPr="004D76F6" w:rsidRDefault="000430A4" w:rsidP="002F32F0">
            <w:pPr>
              <w:rPr>
                <w:rFonts w:ascii="Calibri" w:eastAsia="Times New Roman" w:hAnsi="Calibri" w:cs="Times New Roman"/>
                <w:b w:val="0"/>
                <w:color w:val="auto"/>
              </w:rPr>
            </w:pPr>
            <w:r w:rsidRPr="004D76F6">
              <w:rPr>
                <w:rFonts w:ascii="Calibri" w:eastAsia="Times New Roman" w:hAnsi="Calibri" w:cs="Times New Roman"/>
                <w:b w:val="0"/>
                <w:color w:val="auto"/>
              </w:rPr>
              <w:t xml:space="preserve">Average number of pages processed per </w:t>
            </w:r>
          </w:p>
          <w:p w:rsidR="000430A4" w:rsidRPr="004D76F6" w:rsidRDefault="000430A4" w:rsidP="002F32F0">
            <w:pPr>
              <w:rPr>
                <w:rFonts w:ascii="Calibri" w:eastAsia="Times New Roman" w:hAnsi="Calibri" w:cs="Times New Roman"/>
                <w:b w:val="0"/>
                <w:color w:val="auto"/>
              </w:rPr>
            </w:pPr>
            <w:r w:rsidRPr="004D76F6">
              <w:rPr>
                <w:rFonts w:ascii="Calibri" w:eastAsia="Times New Roman" w:hAnsi="Calibri" w:cs="Times New Roman"/>
                <w:b w:val="0"/>
                <w:color w:val="auto"/>
              </w:rPr>
              <w:t>request completed</w:t>
            </w:r>
          </w:p>
        </w:tc>
        <w:tc>
          <w:tcPr>
            <w:tcW w:w="1458" w:type="dxa"/>
            <w:tcBorders>
              <w:top w:val="nil"/>
              <w:bottom w:val="nil"/>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Pr>
                <w:rFonts w:ascii="Calibri" w:eastAsia="Times New Roman" w:hAnsi="Calibri" w:cs="Times New Roman"/>
                <w:b/>
                <w:color w:val="auto"/>
              </w:rPr>
              <w:t>112</w:t>
            </w:r>
          </w:p>
        </w:tc>
        <w:tc>
          <w:tcPr>
            <w:tcW w:w="1582" w:type="dxa"/>
            <w:tcBorders>
              <w:top w:val="nil"/>
              <w:bottom w:val="nil"/>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Pr>
                <w:rFonts w:ascii="Calibri" w:eastAsia="Times New Roman" w:hAnsi="Calibri" w:cs="Times New Roman"/>
                <w:b/>
                <w:color w:val="auto"/>
              </w:rPr>
              <w:t>101</w:t>
            </w:r>
          </w:p>
        </w:tc>
        <w:tc>
          <w:tcPr>
            <w:tcW w:w="1501" w:type="dxa"/>
            <w:tcBorders>
              <w:top w:val="nil"/>
              <w:bottom w:val="nil"/>
              <w:right w:val="single" w:sz="8" w:space="0" w:color="auto"/>
            </w:tcBorders>
            <w:shd w:val="clear" w:color="auto" w:fill="DBE5F1"/>
            <w:noWrap/>
            <w:hideMark/>
          </w:tcPr>
          <w:p w:rsidR="000430A4" w:rsidRPr="000F6716" w:rsidRDefault="000430A4" w:rsidP="002F32F0">
            <w:pPr>
              <w:jc w:val="center"/>
              <w:cnfStyle w:val="000000100000"/>
              <w:rPr>
                <w:rFonts w:ascii="Calibri" w:eastAsia="Times New Roman" w:hAnsi="Calibri" w:cs="Times New Roman"/>
                <w:b/>
                <w:color w:val="auto"/>
              </w:rPr>
            </w:pPr>
            <w:r w:rsidRPr="000F6716">
              <w:rPr>
                <w:rFonts w:ascii="Calibri" w:eastAsia="Times New Roman" w:hAnsi="Calibri" w:cs="Times New Roman"/>
                <w:b/>
                <w:color w:val="auto"/>
              </w:rPr>
              <w:t>6</w:t>
            </w:r>
            <w:r>
              <w:rPr>
                <w:rFonts w:ascii="Calibri" w:eastAsia="Times New Roman" w:hAnsi="Calibri" w:cs="Times New Roman"/>
                <w:b/>
                <w:color w:val="auto"/>
              </w:rPr>
              <w:t>9</w:t>
            </w:r>
          </w:p>
        </w:tc>
      </w:tr>
      <w:tr w:rsidR="000430A4" w:rsidRPr="00D12797" w:rsidTr="002F32F0">
        <w:trPr>
          <w:trHeight w:val="416"/>
        </w:trPr>
        <w:tc>
          <w:tcPr>
            <w:cnfStyle w:val="001000000000"/>
            <w:tcW w:w="4772" w:type="dxa"/>
            <w:tcBorders>
              <w:top w:val="nil"/>
              <w:left w:val="single" w:sz="8" w:space="0" w:color="auto"/>
              <w:bottom w:val="single" w:sz="8" w:space="0" w:color="auto"/>
            </w:tcBorders>
            <w:hideMark/>
          </w:tcPr>
          <w:p w:rsidR="000430A4" w:rsidRPr="004D76F6" w:rsidRDefault="000430A4" w:rsidP="002F32F0">
            <w:pPr>
              <w:rPr>
                <w:rFonts w:ascii="Calibri" w:eastAsia="Times New Roman" w:hAnsi="Calibri" w:cs="Times New Roman"/>
                <w:b w:val="0"/>
                <w:color w:val="auto"/>
              </w:rPr>
            </w:pPr>
            <w:r w:rsidRPr="004D76F6">
              <w:rPr>
                <w:rFonts w:ascii="Calibri" w:eastAsia="Times New Roman" w:hAnsi="Calibri" w:cs="Times New Roman"/>
                <w:b w:val="0"/>
                <w:color w:val="auto"/>
              </w:rPr>
              <w:t>% of requests for which more than 1</w:t>
            </w:r>
            <w:r w:rsidR="00F257F8">
              <w:rPr>
                <w:rFonts w:ascii="Calibri" w:eastAsia="Times New Roman" w:hAnsi="Calibri" w:cs="Times New Roman"/>
                <w:b w:val="0"/>
                <w:color w:val="auto"/>
              </w:rPr>
              <w:t>,</w:t>
            </w:r>
            <w:r w:rsidRPr="004D76F6">
              <w:rPr>
                <w:rFonts w:ascii="Calibri" w:eastAsia="Times New Roman" w:hAnsi="Calibri" w:cs="Times New Roman"/>
                <w:b w:val="0"/>
                <w:color w:val="auto"/>
              </w:rPr>
              <w:t>000 pages were processed</w:t>
            </w:r>
          </w:p>
        </w:tc>
        <w:tc>
          <w:tcPr>
            <w:tcW w:w="1458" w:type="dxa"/>
            <w:tcBorders>
              <w:top w:val="nil"/>
              <w:bottom w:val="single" w:sz="8" w:space="0" w:color="auto"/>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2.3%</w:t>
            </w:r>
          </w:p>
        </w:tc>
        <w:tc>
          <w:tcPr>
            <w:tcW w:w="1582" w:type="dxa"/>
            <w:tcBorders>
              <w:top w:val="nil"/>
              <w:bottom w:val="single" w:sz="8" w:space="0" w:color="auto"/>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1.9%</w:t>
            </w:r>
          </w:p>
        </w:tc>
        <w:tc>
          <w:tcPr>
            <w:tcW w:w="1501" w:type="dxa"/>
            <w:tcBorders>
              <w:top w:val="nil"/>
              <w:bottom w:val="single" w:sz="8" w:space="0" w:color="auto"/>
              <w:right w:val="single" w:sz="8" w:space="0" w:color="auto"/>
            </w:tcBorders>
            <w:noWrap/>
            <w:hideMark/>
          </w:tcPr>
          <w:p w:rsidR="000430A4" w:rsidRPr="004D76F6" w:rsidRDefault="000430A4" w:rsidP="002F32F0">
            <w:pPr>
              <w:jc w:val="center"/>
              <w:cnfStyle w:val="000000000000"/>
              <w:rPr>
                <w:rFonts w:ascii="Calibri" w:eastAsia="Times New Roman" w:hAnsi="Calibri" w:cs="Times New Roman"/>
                <w:color w:val="auto"/>
              </w:rPr>
            </w:pPr>
            <w:r w:rsidRPr="004D76F6">
              <w:rPr>
                <w:rFonts w:ascii="Calibri" w:eastAsia="Times New Roman" w:hAnsi="Calibri" w:cs="Times New Roman"/>
                <w:color w:val="auto"/>
              </w:rPr>
              <w:t>1.1%</w:t>
            </w:r>
          </w:p>
        </w:tc>
      </w:tr>
    </w:tbl>
    <w:p w:rsidR="000430A4" w:rsidRPr="00A231DA" w:rsidRDefault="000430A4" w:rsidP="000430A4">
      <w:pPr>
        <w:pStyle w:val="Heading2"/>
        <w:spacing w:before="240"/>
      </w:pPr>
      <w:r w:rsidRPr="00A231DA">
        <w:t>Request completion time</w:t>
      </w:r>
    </w:p>
    <w:p w:rsidR="000430A4" w:rsidRPr="00A231DA" w:rsidRDefault="000430A4" w:rsidP="000430A4">
      <w:pPr>
        <w:pStyle w:val="Heading4"/>
      </w:pPr>
      <w:r w:rsidRPr="00A231DA">
        <w:t>Timeliness</w:t>
      </w:r>
    </w:p>
    <w:p w:rsidR="000430A4" w:rsidRPr="00C754D7" w:rsidRDefault="000430A4" w:rsidP="000430A4">
      <w:pPr>
        <w:jc w:val="both"/>
      </w:pPr>
      <w:r w:rsidRPr="00C754D7">
        <w:t>Figure 1 reveals that 75.9% of requests</w:t>
      </w:r>
      <w:r>
        <w:t xml:space="preserve"> were completed </w:t>
      </w:r>
      <w:r w:rsidRPr="00C754D7">
        <w:t>in 30 days</w:t>
      </w:r>
      <w:r>
        <w:t xml:space="preserve"> or less</w:t>
      </w:r>
      <w:r w:rsidRPr="00C754D7">
        <w:t xml:space="preserve">, which is similar </w:t>
      </w:r>
      <w:r>
        <w:t>to the result</w:t>
      </w:r>
      <w:r w:rsidRPr="00C754D7">
        <w:t xml:space="preserve"> observed in 2013-2014 (76.9</w:t>
      </w:r>
      <w:r>
        <w:t>%).</w:t>
      </w:r>
    </w:p>
    <w:p w:rsidR="000430A4" w:rsidRPr="003C309C" w:rsidRDefault="000430A4" w:rsidP="000430A4">
      <w:pPr>
        <w:pStyle w:val="Heading3"/>
      </w:pPr>
      <w:r w:rsidRPr="003C309C">
        <w:t xml:space="preserve">Figure 1: </w:t>
      </w:r>
      <w:r>
        <w:t xml:space="preserve">Request Completion </w:t>
      </w:r>
      <w:r w:rsidRPr="00D37B40">
        <w:t>Time</w:t>
      </w:r>
    </w:p>
    <w:p w:rsidR="000430A4" w:rsidRDefault="000430A4" w:rsidP="000430A4">
      <w:pPr>
        <w:spacing w:line="240" w:lineRule="auto"/>
        <w:jc w:val="center"/>
      </w:pPr>
      <w:r w:rsidRPr="00EF1C0F">
        <w:rPr>
          <w:noProof/>
        </w:rPr>
        <w:drawing>
          <wp:inline distT="0" distB="0" distL="0" distR="0">
            <wp:extent cx="6121021" cy="3882788"/>
            <wp:effectExtent l="0" t="0" r="0" b="381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30A4" w:rsidRPr="00C754D7" w:rsidRDefault="000430A4" w:rsidP="000430A4">
      <w:pPr>
        <w:pStyle w:val="Heading4"/>
      </w:pPr>
      <w:r w:rsidRPr="00C754D7">
        <w:t>Extensions</w:t>
      </w:r>
    </w:p>
    <w:p w:rsidR="000430A4" w:rsidRPr="00873374" w:rsidRDefault="000430A4" w:rsidP="000430A4">
      <w:pPr>
        <w:jc w:val="both"/>
      </w:pPr>
      <w:r w:rsidRPr="00873374">
        <w:t>CBSA took a total of 445 extensions in 2014-2015 compared to 467 in 2013-2014. The most common reason for taking an extension was consultations (53.3%), followed by interference with operations (44.7%), and third-party notice (2.0%).</w:t>
      </w:r>
    </w:p>
    <w:p w:rsidR="000430A4" w:rsidRPr="00C754D7" w:rsidRDefault="000430A4" w:rsidP="000430A4">
      <w:pPr>
        <w:jc w:val="both"/>
      </w:pPr>
      <w:r w:rsidRPr="00C754D7">
        <w:lastRenderedPageBreak/>
        <w:t xml:space="preserve">Figure 2 shows that </w:t>
      </w:r>
      <w:r>
        <w:t xml:space="preserve">45.8% of the extensions taken in 2014-2015 were for </w:t>
      </w:r>
      <w:r w:rsidRPr="00C754D7">
        <w:t>30 days</w:t>
      </w:r>
      <w:r>
        <w:t xml:space="preserve"> or </w:t>
      </w:r>
      <w:r w:rsidRPr="00700DF8">
        <w:t>less. Also, the number of extensions between 31 and 60 days</w:t>
      </w:r>
      <w:r>
        <w:t xml:space="preserve"> decreased from 32.5</w:t>
      </w:r>
      <w:r w:rsidRPr="00700DF8">
        <w:t>% in 2013-2014 to 25.2% in 2014-2015. A similar decrease was observed for extensions from 61 to 120 days. However, we note an</w:t>
      </w:r>
      <w:r w:rsidRPr="00C754D7">
        <w:t xml:space="preserve"> increase in the percentage of requests extended </w:t>
      </w:r>
      <w:r>
        <w:t>beyond 121</w:t>
      </w:r>
      <w:r w:rsidRPr="00C754D7">
        <w:t xml:space="preserve"> days</w:t>
      </w:r>
      <w:r>
        <w:t xml:space="preserve"> (15.7% in 2014-2015 compared to 7.5% in 2013-2014).</w:t>
      </w:r>
    </w:p>
    <w:p w:rsidR="000430A4" w:rsidRDefault="000430A4" w:rsidP="000430A4">
      <w:pPr>
        <w:rPr>
          <w:b/>
          <w:noProof/>
          <w:sz w:val="24"/>
          <w:szCs w:val="24"/>
        </w:rPr>
      </w:pPr>
      <w:r w:rsidRPr="00B32050">
        <w:rPr>
          <w:rStyle w:val="Heading3Char"/>
        </w:rPr>
        <w:t>Figure 2: Length of E</w:t>
      </w:r>
      <w:r>
        <w:rPr>
          <w:rStyle w:val="Heading3Char"/>
        </w:rPr>
        <w:t>xtensions</w:t>
      </w:r>
      <w:r w:rsidRPr="00EF1C0F">
        <w:rPr>
          <w:noProof/>
        </w:rPr>
        <w:drawing>
          <wp:inline distT="0" distB="0" distL="0" distR="0">
            <wp:extent cx="6025487" cy="3896436"/>
            <wp:effectExtent l="0" t="0" r="0" b="889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30A4" w:rsidRPr="00C754D7" w:rsidRDefault="000430A4" w:rsidP="000430A4">
      <w:pPr>
        <w:pStyle w:val="Heading4"/>
      </w:pPr>
      <w:r>
        <w:t>Deemed refusals</w:t>
      </w:r>
    </w:p>
    <w:p w:rsidR="000430A4" w:rsidRPr="00873374" w:rsidRDefault="000430A4" w:rsidP="000430A4">
      <w:pPr>
        <w:jc w:val="both"/>
      </w:pPr>
      <w:r w:rsidRPr="00873374">
        <w:t>In 2014-2015, the number of requests closed past the statutory deadline was 441, which accounts for 6.5% of completed requests. This rate represents a “B” grade.</w:t>
      </w:r>
      <w:r w:rsidRPr="00873374">
        <w:rPr>
          <w:rStyle w:val="FootnoteReference"/>
        </w:rPr>
        <w:footnoteReference w:id="10"/>
      </w:r>
      <w:r w:rsidRPr="00873374">
        <w:t xml:space="preserve"> The main reason for not meeting the statutory deadline was workload (86.6%). Figure 3 shows that 42.6% of overdue requests were late by 15 days or less and that 51.5% of requests were late by 30 days or less. This is similar to the last period’s results.</w:t>
      </w:r>
    </w:p>
    <w:p w:rsidR="000430A4" w:rsidRDefault="000430A4" w:rsidP="000430A4">
      <w:r>
        <w:br w:type="page"/>
      </w:r>
    </w:p>
    <w:p w:rsidR="000430A4" w:rsidRPr="00B32050" w:rsidRDefault="000430A4" w:rsidP="000430A4">
      <w:pPr>
        <w:pStyle w:val="Heading3"/>
        <w:rPr>
          <w:noProof/>
          <w:sz w:val="24"/>
          <w:szCs w:val="24"/>
        </w:rPr>
      </w:pPr>
      <w:r w:rsidRPr="00B32050">
        <w:lastRenderedPageBreak/>
        <w:t>Figure 3: Lateness of Overdue Requests</w:t>
      </w:r>
    </w:p>
    <w:p w:rsidR="000430A4" w:rsidRDefault="000430A4" w:rsidP="000430A4">
      <w:pPr>
        <w:jc w:val="center"/>
        <w:rPr>
          <w:sz w:val="24"/>
          <w:szCs w:val="24"/>
        </w:rPr>
      </w:pPr>
      <w:r w:rsidRPr="00EF1C0F">
        <w:rPr>
          <w:noProof/>
          <w:sz w:val="24"/>
          <w:szCs w:val="24"/>
        </w:rPr>
        <w:drawing>
          <wp:inline distT="0" distB="0" distL="0" distR="0">
            <wp:extent cx="5943600" cy="3582538"/>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30A4" w:rsidRPr="003C5FA7" w:rsidRDefault="000430A4" w:rsidP="000430A4">
      <w:pPr>
        <w:pStyle w:val="Heading2"/>
      </w:pPr>
      <w:r>
        <w:t>Disclosure</w:t>
      </w:r>
    </w:p>
    <w:p w:rsidR="000430A4" w:rsidRPr="00C754D7" w:rsidRDefault="000430A4" w:rsidP="000430A4">
      <w:pPr>
        <w:pStyle w:val="Heading4"/>
      </w:pPr>
      <w:r w:rsidRPr="00C754D7">
        <w:t xml:space="preserve">Percentage of requests for </w:t>
      </w:r>
      <w:r>
        <w:t>which information was disclosed</w:t>
      </w:r>
    </w:p>
    <w:p w:rsidR="000430A4" w:rsidRPr="00C754D7" w:rsidRDefault="000430A4" w:rsidP="000430A4">
      <w:pPr>
        <w:jc w:val="both"/>
      </w:pPr>
      <w:r w:rsidRPr="00C754D7">
        <w:t xml:space="preserve">In 2014-2015, 59.8% of requests </w:t>
      </w:r>
      <w:r>
        <w:t xml:space="preserve">completed </w:t>
      </w:r>
      <w:r w:rsidRPr="00C754D7">
        <w:t xml:space="preserve">(6,802) were entirely disclosed, which </w:t>
      </w:r>
      <w:r>
        <w:t xml:space="preserve">is the highest disclosure rate </w:t>
      </w:r>
      <w:r w:rsidRPr="00C754D7">
        <w:t>since 2012 (see Figure</w:t>
      </w:r>
      <w:r>
        <w:t xml:space="preserve"> 4</w:t>
      </w:r>
      <w:r w:rsidRPr="00C754D7">
        <w:t xml:space="preserve">). </w:t>
      </w:r>
      <w:r>
        <w:t xml:space="preserve">The rate </w:t>
      </w:r>
      <w:r w:rsidRPr="00C754D7">
        <w:t>for partially disclosed requests wa</w:t>
      </w:r>
      <w:r>
        <w:t>s 27.9</w:t>
      </w:r>
      <w:r w:rsidRPr="00C754D7">
        <w:t xml:space="preserve">% in 2014-2015, </w:t>
      </w:r>
      <w:r>
        <w:t>which is a decrease of 8.9% from the previous period.</w:t>
      </w:r>
    </w:p>
    <w:p w:rsidR="000430A4" w:rsidRPr="000430A4" w:rsidRDefault="000430A4" w:rsidP="000430A4">
      <w:pPr>
        <w:rPr>
          <w:b/>
        </w:rPr>
      </w:pPr>
      <w:r>
        <w:br w:type="page"/>
      </w:r>
    </w:p>
    <w:p w:rsidR="000430A4" w:rsidRPr="00AE5EDB" w:rsidRDefault="000430A4" w:rsidP="000430A4">
      <w:pPr>
        <w:pStyle w:val="Heading3"/>
      </w:pPr>
      <w:r w:rsidRPr="00AE5EDB">
        <w:lastRenderedPageBreak/>
        <w:t>Figure 4: Level of Disclosure</w:t>
      </w:r>
    </w:p>
    <w:p w:rsidR="000430A4" w:rsidRDefault="000430A4" w:rsidP="000430A4">
      <w:pPr>
        <w:spacing w:line="240" w:lineRule="auto"/>
        <w:rPr>
          <w:sz w:val="24"/>
          <w:szCs w:val="24"/>
        </w:rPr>
      </w:pPr>
      <w:r w:rsidRPr="00EF1C0F">
        <w:rPr>
          <w:noProof/>
          <w:sz w:val="24"/>
          <w:szCs w:val="24"/>
        </w:rPr>
        <w:drawing>
          <wp:inline distT="0" distB="0" distL="0" distR="0">
            <wp:extent cx="5895833" cy="3759958"/>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30A4" w:rsidRPr="00C754D7" w:rsidRDefault="000430A4" w:rsidP="000430A4">
      <w:pPr>
        <w:pStyle w:val="Heading4"/>
      </w:pPr>
      <w:r>
        <w:t>Exemptions</w:t>
      </w:r>
    </w:p>
    <w:p w:rsidR="000430A4" w:rsidRDefault="000430A4" w:rsidP="000430A4">
      <w:pPr>
        <w:jc w:val="both"/>
      </w:pPr>
      <w:r w:rsidRPr="00C754D7">
        <w:t xml:space="preserve">The </w:t>
      </w:r>
      <w:r>
        <w:t xml:space="preserve">average </w:t>
      </w:r>
      <w:r w:rsidRPr="00C754D7">
        <w:t>number of exemptions</w:t>
      </w:r>
      <w:r>
        <w:t xml:space="preserve"> </w:t>
      </w:r>
      <w:r w:rsidRPr="00C754D7">
        <w:t xml:space="preserve">used per completed </w:t>
      </w:r>
      <w:r>
        <w:t>request decreased in 2014-2015 from 1.05 in 2013-2014 to 0.75 in 2014-2015</w:t>
      </w:r>
      <w:r w:rsidRPr="00126739">
        <w:t xml:space="preserve"> (see Table 2). The most used exemptions for this reporting period were section 16 (Law Enforcement and Investigations) </w:t>
      </w:r>
      <w:r>
        <w:t>(36.6</w:t>
      </w:r>
      <w:r w:rsidRPr="00126739">
        <w:t>%), section 19 (Personal Information) (29</w:t>
      </w:r>
      <w:r>
        <w:t>.2</w:t>
      </w:r>
      <w:r w:rsidRPr="00126739">
        <w:t>%), and section 15 (International Affairs</w:t>
      </w:r>
      <w:r>
        <w:t xml:space="preserve"> and Defence</w:t>
      </w:r>
      <w:r w:rsidRPr="00126739">
        <w:t>) (12</w:t>
      </w:r>
      <w:r>
        <w:t>.2</w:t>
      </w:r>
      <w:r w:rsidRPr="00126739">
        <w:t>%).</w:t>
      </w:r>
    </w:p>
    <w:p w:rsidR="000430A4" w:rsidRPr="007A5231" w:rsidRDefault="000430A4" w:rsidP="000430A4">
      <w:pPr>
        <w:pStyle w:val="Heading3"/>
      </w:pPr>
      <w:r>
        <w:t>Table 2</w:t>
      </w:r>
      <w:r w:rsidRPr="007A5231">
        <w:t>: Exemptions</w:t>
      </w:r>
    </w:p>
    <w:tbl>
      <w:tblPr>
        <w:tblStyle w:val="LightShading-Accent1"/>
        <w:tblW w:w="9356" w:type="dxa"/>
        <w:tblInd w:w="108" w:type="dxa"/>
        <w:tblLook w:val="04A0"/>
      </w:tblPr>
      <w:tblGrid>
        <w:gridCol w:w="4536"/>
        <w:gridCol w:w="1418"/>
        <w:gridCol w:w="1559"/>
        <w:gridCol w:w="1843"/>
      </w:tblGrid>
      <w:tr w:rsidR="000430A4" w:rsidRPr="00C23205" w:rsidTr="002F32F0">
        <w:trPr>
          <w:cnfStyle w:val="100000000000"/>
          <w:trHeight w:val="270"/>
        </w:trPr>
        <w:tc>
          <w:tcPr>
            <w:cnfStyle w:val="001000000000"/>
            <w:tcW w:w="4536" w:type="dxa"/>
            <w:tcBorders>
              <w:top w:val="single" w:sz="8" w:space="0" w:color="auto"/>
              <w:left w:val="single" w:sz="8" w:space="0" w:color="auto"/>
              <w:bottom w:val="single" w:sz="8" w:space="0" w:color="auto"/>
            </w:tcBorders>
            <w:noWrap/>
            <w:hideMark/>
          </w:tcPr>
          <w:p w:rsidR="000430A4" w:rsidRPr="00C23205" w:rsidRDefault="000430A4" w:rsidP="002F32F0">
            <w:pPr>
              <w:contextualSpacing/>
              <w:rPr>
                <w:rFonts w:ascii="Calibri" w:eastAsia="Times New Roman" w:hAnsi="Calibri" w:cs="Times New Roman"/>
                <w:color w:val="000000"/>
              </w:rPr>
            </w:pPr>
            <w:r>
              <w:rPr>
                <w:rFonts w:ascii="Calibri" w:eastAsia="Times New Roman" w:hAnsi="Calibri" w:cs="Times New Roman"/>
                <w:color w:val="000000"/>
              </w:rPr>
              <w:t>Exemptions</w:t>
            </w:r>
          </w:p>
        </w:tc>
        <w:tc>
          <w:tcPr>
            <w:tcW w:w="1418" w:type="dxa"/>
            <w:tcBorders>
              <w:top w:val="single" w:sz="8" w:space="0" w:color="auto"/>
              <w:bottom w:val="single" w:sz="8" w:space="0" w:color="auto"/>
            </w:tcBorders>
            <w:noWrap/>
            <w:hideMark/>
          </w:tcPr>
          <w:p w:rsidR="000430A4" w:rsidRPr="00C23205" w:rsidRDefault="000430A4" w:rsidP="002F32F0">
            <w:pPr>
              <w:contextualSpacing/>
              <w:jc w:val="center"/>
              <w:cnfStyle w:val="100000000000"/>
              <w:rPr>
                <w:rFonts w:ascii="Calibri" w:eastAsia="Times New Roman" w:hAnsi="Calibri" w:cs="Times New Roman"/>
                <w:color w:val="000000"/>
              </w:rPr>
            </w:pPr>
            <w:r w:rsidRPr="00C23205">
              <w:rPr>
                <w:rFonts w:ascii="Calibri" w:eastAsia="Times New Roman" w:hAnsi="Calibri" w:cs="Times New Roman"/>
                <w:color w:val="000000"/>
              </w:rPr>
              <w:t>2012-2013</w:t>
            </w:r>
          </w:p>
        </w:tc>
        <w:tc>
          <w:tcPr>
            <w:tcW w:w="1559" w:type="dxa"/>
            <w:tcBorders>
              <w:top w:val="single" w:sz="8" w:space="0" w:color="auto"/>
              <w:bottom w:val="single" w:sz="8" w:space="0" w:color="auto"/>
            </w:tcBorders>
            <w:noWrap/>
            <w:hideMark/>
          </w:tcPr>
          <w:p w:rsidR="000430A4" w:rsidRPr="00C23205" w:rsidRDefault="000430A4" w:rsidP="002F32F0">
            <w:pPr>
              <w:contextualSpacing/>
              <w:jc w:val="center"/>
              <w:cnfStyle w:val="100000000000"/>
              <w:rPr>
                <w:rFonts w:ascii="Calibri" w:eastAsia="Times New Roman" w:hAnsi="Calibri" w:cs="Times New Roman"/>
                <w:color w:val="000000"/>
              </w:rPr>
            </w:pPr>
            <w:r w:rsidRPr="00C23205">
              <w:rPr>
                <w:rFonts w:ascii="Calibri" w:eastAsia="Times New Roman" w:hAnsi="Calibri" w:cs="Times New Roman"/>
                <w:color w:val="000000"/>
              </w:rPr>
              <w:t>2013-2014</w:t>
            </w:r>
          </w:p>
        </w:tc>
        <w:tc>
          <w:tcPr>
            <w:tcW w:w="1843" w:type="dxa"/>
            <w:tcBorders>
              <w:top w:val="single" w:sz="8" w:space="0" w:color="auto"/>
              <w:bottom w:val="single" w:sz="8" w:space="0" w:color="auto"/>
              <w:right w:val="single" w:sz="8" w:space="0" w:color="auto"/>
            </w:tcBorders>
            <w:noWrap/>
            <w:hideMark/>
          </w:tcPr>
          <w:p w:rsidR="000430A4" w:rsidRPr="00C23205" w:rsidRDefault="000430A4" w:rsidP="002F32F0">
            <w:pPr>
              <w:contextualSpacing/>
              <w:jc w:val="center"/>
              <w:cnfStyle w:val="100000000000"/>
              <w:rPr>
                <w:rFonts w:ascii="Calibri" w:eastAsia="Times New Roman" w:hAnsi="Calibri" w:cs="Times New Roman"/>
                <w:color w:val="000000"/>
              </w:rPr>
            </w:pPr>
            <w:r w:rsidRPr="00C23205">
              <w:rPr>
                <w:rFonts w:ascii="Calibri" w:eastAsia="Times New Roman" w:hAnsi="Calibri" w:cs="Times New Roman"/>
                <w:color w:val="000000"/>
              </w:rPr>
              <w:t>2014-2015</w:t>
            </w:r>
          </w:p>
        </w:tc>
      </w:tr>
      <w:tr w:rsidR="000430A4" w:rsidRPr="00C23205" w:rsidTr="002F32F0">
        <w:trPr>
          <w:cnfStyle w:val="000000100000"/>
          <w:trHeight w:val="468"/>
        </w:trPr>
        <w:tc>
          <w:tcPr>
            <w:cnfStyle w:val="001000000000"/>
            <w:tcW w:w="4536" w:type="dxa"/>
            <w:tcBorders>
              <w:top w:val="single" w:sz="8" w:space="0" w:color="auto"/>
              <w:left w:val="single" w:sz="8" w:space="0" w:color="auto"/>
            </w:tcBorders>
            <w:hideMark/>
          </w:tcPr>
          <w:p w:rsidR="000430A4" w:rsidRPr="00C23205" w:rsidRDefault="000430A4" w:rsidP="002F32F0">
            <w:pPr>
              <w:contextualSpacing/>
              <w:rPr>
                <w:rFonts w:ascii="Calibri" w:eastAsia="Times New Roman" w:hAnsi="Calibri" w:cs="Times New Roman"/>
                <w:color w:val="000000"/>
              </w:rPr>
            </w:pPr>
            <w:r>
              <w:rPr>
                <w:rFonts w:ascii="Calibri" w:eastAsia="Times New Roman" w:hAnsi="Calibri" w:cs="Times New Roman"/>
                <w:color w:val="000000"/>
              </w:rPr>
              <w:t>Total number of e</w:t>
            </w:r>
            <w:r w:rsidRPr="00C23205">
              <w:rPr>
                <w:rFonts w:ascii="Calibri" w:eastAsia="Times New Roman" w:hAnsi="Calibri" w:cs="Times New Roman"/>
                <w:color w:val="000000"/>
              </w:rPr>
              <w:t xml:space="preserve">xemptions </w:t>
            </w:r>
          </w:p>
        </w:tc>
        <w:tc>
          <w:tcPr>
            <w:tcW w:w="1418" w:type="dxa"/>
            <w:tcBorders>
              <w:top w:val="single" w:sz="8" w:space="0" w:color="auto"/>
            </w:tcBorders>
            <w:noWrap/>
            <w:hideMark/>
          </w:tcPr>
          <w:p w:rsidR="000430A4" w:rsidRPr="00C23205" w:rsidRDefault="000430A4" w:rsidP="002F32F0">
            <w:pPr>
              <w:contextualSpacing/>
              <w:jc w:val="center"/>
              <w:cnfStyle w:val="000000100000"/>
              <w:rPr>
                <w:rFonts w:ascii="Calibri" w:eastAsia="Times New Roman" w:hAnsi="Calibri" w:cs="Times New Roman"/>
                <w:color w:val="000000"/>
              </w:rPr>
            </w:pPr>
            <w:r w:rsidRPr="00C23205">
              <w:rPr>
                <w:rFonts w:ascii="Calibri" w:eastAsia="Times New Roman" w:hAnsi="Calibri" w:cs="Times New Roman"/>
                <w:color w:val="000000"/>
              </w:rPr>
              <w:t>2</w:t>
            </w:r>
            <w:r w:rsidR="00F257F8">
              <w:rPr>
                <w:rFonts w:ascii="Calibri" w:eastAsia="Times New Roman" w:hAnsi="Calibri" w:cs="Times New Roman"/>
                <w:color w:val="000000"/>
              </w:rPr>
              <w:t>,</w:t>
            </w:r>
            <w:r w:rsidRPr="00C23205">
              <w:rPr>
                <w:rFonts w:ascii="Calibri" w:eastAsia="Times New Roman" w:hAnsi="Calibri" w:cs="Times New Roman"/>
                <w:color w:val="000000"/>
              </w:rPr>
              <w:t>983</w:t>
            </w:r>
          </w:p>
        </w:tc>
        <w:tc>
          <w:tcPr>
            <w:tcW w:w="1559" w:type="dxa"/>
            <w:tcBorders>
              <w:top w:val="single" w:sz="8" w:space="0" w:color="auto"/>
            </w:tcBorders>
            <w:noWrap/>
            <w:hideMark/>
          </w:tcPr>
          <w:p w:rsidR="000430A4" w:rsidRPr="00C23205" w:rsidRDefault="000430A4" w:rsidP="002F32F0">
            <w:pPr>
              <w:contextualSpacing/>
              <w:jc w:val="center"/>
              <w:cnfStyle w:val="000000100000"/>
              <w:rPr>
                <w:rFonts w:ascii="Calibri" w:eastAsia="Times New Roman" w:hAnsi="Calibri" w:cs="Times New Roman"/>
                <w:color w:val="000000"/>
              </w:rPr>
            </w:pPr>
            <w:r w:rsidRPr="00C23205">
              <w:rPr>
                <w:rFonts w:ascii="Calibri" w:eastAsia="Times New Roman" w:hAnsi="Calibri" w:cs="Times New Roman"/>
                <w:color w:val="000000"/>
              </w:rPr>
              <w:t>4</w:t>
            </w:r>
            <w:r w:rsidR="00F257F8">
              <w:rPr>
                <w:rFonts w:ascii="Calibri" w:eastAsia="Times New Roman" w:hAnsi="Calibri" w:cs="Times New Roman"/>
                <w:color w:val="000000"/>
              </w:rPr>
              <w:t>,</w:t>
            </w:r>
            <w:r w:rsidRPr="00C23205">
              <w:rPr>
                <w:rFonts w:ascii="Calibri" w:eastAsia="Times New Roman" w:hAnsi="Calibri" w:cs="Times New Roman"/>
                <w:color w:val="000000"/>
              </w:rPr>
              <w:t>298</w:t>
            </w:r>
          </w:p>
        </w:tc>
        <w:tc>
          <w:tcPr>
            <w:tcW w:w="1843" w:type="dxa"/>
            <w:tcBorders>
              <w:top w:val="single" w:sz="8" w:space="0" w:color="auto"/>
              <w:right w:val="single" w:sz="8" w:space="0" w:color="auto"/>
            </w:tcBorders>
            <w:noWrap/>
            <w:hideMark/>
          </w:tcPr>
          <w:p w:rsidR="000430A4" w:rsidRPr="00C23205" w:rsidRDefault="000430A4" w:rsidP="002F32F0">
            <w:pPr>
              <w:contextualSpacing/>
              <w:jc w:val="center"/>
              <w:cnfStyle w:val="000000100000"/>
              <w:rPr>
                <w:rFonts w:ascii="Calibri" w:eastAsia="Times New Roman" w:hAnsi="Calibri" w:cs="Times New Roman"/>
                <w:color w:val="000000"/>
              </w:rPr>
            </w:pPr>
            <w:r w:rsidRPr="00C23205">
              <w:rPr>
                <w:rFonts w:ascii="Calibri" w:eastAsia="Times New Roman" w:hAnsi="Calibri" w:cs="Times New Roman"/>
                <w:color w:val="000000"/>
              </w:rPr>
              <w:t>5</w:t>
            </w:r>
            <w:r w:rsidR="00F257F8">
              <w:rPr>
                <w:rFonts w:ascii="Calibri" w:eastAsia="Times New Roman" w:hAnsi="Calibri" w:cs="Times New Roman"/>
                <w:color w:val="000000"/>
              </w:rPr>
              <w:t>,</w:t>
            </w:r>
            <w:r w:rsidRPr="00C23205">
              <w:rPr>
                <w:rFonts w:ascii="Calibri" w:eastAsia="Times New Roman" w:hAnsi="Calibri" w:cs="Times New Roman"/>
                <w:color w:val="000000"/>
              </w:rPr>
              <w:t>121</w:t>
            </w:r>
          </w:p>
        </w:tc>
      </w:tr>
      <w:tr w:rsidR="000430A4" w:rsidRPr="00C23205" w:rsidTr="002F32F0">
        <w:trPr>
          <w:trHeight w:val="391"/>
        </w:trPr>
        <w:tc>
          <w:tcPr>
            <w:cnfStyle w:val="001000000000"/>
            <w:tcW w:w="4536" w:type="dxa"/>
            <w:tcBorders>
              <w:left w:val="single" w:sz="8" w:space="0" w:color="auto"/>
            </w:tcBorders>
            <w:hideMark/>
          </w:tcPr>
          <w:p w:rsidR="000430A4" w:rsidRPr="00A21F29" w:rsidRDefault="000430A4" w:rsidP="002F32F0">
            <w:pPr>
              <w:rPr>
                <w:rFonts w:ascii="Calibri" w:hAnsi="Calibri"/>
                <w:color w:val="000000"/>
              </w:rPr>
            </w:pPr>
            <w:r>
              <w:rPr>
                <w:rFonts w:ascii="Calibri" w:hAnsi="Calibri"/>
                <w:color w:val="000000"/>
              </w:rPr>
              <w:t>Total number of completed requests</w:t>
            </w:r>
          </w:p>
        </w:tc>
        <w:tc>
          <w:tcPr>
            <w:tcW w:w="1418" w:type="dxa"/>
            <w:noWrap/>
            <w:hideMark/>
          </w:tcPr>
          <w:p w:rsidR="000430A4" w:rsidRPr="003C5FA7" w:rsidRDefault="000430A4" w:rsidP="002F32F0">
            <w:pPr>
              <w:jc w:val="center"/>
              <w:cnfStyle w:val="000000000000"/>
              <w:rPr>
                <w:rFonts w:ascii="Calibri" w:hAnsi="Calibri"/>
                <w:color w:val="000000"/>
              </w:rPr>
            </w:pPr>
            <w:r>
              <w:rPr>
                <w:rFonts w:ascii="Calibri" w:hAnsi="Calibri"/>
                <w:color w:val="000000"/>
              </w:rPr>
              <w:t>2</w:t>
            </w:r>
            <w:r w:rsidR="00F257F8">
              <w:rPr>
                <w:rFonts w:ascii="Calibri" w:hAnsi="Calibri"/>
                <w:color w:val="000000"/>
              </w:rPr>
              <w:t>,</w:t>
            </w:r>
            <w:r>
              <w:rPr>
                <w:rFonts w:ascii="Calibri" w:hAnsi="Calibri"/>
                <w:color w:val="000000"/>
              </w:rPr>
              <w:t>891</w:t>
            </w:r>
          </w:p>
        </w:tc>
        <w:tc>
          <w:tcPr>
            <w:tcW w:w="1559" w:type="dxa"/>
            <w:noWrap/>
            <w:hideMark/>
          </w:tcPr>
          <w:p w:rsidR="000430A4" w:rsidRPr="003C5FA7" w:rsidRDefault="000430A4" w:rsidP="002F32F0">
            <w:pPr>
              <w:jc w:val="center"/>
              <w:cnfStyle w:val="000000000000"/>
              <w:rPr>
                <w:rFonts w:ascii="Calibri" w:hAnsi="Calibri"/>
                <w:color w:val="000000"/>
              </w:rPr>
            </w:pPr>
            <w:r>
              <w:rPr>
                <w:rFonts w:ascii="Calibri" w:hAnsi="Calibri"/>
                <w:color w:val="000000"/>
              </w:rPr>
              <w:t>4</w:t>
            </w:r>
            <w:r w:rsidR="00F257F8">
              <w:rPr>
                <w:rFonts w:ascii="Calibri" w:hAnsi="Calibri"/>
                <w:color w:val="000000"/>
              </w:rPr>
              <w:t>,</w:t>
            </w:r>
            <w:r>
              <w:rPr>
                <w:rFonts w:ascii="Calibri" w:hAnsi="Calibri"/>
                <w:color w:val="000000"/>
              </w:rPr>
              <w:t>079</w:t>
            </w:r>
          </w:p>
        </w:tc>
        <w:tc>
          <w:tcPr>
            <w:tcW w:w="1843" w:type="dxa"/>
            <w:tcBorders>
              <w:right w:val="single" w:sz="8" w:space="0" w:color="auto"/>
            </w:tcBorders>
            <w:noWrap/>
            <w:hideMark/>
          </w:tcPr>
          <w:p w:rsidR="000430A4" w:rsidRPr="00A21F29" w:rsidRDefault="000430A4" w:rsidP="002F32F0">
            <w:pPr>
              <w:jc w:val="center"/>
              <w:cnfStyle w:val="000000000000"/>
              <w:rPr>
                <w:rFonts w:ascii="Calibri" w:eastAsia="Times New Roman" w:hAnsi="Calibri" w:cs="Times New Roman"/>
              </w:rPr>
            </w:pPr>
            <w:r>
              <w:rPr>
                <w:rFonts w:ascii="Calibri" w:hAnsi="Calibri"/>
                <w:color w:val="000000"/>
              </w:rPr>
              <w:t>6</w:t>
            </w:r>
            <w:r w:rsidR="00F257F8">
              <w:rPr>
                <w:rFonts w:ascii="Calibri" w:hAnsi="Calibri"/>
                <w:color w:val="000000"/>
              </w:rPr>
              <w:t>,</w:t>
            </w:r>
            <w:r>
              <w:rPr>
                <w:rFonts w:ascii="Calibri" w:hAnsi="Calibri"/>
                <w:color w:val="000000"/>
              </w:rPr>
              <w:t>802</w:t>
            </w:r>
          </w:p>
        </w:tc>
      </w:tr>
      <w:tr w:rsidR="000430A4" w:rsidRPr="00C23205" w:rsidTr="002F32F0">
        <w:trPr>
          <w:cnfStyle w:val="000000100000"/>
          <w:trHeight w:val="508"/>
        </w:trPr>
        <w:tc>
          <w:tcPr>
            <w:cnfStyle w:val="001000000000"/>
            <w:tcW w:w="4536" w:type="dxa"/>
            <w:tcBorders>
              <w:left w:val="single" w:sz="8" w:space="0" w:color="auto"/>
              <w:bottom w:val="single" w:sz="8" w:space="0" w:color="auto"/>
            </w:tcBorders>
            <w:hideMark/>
          </w:tcPr>
          <w:p w:rsidR="000430A4" w:rsidRPr="00C23205" w:rsidRDefault="000430A4" w:rsidP="002F32F0">
            <w:pPr>
              <w:rPr>
                <w:rFonts w:ascii="Calibri" w:eastAsia="Times New Roman" w:hAnsi="Calibri" w:cs="Times New Roman"/>
                <w:color w:val="000000"/>
              </w:rPr>
            </w:pPr>
            <w:r w:rsidRPr="00C23205">
              <w:rPr>
                <w:rFonts w:ascii="Calibri" w:eastAsia="Times New Roman" w:hAnsi="Calibri" w:cs="Times New Roman"/>
                <w:color w:val="000000"/>
              </w:rPr>
              <w:t>Average number of exemption</w:t>
            </w:r>
            <w:r>
              <w:rPr>
                <w:rFonts w:ascii="Calibri" w:eastAsia="Times New Roman" w:hAnsi="Calibri" w:cs="Times New Roman"/>
                <w:color w:val="000000"/>
              </w:rPr>
              <w:t>s</w:t>
            </w:r>
            <w:r w:rsidRPr="00C23205">
              <w:rPr>
                <w:rFonts w:ascii="Calibri" w:eastAsia="Times New Roman" w:hAnsi="Calibri" w:cs="Times New Roman"/>
                <w:color w:val="000000"/>
              </w:rPr>
              <w:t xml:space="preserve"> per complete</w:t>
            </w:r>
            <w:r>
              <w:rPr>
                <w:rFonts w:ascii="Calibri" w:eastAsia="Times New Roman" w:hAnsi="Calibri" w:cs="Times New Roman"/>
                <w:color w:val="000000"/>
              </w:rPr>
              <w:t>d</w:t>
            </w:r>
            <w:r w:rsidRPr="00C23205">
              <w:rPr>
                <w:rFonts w:ascii="Calibri" w:eastAsia="Times New Roman" w:hAnsi="Calibri" w:cs="Times New Roman"/>
                <w:color w:val="000000"/>
              </w:rPr>
              <w:t xml:space="preserve"> request </w:t>
            </w:r>
          </w:p>
        </w:tc>
        <w:tc>
          <w:tcPr>
            <w:tcW w:w="1418" w:type="dxa"/>
            <w:tcBorders>
              <w:bottom w:val="single" w:sz="8" w:space="0" w:color="auto"/>
            </w:tcBorders>
            <w:noWrap/>
            <w:hideMark/>
          </w:tcPr>
          <w:p w:rsidR="000430A4" w:rsidRPr="00C23205" w:rsidRDefault="000430A4" w:rsidP="002F32F0">
            <w:pPr>
              <w:jc w:val="center"/>
              <w:cnfStyle w:val="000000100000"/>
              <w:rPr>
                <w:rFonts w:ascii="Calibri" w:eastAsia="Times New Roman" w:hAnsi="Calibri" w:cs="Times New Roman"/>
                <w:color w:val="000000"/>
              </w:rPr>
            </w:pPr>
            <w:r w:rsidRPr="00C23205">
              <w:rPr>
                <w:rFonts w:ascii="Calibri" w:eastAsia="Times New Roman" w:hAnsi="Calibri" w:cs="Times New Roman"/>
                <w:color w:val="000000"/>
              </w:rPr>
              <w:t>1.03</w:t>
            </w:r>
          </w:p>
        </w:tc>
        <w:tc>
          <w:tcPr>
            <w:tcW w:w="1559" w:type="dxa"/>
            <w:tcBorders>
              <w:bottom w:val="single" w:sz="8" w:space="0" w:color="auto"/>
            </w:tcBorders>
            <w:noWrap/>
            <w:hideMark/>
          </w:tcPr>
          <w:p w:rsidR="000430A4" w:rsidRPr="00C23205" w:rsidRDefault="000430A4" w:rsidP="002F32F0">
            <w:pPr>
              <w:jc w:val="center"/>
              <w:cnfStyle w:val="000000100000"/>
              <w:rPr>
                <w:rFonts w:ascii="Calibri" w:eastAsia="Times New Roman" w:hAnsi="Calibri" w:cs="Times New Roman"/>
                <w:color w:val="000000"/>
              </w:rPr>
            </w:pPr>
            <w:r w:rsidRPr="00C23205">
              <w:rPr>
                <w:rFonts w:ascii="Calibri" w:eastAsia="Times New Roman" w:hAnsi="Calibri" w:cs="Times New Roman"/>
                <w:color w:val="000000"/>
              </w:rPr>
              <w:t>1.05</w:t>
            </w:r>
          </w:p>
        </w:tc>
        <w:tc>
          <w:tcPr>
            <w:tcW w:w="1843" w:type="dxa"/>
            <w:tcBorders>
              <w:bottom w:val="single" w:sz="8" w:space="0" w:color="auto"/>
              <w:right w:val="single" w:sz="8" w:space="0" w:color="auto"/>
            </w:tcBorders>
            <w:noWrap/>
            <w:hideMark/>
          </w:tcPr>
          <w:p w:rsidR="000430A4" w:rsidRPr="00C23205" w:rsidRDefault="000430A4" w:rsidP="002F32F0">
            <w:pPr>
              <w:jc w:val="center"/>
              <w:cnfStyle w:val="000000100000"/>
              <w:rPr>
                <w:rFonts w:ascii="Calibri" w:eastAsia="Times New Roman" w:hAnsi="Calibri" w:cs="Times New Roman"/>
                <w:color w:val="000000"/>
              </w:rPr>
            </w:pPr>
            <w:r w:rsidRPr="00C23205">
              <w:rPr>
                <w:rFonts w:ascii="Calibri" w:eastAsia="Times New Roman" w:hAnsi="Calibri" w:cs="Times New Roman"/>
                <w:color w:val="000000"/>
              </w:rPr>
              <w:t>0.75</w:t>
            </w:r>
          </w:p>
        </w:tc>
      </w:tr>
    </w:tbl>
    <w:p w:rsidR="000430A4" w:rsidRPr="003C5FA7" w:rsidRDefault="000430A4" w:rsidP="000430A4">
      <w:pPr>
        <w:pStyle w:val="Heading2"/>
        <w:spacing w:before="240"/>
      </w:pPr>
      <w:r w:rsidRPr="003C5FA7">
        <w:t>Complaints at the OIC</w:t>
      </w:r>
    </w:p>
    <w:p w:rsidR="000430A4" w:rsidRPr="00F46FA1" w:rsidRDefault="000430A4" w:rsidP="000430A4">
      <w:pPr>
        <w:jc w:val="both"/>
      </w:pPr>
      <w:r>
        <w:t>The number of complaints received</w:t>
      </w:r>
      <w:r>
        <w:rPr>
          <w:rStyle w:val="FootnoteReference"/>
        </w:rPr>
        <w:footnoteReference w:id="11"/>
      </w:r>
      <w:r>
        <w:t xml:space="preserve"> against CBSA was 78 in 2014-2015 compared to 106 in the previous period. A substantial decrease is observed in the proportion of administrative complaints, </w:t>
      </w:r>
      <w:r>
        <w:lastRenderedPageBreak/>
        <w:t>which dropped from 46.2% in 2013-2014 to 28.2% in the current reporting period. In 2014-2015, 20 complaints were well-founded resolved, 9 were discontinued and 17 were pending resolution.</w:t>
      </w:r>
    </w:p>
    <w:p w:rsidR="000430A4" w:rsidRDefault="000430A4">
      <w:r>
        <w:br w:type="page"/>
      </w:r>
    </w:p>
    <w:p w:rsidR="000430A4" w:rsidRPr="00E809D1" w:rsidRDefault="000430A4" w:rsidP="000430A4">
      <w:pPr>
        <w:pStyle w:val="Heading1"/>
      </w:pPr>
      <w:r w:rsidRPr="00E809D1">
        <w:lastRenderedPageBreak/>
        <w:t>Royal Canadian Mounted Police</w:t>
      </w:r>
    </w:p>
    <w:p w:rsidR="000430A4" w:rsidRPr="00E809D1" w:rsidRDefault="000430A4" w:rsidP="000430A4">
      <w:pPr>
        <w:pStyle w:val="Heading2"/>
      </w:pPr>
      <w:r w:rsidRPr="00E809D1">
        <w:t>Overall performance</w:t>
      </w:r>
      <w:r>
        <w:rPr>
          <w:rStyle w:val="FootnoteReference"/>
        </w:rPr>
        <w:footnoteReference w:id="12"/>
      </w:r>
    </w:p>
    <w:p w:rsidR="000430A4" w:rsidRPr="00DA3755" w:rsidRDefault="000430A4" w:rsidP="000430A4">
      <w:pPr>
        <w:jc w:val="both"/>
      </w:pPr>
      <w:r>
        <w:t xml:space="preserve">The Royal Canadian Mounted Police (RCMP) showed improvement in 2014-2015. </w:t>
      </w:r>
      <w:r w:rsidRPr="00314586">
        <w:t xml:space="preserve">Despite a substantial increase of 93.2% in the number of requests received in the previous year, the </w:t>
      </w:r>
      <w:r>
        <w:t>RCMP increased the proportion</w:t>
      </w:r>
      <w:r w:rsidRPr="00314586">
        <w:t xml:space="preserve"> of requests completed within 30 days by 30.7%. This report provides comparative</w:t>
      </w:r>
      <w:r w:rsidRPr="00DA3755">
        <w:t xml:space="preserve"> statistics for the last three periods (2012-2015)</w:t>
      </w:r>
      <w:r>
        <w:t>.</w:t>
      </w:r>
    </w:p>
    <w:p w:rsidR="000430A4" w:rsidRPr="00E809D1" w:rsidRDefault="000430A4" w:rsidP="000430A4">
      <w:pPr>
        <w:pStyle w:val="Heading2"/>
      </w:pPr>
      <w:r w:rsidRPr="00E809D1">
        <w:t>Workload</w:t>
      </w:r>
    </w:p>
    <w:p w:rsidR="000430A4" w:rsidRDefault="000430A4" w:rsidP="000430A4">
      <w:pPr>
        <w:jc w:val="both"/>
      </w:pPr>
      <w:r>
        <w:t xml:space="preserve">The </w:t>
      </w:r>
      <w:r w:rsidRPr="00DA3755">
        <w:t xml:space="preserve">RCMP </w:t>
      </w:r>
      <w:r w:rsidR="00F257F8">
        <w:t>received 3,</w:t>
      </w:r>
      <w:r>
        <w:t xml:space="preserve">343 requests under the </w:t>
      </w:r>
      <w:r w:rsidRPr="00FF246C">
        <w:rPr>
          <w:i/>
        </w:rPr>
        <w:t>Access to Information Act</w:t>
      </w:r>
      <w:r>
        <w:t xml:space="preserve"> (the Act), representing 4.9% of total requests received across government in 2014-2015. In general, we observe a substantial increase in the number of requests since 2012 (see Table 1). </w:t>
      </w:r>
      <w:r w:rsidRPr="00B677C0">
        <w:t>The majority of requests received by the RCMP were from the public</w:t>
      </w:r>
      <w:r>
        <w:t xml:space="preserve"> </w:t>
      </w:r>
      <w:r w:rsidRPr="00B677C0">
        <w:t>(</w:t>
      </w:r>
      <w:r>
        <w:t>70.4</w:t>
      </w:r>
      <w:r w:rsidRPr="00B677C0">
        <w:t xml:space="preserve">%), followed by the </w:t>
      </w:r>
      <w:r>
        <w:t xml:space="preserve">media </w:t>
      </w:r>
      <w:r w:rsidRPr="00B677C0">
        <w:t>(</w:t>
      </w:r>
      <w:r>
        <w:t>14.4</w:t>
      </w:r>
      <w:r w:rsidRPr="00B677C0">
        <w:t xml:space="preserve">%). </w:t>
      </w:r>
      <w:r>
        <w:t>The request inventory in these two categories</w:t>
      </w:r>
      <w:r w:rsidRPr="00B677C0">
        <w:t xml:space="preserve"> increased by </w:t>
      </w:r>
      <w:r>
        <w:t>92.6</w:t>
      </w:r>
      <w:r w:rsidRPr="00B677C0">
        <w:t>%</w:t>
      </w:r>
      <w:r>
        <w:t xml:space="preserve"> and 51.1% respectively from 2013-2014.</w:t>
      </w:r>
    </w:p>
    <w:p w:rsidR="000430A4" w:rsidRPr="00E60B0E" w:rsidRDefault="000430A4" w:rsidP="000430A4">
      <w:pPr>
        <w:jc w:val="both"/>
      </w:pPr>
      <w:r w:rsidRPr="00606C48">
        <w:t xml:space="preserve">The RCMP completed </w:t>
      </w:r>
      <w:r>
        <w:t>3,356</w:t>
      </w:r>
      <w:r w:rsidRPr="00606C48">
        <w:t xml:space="preserve"> requests this reporting period. The completion rate</w:t>
      </w:r>
      <w:r>
        <w:rPr>
          <w:rStyle w:val="FootnoteReference"/>
        </w:rPr>
        <w:footnoteReference w:id="13"/>
      </w:r>
      <w:r w:rsidRPr="00606C48">
        <w:t xml:space="preserve"> was </w:t>
      </w:r>
      <w:r>
        <w:t>84.6</w:t>
      </w:r>
      <w:r w:rsidRPr="00606C48">
        <w:t>%</w:t>
      </w:r>
      <w:r>
        <w:t xml:space="preserve">, which is approximately the same as the government-wide rate of 85.1%. In 2013-2014, the disclosure rate was 73.2%. The RCMP also </w:t>
      </w:r>
      <w:r w:rsidRPr="00606C48">
        <w:t xml:space="preserve">received </w:t>
      </w:r>
      <w:r>
        <w:t xml:space="preserve">197 </w:t>
      </w:r>
      <w:r w:rsidRPr="00606C48">
        <w:t>informal requests</w:t>
      </w:r>
      <w:r>
        <w:t xml:space="preserve"> in 2014-2015 and 95.4% were completed within 30 days. The</w:t>
      </w:r>
      <w:r w:rsidRPr="00606C48">
        <w:t xml:space="preserve"> number of consultations</w:t>
      </w:r>
      <w:r>
        <w:t xml:space="preserve"> received by the RCMP</w:t>
      </w:r>
      <w:r w:rsidRPr="00606C48">
        <w:t xml:space="preserve"> from other</w:t>
      </w:r>
      <w:r>
        <w:t xml:space="preserve"> federal</w:t>
      </w:r>
      <w:r w:rsidRPr="00606C48">
        <w:t xml:space="preserve"> government institutions </w:t>
      </w:r>
      <w:r w:rsidRPr="00E60B0E">
        <w:t>decreased from 538</w:t>
      </w:r>
      <w:r>
        <w:t xml:space="preserve"> in 2013-2014</w:t>
      </w:r>
      <w:r w:rsidRPr="00E60B0E">
        <w:t xml:space="preserve"> to 459</w:t>
      </w:r>
      <w:r>
        <w:t xml:space="preserve"> in 2014-2015</w:t>
      </w:r>
      <w:r w:rsidRPr="00E60B0E">
        <w:t>, representing a decrease of 14.7</w:t>
      </w:r>
      <w:r>
        <w:t>%.</w:t>
      </w:r>
    </w:p>
    <w:p w:rsidR="000430A4" w:rsidRPr="00025136" w:rsidRDefault="000430A4" w:rsidP="000430A4">
      <w:pPr>
        <w:jc w:val="both"/>
      </w:pPr>
      <w:r w:rsidRPr="00E60B0E">
        <w:t>The total number of pages processed by the RCMP this reporting period was 646,785, which is higher than the 505,610 pages processed in 2013-2014. However, the average number of pages processed per completed request decreased from 360 in 2013-2014 to 229 in 2014-2015.</w:t>
      </w:r>
    </w:p>
    <w:p w:rsidR="000430A4" w:rsidRPr="00025136" w:rsidRDefault="000430A4" w:rsidP="000430A4">
      <w:pPr>
        <w:jc w:val="both"/>
      </w:pPr>
      <w:r w:rsidRPr="00025136">
        <w:t>The information released by the RCMP was mostly in electronic format</w:t>
      </w:r>
      <w:r>
        <w:t>: 1,395 requests in electronic format compared to 531</w:t>
      </w:r>
      <w:r w:rsidRPr="00025136">
        <w:t xml:space="preserve"> </w:t>
      </w:r>
      <w:r>
        <w:t xml:space="preserve">in </w:t>
      </w:r>
      <w:r w:rsidRPr="00025136">
        <w:t>paper format. We observed that the share of requests disclosed in a</w:t>
      </w:r>
      <w:r>
        <w:t>n</w:t>
      </w:r>
      <w:r w:rsidRPr="00025136">
        <w:t xml:space="preserve"> </w:t>
      </w:r>
      <w:r>
        <w:t xml:space="preserve">electronic </w:t>
      </w:r>
      <w:r w:rsidRPr="00025136">
        <w:t xml:space="preserve">format </w:t>
      </w:r>
      <w:r>
        <w:t xml:space="preserve">increased significantly </w:t>
      </w:r>
      <w:r w:rsidRPr="00025136">
        <w:t>compared to the previous year</w:t>
      </w:r>
      <w:r>
        <w:t xml:space="preserve"> (615 in paper and only 354 in electronic format).</w:t>
      </w:r>
    </w:p>
    <w:p w:rsidR="000430A4" w:rsidRPr="00E104D4" w:rsidRDefault="000430A4" w:rsidP="000430A4">
      <w:pPr>
        <w:pStyle w:val="Heading3"/>
      </w:pPr>
      <w:r w:rsidRPr="00E104D4">
        <w:t xml:space="preserve">Table 1: </w:t>
      </w:r>
      <w:r w:rsidRPr="00152051">
        <w:t>Workload</w:t>
      </w:r>
    </w:p>
    <w:tbl>
      <w:tblPr>
        <w:tblW w:w="9548" w:type="dxa"/>
        <w:tblInd w:w="98" w:type="dxa"/>
        <w:tblLook w:val="04A0"/>
      </w:tblPr>
      <w:tblGrid>
        <w:gridCol w:w="5210"/>
        <w:gridCol w:w="1446"/>
        <w:gridCol w:w="1446"/>
        <w:gridCol w:w="1446"/>
      </w:tblGrid>
      <w:tr w:rsidR="000430A4" w:rsidRPr="00983C35" w:rsidTr="002F32F0">
        <w:trPr>
          <w:trHeight w:val="302"/>
        </w:trPr>
        <w:tc>
          <w:tcPr>
            <w:tcW w:w="5210" w:type="dxa"/>
            <w:tcBorders>
              <w:top w:val="single" w:sz="4" w:space="0" w:color="auto"/>
              <w:left w:val="single" w:sz="4" w:space="0" w:color="auto"/>
              <w:bottom w:val="single" w:sz="8" w:space="0" w:color="auto"/>
              <w:right w:val="nil"/>
            </w:tcBorders>
            <w:shd w:val="clear" w:color="auto" w:fill="auto"/>
            <w:noWrap/>
            <w:vAlign w:val="bottom"/>
            <w:hideMark/>
          </w:tcPr>
          <w:p w:rsidR="000430A4" w:rsidRPr="00983C35" w:rsidRDefault="000430A4" w:rsidP="002F32F0">
            <w:pPr>
              <w:spacing w:after="0" w:line="240" w:lineRule="auto"/>
              <w:rPr>
                <w:rFonts w:ascii="Calibri" w:eastAsia="Times New Roman" w:hAnsi="Calibri" w:cs="Times New Roman"/>
                <w:color w:val="000000"/>
              </w:rPr>
            </w:pPr>
            <w:r w:rsidRPr="00983C35">
              <w:rPr>
                <w:rFonts w:ascii="Calibri" w:eastAsia="Times New Roman" w:hAnsi="Calibri" w:cs="Times New Roman"/>
                <w:color w:val="000000"/>
              </w:rPr>
              <w:t xml:space="preserve">Measures </w:t>
            </w:r>
          </w:p>
        </w:tc>
        <w:tc>
          <w:tcPr>
            <w:tcW w:w="1446" w:type="dxa"/>
            <w:tcBorders>
              <w:top w:val="single" w:sz="4" w:space="0" w:color="auto"/>
              <w:left w:val="nil"/>
              <w:bottom w:val="single" w:sz="8" w:space="0" w:color="auto"/>
              <w:right w:val="nil"/>
            </w:tcBorders>
            <w:shd w:val="clear" w:color="auto" w:fill="auto"/>
            <w:noWrap/>
            <w:vAlign w:val="bottom"/>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2012-2013</w:t>
            </w:r>
          </w:p>
        </w:tc>
        <w:tc>
          <w:tcPr>
            <w:tcW w:w="1446" w:type="dxa"/>
            <w:tcBorders>
              <w:top w:val="single" w:sz="4" w:space="0" w:color="auto"/>
              <w:left w:val="nil"/>
              <w:bottom w:val="single" w:sz="8" w:space="0" w:color="auto"/>
              <w:right w:val="nil"/>
            </w:tcBorders>
            <w:shd w:val="clear" w:color="auto" w:fill="auto"/>
            <w:noWrap/>
            <w:vAlign w:val="bottom"/>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2013-2014</w:t>
            </w:r>
          </w:p>
        </w:tc>
        <w:tc>
          <w:tcPr>
            <w:tcW w:w="1446" w:type="dxa"/>
            <w:tcBorders>
              <w:top w:val="single" w:sz="4" w:space="0" w:color="auto"/>
              <w:left w:val="nil"/>
              <w:bottom w:val="single" w:sz="8" w:space="0" w:color="auto"/>
              <w:right w:val="single" w:sz="4" w:space="0" w:color="auto"/>
            </w:tcBorders>
            <w:shd w:val="clear" w:color="auto" w:fill="auto"/>
            <w:noWrap/>
            <w:vAlign w:val="bottom"/>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2014-2015</w:t>
            </w:r>
          </w:p>
        </w:tc>
      </w:tr>
      <w:tr w:rsidR="000430A4" w:rsidRPr="00983C35" w:rsidTr="002F32F0">
        <w:trPr>
          <w:trHeight w:val="422"/>
        </w:trPr>
        <w:tc>
          <w:tcPr>
            <w:tcW w:w="5210" w:type="dxa"/>
            <w:tcBorders>
              <w:top w:val="nil"/>
              <w:left w:val="single" w:sz="4" w:space="0" w:color="auto"/>
              <w:bottom w:val="nil"/>
              <w:right w:val="nil"/>
            </w:tcBorders>
            <w:shd w:val="clear" w:color="000000" w:fill="DBE5F1"/>
            <w:noWrap/>
            <w:hideMark/>
          </w:tcPr>
          <w:p w:rsidR="000430A4" w:rsidRPr="00983C35" w:rsidRDefault="000430A4" w:rsidP="002F32F0">
            <w:pPr>
              <w:spacing w:after="0" w:line="240" w:lineRule="auto"/>
              <w:rPr>
                <w:rFonts w:ascii="Calibri" w:eastAsia="Times New Roman" w:hAnsi="Calibri" w:cs="Times New Roman"/>
                <w:color w:val="000000"/>
              </w:rPr>
            </w:pPr>
            <w:r w:rsidRPr="00983C35">
              <w:rPr>
                <w:rFonts w:ascii="Calibri" w:eastAsia="Times New Roman" w:hAnsi="Calibri" w:cs="Times New Roman"/>
                <w:color w:val="000000"/>
              </w:rPr>
              <w:t xml:space="preserve">Number of requests received </w:t>
            </w:r>
          </w:p>
        </w:tc>
        <w:tc>
          <w:tcPr>
            <w:tcW w:w="1446" w:type="dxa"/>
            <w:tcBorders>
              <w:top w:val="nil"/>
              <w:left w:val="nil"/>
              <w:bottom w:val="nil"/>
              <w:right w:val="nil"/>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983C35">
              <w:rPr>
                <w:rFonts w:ascii="Calibri" w:eastAsia="Times New Roman" w:hAnsi="Calibri" w:cs="Times New Roman"/>
                <w:b/>
                <w:bCs/>
                <w:color w:val="000000"/>
              </w:rPr>
              <w:t>218</w:t>
            </w:r>
          </w:p>
        </w:tc>
        <w:tc>
          <w:tcPr>
            <w:tcW w:w="1446" w:type="dxa"/>
            <w:tcBorders>
              <w:top w:val="nil"/>
              <w:left w:val="nil"/>
              <w:bottom w:val="nil"/>
              <w:right w:val="nil"/>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983C35">
              <w:rPr>
                <w:rFonts w:ascii="Calibri" w:eastAsia="Times New Roman" w:hAnsi="Calibri" w:cs="Times New Roman"/>
                <w:b/>
                <w:bCs/>
                <w:color w:val="000000"/>
              </w:rPr>
              <w:t>730</w:t>
            </w:r>
          </w:p>
        </w:tc>
        <w:tc>
          <w:tcPr>
            <w:tcW w:w="1446" w:type="dxa"/>
            <w:tcBorders>
              <w:top w:val="nil"/>
              <w:left w:val="nil"/>
              <w:bottom w:val="nil"/>
              <w:right w:val="single" w:sz="4" w:space="0" w:color="auto"/>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3</w:t>
            </w:r>
            <w:r w:rsidR="00F257F8">
              <w:rPr>
                <w:rFonts w:ascii="Calibri" w:eastAsia="Times New Roman" w:hAnsi="Calibri" w:cs="Times New Roman"/>
                <w:b/>
                <w:bCs/>
                <w:color w:val="000000"/>
              </w:rPr>
              <w:t>,</w:t>
            </w:r>
            <w:r w:rsidRPr="00983C35">
              <w:rPr>
                <w:rFonts w:ascii="Calibri" w:eastAsia="Times New Roman" w:hAnsi="Calibri" w:cs="Times New Roman"/>
                <w:b/>
                <w:bCs/>
                <w:color w:val="000000"/>
              </w:rPr>
              <w:t>343</w:t>
            </w:r>
          </w:p>
        </w:tc>
      </w:tr>
      <w:tr w:rsidR="000430A4" w:rsidRPr="00983C35" w:rsidTr="002F32F0">
        <w:trPr>
          <w:trHeight w:val="417"/>
        </w:trPr>
        <w:tc>
          <w:tcPr>
            <w:tcW w:w="5210" w:type="dxa"/>
            <w:tcBorders>
              <w:top w:val="nil"/>
              <w:left w:val="single" w:sz="4" w:space="0" w:color="auto"/>
              <w:right w:val="nil"/>
            </w:tcBorders>
            <w:shd w:val="clear" w:color="auto" w:fill="auto"/>
            <w:hideMark/>
          </w:tcPr>
          <w:p w:rsidR="000430A4" w:rsidRPr="00983C35" w:rsidRDefault="000430A4" w:rsidP="002F32F0">
            <w:pPr>
              <w:spacing w:after="0" w:line="240" w:lineRule="auto"/>
              <w:rPr>
                <w:rFonts w:ascii="Calibri" w:eastAsia="Times New Roman" w:hAnsi="Calibri" w:cs="Times New Roman"/>
                <w:color w:val="000000"/>
              </w:rPr>
            </w:pPr>
            <w:r w:rsidRPr="00983C35">
              <w:rPr>
                <w:rFonts w:ascii="Calibri" w:eastAsia="Times New Roman" w:hAnsi="Calibri" w:cs="Times New Roman"/>
                <w:color w:val="000000"/>
              </w:rPr>
              <w:t>Annual change (%)</w:t>
            </w:r>
          </w:p>
        </w:tc>
        <w:tc>
          <w:tcPr>
            <w:tcW w:w="1446" w:type="dxa"/>
            <w:tcBorders>
              <w:top w:val="nil"/>
              <w:left w:val="nil"/>
              <w:right w:val="nil"/>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w:t>
            </w:r>
          </w:p>
        </w:tc>
        <w:tc>
          <w:tcPr>
            <w:tcW w:w="1446" w:type="dxa"/>
            <w:tcBorders>
              <w:top w:val="nil"/>
              <w:left w:val="nil"/>
              <w:right w:val="nil"/>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42.0%</w:t>
            </w:r>
          </w:p>
        </w:tc>
        <w:tc>
          <w:tcPr>
            <w:tcW w:w="1446" w:type="dxa"/>
            <w:tcBorders>
              <w:top w:val="nil"/>
              <w:left w:val="nil"/>
              <w:right w:val="single" w:sz="4" w:space="0" w:color="auto"/>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93.2%</w:t>
            </w:r>
          </w:p>
        </w:tc>
      </w:tr>
      <w:tr w:rsidR="000430A4" w:rsidRPr="00983C35" w:rsidTr="002F32F0">
        <w:trPr>
          <w:trHeight w:val="549"/>
        </w:trPr>
        <w:tc>
          <w:tcPr>
            <w:tcW w:w="5210" w:type="dxa"/>
            <w:tcBorders>
              <w:top w:val="nil"/>
              <w:left w:val="single" w:sz="4" w:space="0" w:color="auto"/>
              <w:bottom w:val="nil"/>
              <w:right w:val="nil"/>
            </w:tcBorders>
            <w:shd w:val="clear" w:color="000000" w:fill="DBE5F1"/>
            <w:hideMark/>
          </w:tcPr>
          <w:p w:rsidR="000430A4" w:rsidRPr="00983C35" w:rsidRDefault="000430A4" w:rsidP="002F32F0">
            <w:pPr>
              <w:spacing w:after="0" w:line="240" w:lineRule="auto"/>
              <w:rPr>
                <w:rFonts w:ascii="Calibri" w:eastAsia="Times New Roman" w:hAnsi="Calibri" w:cs="Times New Roman"/>
                <w:color w:val="000000"/>
              </w:rPr>
            </w:pPr>
            <w:r w:rsidRPr="00983C35">
              <w:rPr>
                <w:rFonts w:ascii="Calibri" w:eastAsia="Times New Roman" w:hAnsi="Calibri" w:cs="Times New Roman"/>
                <w:color w:val="000000"/>
              </w:rPr>
              <w:t>Completed requests</w:t>
            </w:r>
          </w:p>
        </w:tc>
        <w:tc>
          <w:tcPr>
            <w:tcW w:w="1446" w:type="dxa"/>
            <w:tcBorders>
              <w:top w:val="nil"/>
              <w:left w:val="nil"/>
              <w:bottom w:val="nil"/>
              <w:right w:val="nil"/>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981</w:t>
            </w:r>
          </w:p>
        </w:tc>
        <w:tc>
          <w:tcPr>
            <w:tcW w:w="1446" w:type="dxa"/>
            <w:tcBorders>
              <w:top w:val="nil"/>
              <w:left w:val="nil"/>
              <w:bottom w:val="nil"/>
              <w:right w:val="nil"/>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983C35">
              <w:rPr>
                <w:rFonts w:ascii="Calibri" w:eastAsia="Times New Roman" w:hAnsi="Calibri" w:cs="Times New Roman"/>
                <w:b/>
                <w:bCs/>
                <w:color w:val="000000"/>
              </w:rPr>
              <w:t>706</w:t>
            </w:r>
          </w:p>
        </w:tc>
        <w:tc>
          <w:tcPr>
            <w:tcW w:w="1446" w:type="dxa"/>
            <w:tcBorders>
              <w:top w:val="nil"/>
              <w:left w:val="nil"/>
              <w:bottom w:val="nil"/>
              <w:right w:val="single" w:sz="4" w:space="0" w:color="auto"/>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3</w:t>
            </w:r>
            <w:r w:rsidR="00F257F8">
              <w:rPr>
                <w:rFonts w:ascii="Calibri" w:eastAsia="Times New Roman" w:hAnsi="Calibri" w:cs="Times New Roman"/>
                <w:b/>
                <w:bCs/>
                <w:color w:val="000000"/>
              </w:rPr>
              <w:t>,</w:t>
            </w:r>
            <w:r w:rsidRPr="00983C35">
              <w:rPr>
                <w:rFonts w:ascii="Calibri" w:eastAsia="Times New Roman" w:hAnsi="Calibri" w:cs="Times New Roman"/>
                <w:b/>
                <w:bCs/>
                <w:color w:val="000000"/>
              </w:rPr>
              <w:t>356</w:t>
            </w:r>
          </w:p>
        </w:tc>
      </w:tr>
      <w:tr w:rsidR="000430A4" w:rsidRPr="00983C35" w:rsidTr="002F32F0">
        <w:trPr>
          <w:trHeight w:val="569"/>
        </w:trPr>
        <w:tc>
          <w:tcPr>
            <w:tcW w:w="5210" w:type="dxa"/>
            <w:tcBorders>
              <w:top w:val="nil"/>
              <w:left w:val="single" w:sz="4" w:space="0" w:color="auto"/>
              <w:right w:val="nil"/>
            </w:tcBorders>
            <w:shd w:val="clear" w:color="auto" w:fill="auto"/>
            <w:hideMark/>
          </w:tcPr>
          <w:p w:rsidR="000430A4" w:rsidRPr="00983C35" w:rsidRDefault="000430A4" w:rsidP="002F32F0">
            <w:pPr>
              <w:spacing w:after="0" w:line="240" w:lineRule="auto"/>
              <w:rPr>
                <w:rFonts w:ascii="Calibri" w:eastAsia="Times New Roman" w:hAnsi="Calibri" w:cs="Times New Roman"/>
                <w:color w:val="000000"/>
              </w:rPr>
            </w:pPr>
            <w:r w:rsidRPr="00983C35">
              <w:rPr>
                <w:rFonts w:ascii="Calibri" w:eastAsia="Times New Roman" w:hAnsi="Calibri" w:cs="Times New Roman"/>
                <w:color w:val="000000"/>
              </w:rPr>
              <w:t>Annual change</w:t>
            </w:r>
          </w:p>
        </w:tc>
        <w:tc>
          <w:tcPr>
            <w:tcW w:w="1446" w:type="dxa"/>
            <w:tcBorders>
              <w:top w:val="nil"/>
              <w:left w:val="nil"/>
              <w:right w:val="nil"/>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w:t>
            </w:r>
          </w:p>
        </w:tc>
        <w:tc>
          <w:tcPr>
            <w:tcW w:w="1446" w:type="dxa"/>
            <w:tcBorders>
              <w:top w:val="nil"/>
              <w:left w:val="nil"/>
              <w:right w:val="nil"/>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73.9%</w:t>
            </w:r>
          </w:p>
        </w:tc>
        <w:tc>
          <w:tcPr>
            <w:tcW w:w="1446" w:type="dxa"/>
            <w:tcBorders>
              <w:top w:val="nil"/>
              <w:left w:val="nil"/>
              <w:right w:val="single" w:sz="4" w:space="0" w:color="auto"/>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96.7%</w:t>
            </w:r>
          </w:p>
        </w:tc>
      </w:tr>
      <w:tr w:rsidR="000430A4" w:rsidRPr="00983C35" w:rsidTr="002F32F0">
        <w:trPr>
          <w:trHeight w:val="494"/>
        </w:trPr>
        <w:tc>
          <w:tcPr>
            <w:tcW w:w="5210" w:type="dxa"/>
            <w:tcBorders>
              <w:top w:val="nil"/>
              <w:left w:val="single" w:sz="4" w:space="0" w:color="auto"/>
              <w:right w:val="nil"/>
            </w:tcBorders>
            <w:shd w:val="clear" w:color="000000" w:fill="DBE5F1"/>
            <w:hideMark/>
          </w:tcPr>
          <w:p w:rsidR="000430A4" w:rsidRPr="00983C35" w:rsidRDefault="000430A4" w:rsidP="002F32F0">
            <w:pPr>
              <w:spacing w:after="0" w:line="240" w:lineRule="auto"/>
              <w:rPr>
                <w:rFonts w:ascii="Calibri" w:eastAsia="Times New Roman" w:hAnsi="Calibri" w:cs="Times New Roman"/>
                <w:color w:val="000000"/>
              </w:rPr>
            </w:pPr>
            <w:r w:rsidRPr="00983C35">
              <w:rPr>
                <w:rFonts w:ascii="Calibri" w:eastAsia="Times New Roman" w:hAnsi="Calibri" w:cs="Times New Roman"/>
                <w:color w:val="000000"/>
              </w:rPr>
              <w:lastRenderedPageBreak/>
              <w:t>Number of consultations received (from other government institutions)</w:t>
            </w:r>
          </w:p>
        </w:tc>
        <w:tc>
          <w:tcPr>
            <w:tcW w:w="1446" w:type="dxa"/>
            <w:tcBorders>
              <w:top w:val="nil"/>
              <w:left w:val="nil"/>
              <w:right w:val="nil"/>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652</w:t>
            </w:r>
          </w:p>
        </w:tc>
        <w:tc>
          <w:tcPr>
            <w:tcW w:w="1446" w:type="dxa"/>
            <w:tcBorders>
              <w:top w:val="nil"/>
              <w:left w:val="nil"/>
              <w:right w:val="nil"/>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538</w:t>
            </w:r>
          </w:p>
        </w:tc>
        <w:tc>
          <w:tcPr>
            <w:tcW w:w="1446" w:type="dxa"/>
            <w:tcBorders>
              <w:top w:val="nil"/>
              <w:left w:val="nil"/>
              <w:right w:val="single" w:sz="4" w:space="0" w:color="auto"/>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459</w:t>
            </w:r>
          </w:p>
        </w:tc>
      </w:tr>
      <w:tr w:rsidR="000430A4" w:rsidRPr="00983C35" w:rsidTr="002F32F0">
        <w:trPr>
          <w:trHeight w:val="516"/>
        </w:trPr>
        <w:tc>
          <w:tcPr>
            <w:tcW w:w="5210" w:type="dxa"/>
            <w:tcBorders>
              <w:left w:val="single" w:sz="4" w:space="0" w:color="auto"/>
              <w:bottom w:val="single" w:sz="4" w:space="0" w:color="auto"/>
              <w:right w:val="nil"/>
            </w:tcBorders>
            <w:shd w:val="clear" w:color="auto" w:fill="auto"/>
            <w:hideMark/>
          </w:tcPr>
          <w:p w:rsidR="000430A4" w:rsidRPr="00983C35" w:rsidRDefault="000430A4" w:rsidP="002F32F0">
            <w:pPr>
              <w:spacing w:after="0" w:line="240" w:lineRule="auto"/>
              <w:rPr>
                <w:rFonts w:ascii="Calibri" w:eastAsia="Times New Roman" w:hAnsi="Calibri" w:cs="Times New Roman"/>
                <w:color w:val="000000"/>
              </w:rPr>
            </w:pPr>
            <w:r w:rsidRPr="00983C35">
              <w:rPr>
                <w:rFonts w:ascii="Calibri" w:eastAsia="Times New Roman" w:hAnsi="Calibri" w:cs="Times New Roman"/>
                <w:color w:val="000000"/>
              </w:rPr>
              <w:t>Annual change (%)</w:t>
            </w:r>
          </w:p>
        </w:tc>
        <w:tc>
          <w:tcPr>
            <w:tcW w:w="1446" w:type="dxa"/>
            <w:tcBorders>
              <w:left w:val="nil"/>
              <w:bottom w:val="single" w:sz="4" w:space="0" w:color="auto"/>
              <w:right w:val="nil"/>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w:t>
            </w:r>
          </w:p>
        </w:tc>
        <w:tc>
          <w:tcPr>
            <w:tcW w:w="1446" w:type="dxa"/>
            <w:tcBorders>
              <w:left w:val="nil"/>
              <w:bottom w:val="single" w:sz="4" w:space="0" w:color="auto"/>
              <w:right w:val="nil"/>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-17.5%</w:t>
            </w:r>
          </w:p>
        </w:tc>
        <w:tc>
          <w:tcPr>
            <w:tcW w:w="1446" w:type="dxa"/>
            <w:tcBorders>
              <w:left w:val="nil"/>
              <w:bottom w:val="single" w:sz="4" w:space="0" w:color="auto"/>
              <w:right w:val="single" w:sz="4" w:space="0" w:color="auto"/>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-14.7%</w:t>
            </w:r>
          </w:p>
        </w:tc>
      </w:tr>
      <w:tr w:rsidR="000430A4" w:rsidRPr="00983C35" w:rsidTr="002F32F0">
        <w:trPr>
          <w:trHeight w:val="589"/>
        </w:trPr>
        <w:tc>
          <w:tcPr>
            <w:tcW w:w="5210" w:type="dxa"/>
            <w:tcBorders>
              <w:top w:val="single" w:sz="4" w:space="0" w:color="auto"/>
              <w:left w:val="single" w:sz="4" w:space="0" w:color="auto"/>
              <w:bottom w:val="nil"/>
              <w:right w:val="nil"/>
            </w:tcBorders>
            <w:shd w:val="clear" w:color="000000" w:fill="DBE5F1"/>
            <w:hideMark/>
          </w:tcPr>
          <w:p w:rsidR="000430A4" w:rsidRPr="00983C35" w:rsidRDefault="000430A4" w:rsidP="002F32F0">
            <w:pPr>
              <w:spacing w:after="0" w:line="240" w:lineRule="auto"/>
              <w:rPr>
                <w:rFonts w:ascii="Calibri" w:eastAsia="Times New Roman" w:hAnsi="Calibri" w:cs="Times New Roman"/>
                <w:color w:val="000000"/>
              </w:rPr>
            </w:pPr>
            <w:r w:rsidRPr="00983C35">
              <w:rPr>
                <w:rFonts w:ascii="Calibri" w:eastAsia="Times New Roman" w:hAnsi="Calibri" w:cs="Times New Roman"/>
                <w:color w:val="000000"/>
              </w:rPr>
              <w:t>Average number of pages processed per request completed</w:t>
            </w:r>
          </w:p>
        </w:tc>
        <w:tc>
          <w:tcPr>
            <w:tcW w:w="1446" w:type="dxa"/>
            <w:tcBorders>
              <w:top w:val="single" w:sz="4" w:space="0" w:color="auto"/>
              <w:left w:val="nil"/>
              <w:bottom w:val="nil"/>
              <w:right w:val="nil"/>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983C35">
              <w:rPr>
                <w:rFonts w:ascii="Calibri" w:eastAsia="Times New Roman" w:hAnsi="Calibri" w:cs="Times New Roman"/>
                <w:b/>
                <w:bCs/>
                <w:color w:val="000000"/>
              </w:rPr>
              <w:t>522</w:t>
            </w:r>
          </w:p>
        </w:tc>
        <w:tc>
          <w:tcPr>
            <w:tcW w:w="1446" w:type="dxa"/>
            <w:tcBorders>
              <w:top w:val="single" w:sz="4" w:space="0" w:color="auto"/>
              <w:left w:val="nil"/>
              <w:bottom w:val="nil"/>
              <w:right w:val="nil"/>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360</w:t>
            </w:r>
          </w:p>
        </w:tc>
        <w:tc>
          <w:tcPr>
            <w:tcW w:w="1446" w:type="dxa"/>
            <w:tcBorders>
              <w:top w:val="single" w:sz="4" w:space="0" w:color="auto"/>
              <w:left w:val="nil"/>
              <w:bottom w:val="nil"/>
              <w:right w:val="single" w:sz="4" w:space="0" w:color="auto"/>
            </w:tcBorders>
            <w:shd w:val="clear" w:color="000000" w:fill="DBE5F1"/>
            <w:noWrap/>
            <w:vAlign w:val="center"/>
            <w:hideMark/>
          </w:tcPr>
          <w:p w:rsidR="000430A4" w:rsidRPr="00983C35" w:rsidRDefault="000430A4" w:rsidP="002F32F0">
            <w:pPr>
              <w:spacing w:after="0" w:line="240" w:lineRule="auto"/>
              <w:jc w:val="center"/>
              <w:rPr>
                <w:rFonts w:ascii="Calibri" w:eastAsia="Times New Roman" w:hAnsi="Calibri" w:cs="Times New Roman"/>
                <w:b/>
                <w:bCs/>
                <w:color w:val="000000"/>
              </w:rPr>
            </w:pPr>
            <w:r w:rsidRPr="00983C35">
              <w:rPr>
                <w:rFonts w:ascii="Calibri" w:eastAsia="Times New Roman" w:hAnsi="Calibri" w:cs="Times New Roman"/>
                <w:b/>
                <w:bCs/>
                <w:color w:val="000000"/>
              </w:rPr>
              <w:t>229</w:t>
            </w:r>
          </w:p>
        </w:tc>
      </w:tr>
      <w:tr w:rsidR="000430A4" w:rsidRPr="00983C35" w:rsidTr="002F32F0">
        <w:trPr>
          <w:trHeight w:val="589"/>
        </w:trPr>
        <w:tc>
          <w:tcPr>
            <w:tcW w:w="5210" w:type="dxa"/>
            <w:tcBorders>
              <w:top w:val="nil"/>
              <w:left w:val="single" w:sz="4" w:space="0" w:color="auto"/>
              <w:bottom w:val="single" w:sz="4" w:space="0" w:color="auto"/>
              <w:right w:val="nil"/>
            </w:tcBorders>
            <w:shd w:val="clear" w:color="auto" w:fill="auto"/>
            <w:hideMark/>
          </w:tcPr>
          <w:p w:rsidR="000430A4" w:rsidRPr="00983C35" w:rsidRDefault="000430A4" w:rsidP="002F32F0">
            <w:pPr>
              <w:spacing w:after="0" w:line="240" w:lineRule="auto"/>
              <w:rPr>
                <w:rFonts w:ascii="Calibri" w:eastAsia="Times New Roman" w:hAnsi="Calibri" w:cs="Times New Roman"/>
                <w:color w:val="000000"/>
              </w:rPr>
            </w:pPr>
            <w:r w:rsidRPr="00983C35">
              <w:rPr>
                <w:rFonts w:ascii="Calibri" w:eastAsia="Times New Roman" w:hAnsi="Calibri" w:cs="Times New Roman"/>
                <w:color w:val="000000"/>
              </w:rPr>
              <w:t>% of requests for which more than 1</w:t>
            </w:r>
            <w:r w:rsidR="00F257F8">
              <w:rPr>
                <w:rFonts w:ascii="Calibri" w:eastAsia="Times New Roman" w:hAnsi="Calibri" w:cs="Times New Roman"/>
                <w:color w:val="000000"/>
              </w:rPr>
              <w:t>,</w:t>
            </w:r>
            <w:r w:rsidRPr="00983C35">
              <w:rPr>
                <w:rFonts w:ascii="Calibri" w:eastAsia="Times New Roman" w:hAnsi="Calibri" w:cs="Times New Roman"/>
                <w:color w:val="000000"/>
              </w:rPr>
              <w:t>000 pages were processed</w:t>
            </w:r>
          </w:p>
        </w:tc>
        <w:tc>
          <w:tcPr>
            <w:tcW w:w="1446" w:type="dxa"/>
            <w:tcBorders>
              <w:top w:val="nil"/>
              <w:left w:val="nil"/>
              <w:bottom w:val="single" w:sz="4" w:space="0" w:color="auto"/>
              <w:right w:val="nil"/>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5.7%</w:t>
            </w:r>
          </w:p>
        </w:tc>
        <w:tc>
          <w:tcPr>
            <w:tcW w:w="1446" w:type="dxa"/>
            <w:tcBorders>
              <w:top w:val="nil"/>
              <w:left w:val="nil"/>
              <w:bottom w:val="single" w:sz="4" w:space="0" w:color="auto"/>
              <w:right w:val="nil"/>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4.1%</w:t>
            </w:r>
          </w:p>
        </w:tc>
        <w:tc>
          <w:tcPr>
            <w:tcW w:w="1446" w:type="dxa"/>
            <w:tcBorders>
              <w:top w:val="nil"/>
              <w:left w:val="nil"/>
              <w:bottom w:val="single" w:sz="4" w:space="0" w:color="auto"/>
              <w:right w:val="single" w:sz="4" w:space="0" w:color="auto"/>
            </w:tcBorders>
            <w:shd w:val="clear" w:color="auto" w:fill="auto"/>
            <w:noWrap/>
            <w:vAlign w:val="center"/>
            <w:hideMark/>
          </w:tcPr>
          <w:p w:rsidR="000430A4" w:rsidRPr="00983C35" w:rsidRDefault="000430A4" w:rsidP="002F32F0">
            <w:pPr>
              <w:spacing w:after="0" w:line="240" w:lineRule="auto"/>
              <w:jc w:val="center"/>
              <w:rPr>
                <w:rFonts w:ascii="Calibri" w:eastAsia="Times New Roman" w:hAnsi="Calibri" w:cs="Times New Roman"/>
                <w:color w:val="000000"/>
              </w:rPr>
            </w:pPr>
            <w:r w:rsidRPr="00983C35">
              <w:rPr>
                <w:rFonts w:ascii="Calibri" w:eastAsia="Times New Roman" w:hAnsi="Calibri" w:cs="Times New Roman"/>
                <w:color w:val="000000"/>
              </w:rPr>
              <w:t>5.4%</w:t>
            </w:r>
          </w:p>
        </w:tc>
      </w:tr>
    </w:tbl>
    <w:p w:rsidR="000430A4" w:rsidRPr="00E809D1" w:rsidRDefault="00F257F8" w:rsidP="000430A4">
      <w:pPr>
        <w:pStyle w:val="Heading2"/>
        <w:spacing w:before="240"/>
      </w:pPr>
      <w:r>
        <w:t>Request</w:t>
      </w:r>
      <w:r w:rsidR="000430A4" w:rsidRPr="00E809D1">
        <w:t xml:space="preserve"> completion time</w:t>
      </w:r>
    </w:p>
    <w:p w:rsidR="000430A4" w:rsidRPr="00E809D1" w:rsidRDefault="000430A4" w:rsidP="000430A4">
      <w:pPr>
        <w:pStyle w:val="Heading4"/>
      </w:pPr>
      <w:r w:rsidRPr="00E809D1">
        <w:t>Timeliness</w:t>
      </w:r>
    </w:p>
    <w:p w:rsidR="000430A4" w:rsidRPr="00472FDE" w:rsidRDefault="000430A4" w:rsidP="000430A4">
      <w:pPr>
        <w:jc w:val="both"/>
      </w:pPr>
      <w:r w:rsidRPr="00472FDE">
        <w:t xml:space="preserve">Figure 1 reveals that </w:t>
      </w:r>
      <w:r>
        <w:t>60.0</w:t>
      </w:r>
      <w:r w:rsidRPr="00472FDE">
        <w:t>% of requests were completed within 30 days or less</w:t>
      </w:r>
      <w:r>
        <w:t xml:space="preserve">. This </w:t>
      </w:r>
      <w:r w:rsidRPr="00472FDE">
        <w:t xml:space="preserve">is </w:t>
      </w:r>
      <w:r>
        <w:t xml:space="preserve">significantly </w:t>
      </w:r>
      <w:r w:rsidRPr="00472FDE">
        <w:t>higher than the results observed in 2013-2014 (</w:t>
      </w:r>
      <w:r>
        <w:t>29.3%).</w:t>
      </w:r>
    </w:p>
    <w:p w:rsidR="000430A4" w:rsidRPr="007252DE" w:rsidRDefault="000430A4" w:rsidP="000430A4">
      <w:pPr>
        <w:pStyle w:val="Heading3"/>
        <w:spacing w:before="240" w:after="200"/>
        <w:rPr>
          <w:sz w:val="24"/>
          <w:szCs w:val="24"/>
        </w:rPr>
      </w:pPr>
      <w:r w:rsidRPr="00747776">
        <w:t>Figure 1: Request Completion Time</w:t>
      </w:r>
      <w:r w:rsidRPr="00A4723C">
        <w:rPr>
          <w:noProof/>
          <w:color w:val="FF0000"/>
          <w:sz w:val="24"/>
          <w:szCs w:val="24"/>
        </w:rPr>
        <w:drawing>
          <wp:inline distT="0" distB="0" distL="0" distR="0">
            <wp:extent cx="5947576" cy="3999506"/>
            <wp:effectExtent l="0" t="0" r="0" b="127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30A4" w:rsidRPr="00D2368F" w:rsidRDefault="000430A4" w:rsidP="000430A4">
      <w:pPr>
        <w:pStyle w:val="Heading4"/>
      </w:pPr>
      <w:r w:rsidRPr="00E809D1">
        <w:t>Extensions</w:t>
      </w:r>
    </w:p>
    <w:p w:rsidR="000430A4" w:rsidRPr="00666611" w:rsidRDefault="000430A4" w:rsidP="000430A4">
      <w:pPr>
        <w:jc w:val="both"/>
      </w:pPr>
      <w:r w:rsidRPr="00666611">
        <w:t>The RCMP took a total of 523 extensions in 2014-2015 compared to 123 in 2013-2014. The most common reason for taking an extension was interference with operations (85.4%) followed by consultations (11.4%), and lastly, third-party notice (3.1%).</w:t>
      </w:r>
    </w:p>
    <w:p w:rsidR="000430A4" w:rsidRPr="00472FDE" w:rsidRDefault="000430A4" w:rsidP="000430A4">
      <w:pPr>
        <w:jc w:val="both"/>
      </w:pPr>
      <w:r w:rsidRPr="00472FDE">
        <w:lastRenderedPageBreak/>
        <w:t xml:space="preserve">Figure 2 shows that </w:t>
      </w:r>
      <w:r>
        <w:t>32.3</w:t>
      </w:r>
      <w:r w:rsidRPr="00472FDE">
        <w:t xml:space="preserve">% of extensions were </w:t>
      </w:r>
      <w:r>
        <w:t xml:space="preserve">taken for less than </w:t>
      </w:r>
      <w:r w:rsidRPr="00472FDE">
        <w:t>30 days</w:t>
      </w:r>
      <w:r>
        <w:t>, which represents an 8.7</w:t>
      </w:r>
      <w:r w:rsidRPr="00472FDE">
        <w:t xml:space="preserve">% </w:t>
      </w:r>
      <w:r>
        <w:t xml:space="preserve">increase from </w:t>
      </w:r>
      <w:r w:rsidRPr="00472FDE">
        <w:t>to</w:t>
      </w:r>
      <w:r>
        <w:t xml:space="preserve"> the previous reporting period.</w:t>
      </w:r>
    </w:p>
    <w:p w:rsidR="000430A4" w:rsidRDefault="000430A4" w:rsidP="000430A4">
      <w:pPr>
        <w:pStyle w:val="Heading3"/>
        <w:spacing w:after="200"/>
      </w:pPr>
      <w:r w:rsidRPr="00747776">
        <w:t>Figure 2: Length of E</w:t>
      </w:r>
      <w:r>
        <w:t>xtensions</w:t>
      </w:r>
      <w:r w:rsidRPr="00A4723C">
        <w:rPr>
          <w:noProof/>
        </w:rPr>
        <w:drawing>
          <wp:inline distT="0" distB="0" distL="0" distR="0">
            <wp:extent cx="6106602" cy="4031311"/>
            <wp:effectExtent l="0" t="0" r="8890" b="762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30A4" w:rsidRPr="00D2368F" w:rsidRDefault="000430A4" w:rsidP="000430A4">
      <w:pPr>
        <w:pStyle w:val="Heading4"/>
      </w:pPr>
      <w:r>
        <w:t>Deemed refusals</w:t>
      </w:r>
    </w:p>
    <w:p w:rsidR="000430A4" w:rsidRPr="00666611" w:rsidRDefault="000430A4" w:rsidP="000430A4">
      <w:pPr>
        <w:jc w:val="both"/>
      </w:pPr>
      <w:r w:rsidRPr="00666611">
        <w:t>In 2014-2015, the number of requests closed past the statutory deadline was 950, which accounts for 28.3% of completed requests. This rate represents an “F” grade.</w:t>
      </w:r>
      <w:r w:rsidRPr="00666611">
        <w:rPr>
          <w:rStyle w:val="FootnoteReference"/>
        </w:rPr>
        <w:footnoteReference w:id="14"/>
      </w:r>
      <w:r w:rsidRPr="00666611">
        <w:t xml:space="preserve"> The main reason for deemed refusal was workload (78.2%) and internal consultations (13.4%). Figure 3 shows that 30.5% of overdue requests were late by 30 days or less compared to 21.0</w:t>
      </w:r>
      <w:r>
        <w:t>% in 2013-2014.</w:t>
      </w:r>
    </w:p>
    <w:p w:rsidR="000430A4" w:rsidRPr="00067E71" w:rsidRDefault="000430A4" w:rsidP="000430A4">
      <w:pPr>
        <w:pStyle w:val="Heading3"/>
        <w:spacing w:after="200"/>
        <w:rPr>
          <w:color w:val="FF0000"/>
          <w:sz w:val="24"/>
          <w:szCs w:val="24"/>
          <w:lang w:val="en-US"/>
        </w:rPr>
      </w:pPr>
      <w:r w:rsidRPr="00E104D4">
        <w:lastRenderedPageBreak/>
        <w:t>Figure 3: Lateness</w:t>
      </w:r>
      <w:r w:rsidRPr="00747776">
        <w:t xml:space="preserve"> </w:t>
      </w:r>
      <w:r w:rsidRPr="00E104D4">
        <w:t>of Overdue R</w:t>
      </w:r>
      <w:r>
        <w:t>equests</w:t>
      </w:r>
      <w:r w:rsidRPr="00A4723C">
        <w:rPr>
          <w:noProof/>
        </w:rPr>
        <w:drawing>
          <wp:inline distT="0" distB="0" distL="0" distR="0">
            <wp:extent cx="5931673" cy="3840480"/>
            <wp:effectExtent l="0" t="0" r="0" b="762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30A4" w:rsidRPr="00673B2F" w:rsidRDefault="000430A4" w:rsidP="000430A4">
      <w:pPr>
        <w:pStyle w:val="Heading2"/>
      </w:pPr>
      <w:r w:rsidRPr="00673B2F">
        <w:t>Disclosure</w:t>
      </w:r>
    </w:p>
    <w:p w:rsidR="000430A4" w:rsidRPr="00D2368F" w:rsidRDefault="000430A4" w:rsidP="000430A4">
      <w:pPr>
        <w:pStyle w:val="Heading4"/>
      </w:pPr>
      <w:r w:rsidRPr="00D2368F">
        <w:t xml:space="preserve">Percentage of requests for </w:t>
      </w:r>
      <w:r>
        <w:t>which information was disclosed</w:t>
      </w:r>
    </w:p>
    <w:p w:rsidR="000430A4" w:rsidRPr="00B749F8" w:rsidRDefault="000430A4" w:rsidP="000430A4">
      <w:pPr>
        <w:jc w:val="both"/>
      </w:pPr>
      <w:r w:rsidRPr="00B749F8">
        <w:t xml:space="preserve">In 2014-2015, </w:t>
      </w:r>
      <w:r>
        <w:t>9.0</w:t>
      </w:r>
      <w:r w:rsidRPr="00B749F8">
        <w:t xml:space="preserve">% of completed requests were entirely disclosed, </w:t>
      </w:r>
      <w:r>
        <w:t>accounting for</w:t>
      </w:r>
      <w:r w:rsidRPr="00B749F8">
        <w:t xml:space="preserve"> the </w:t>
      </w:r>
      <w:r>
        <w:t>RCMP’s lowest</w:t>
      </w:r>
      <w:r w:rsidRPr="00B749F8">
        <w:t xml:space="preserve"> disclosure rate since 2012 (see Figure 4). Figure 4 also shows that the rate for partially disclosed requests was </w:t>
      </w:r>
      <w:r>
        <w:t>48.7</w:t>
      </w:r>
      <w:r w:rsidRPr="00B749F8">
        <w:t xml:space="preserve">% in 2014-2015, </w:t>
      </w:r>
      <w:r>
        <w:t xml:space="preserve">representing </w:t>
      </w:r>
      <w:r w:rsidRPr="00B749F8">
        <w:t>a</w:t>
      </w:r>
      <w:r>
        <w:t>n increase of 3.9% from the previous period.</w:t>
      </w:r>
    </w:p>
    <w:p w:rsidR="000430A4" w:rsidRPr="00673B2F" w:rsidRDefault="000430A4" w:rsidP="000430A4">
      <w:pPr>
        <w:spacing w:line="240" w:lineRule="auto"/>
        <w:rPr>
          <w:b/>
        </w:rPr>
      </w:pPr>
      <w:r w:rsidRPr="00E104D4">
        <w:rPr>
          <w:rStyle w:val="Heading3Char"/>
        </w:rPr>
        <w:lastRenderedPageBreak/>
        <w:t>Figure 4: Level of Disclosure</w:t>
      </w:r>
      <w:r w:rsidRPr="00A4723C">
        <w:rPr>
          <w:noProof/>
        </w:rPr>
        <w:drawing>
          <wp:inline distT="0" distB="0" distL="0" distR="0">
            <wp:extent cx="6106602" cy="3959749"/>
            <wp:effectExtent l="0" t="0" r="8890" b="3175"/>
            <wp:docPr id="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30A4" w:rsidRPr="00D2368F" w:rsidRDefault="000430A4" w:rsidP="000430A4">
      <w:pPr>
        <w:pStyle w:val="Heading4"/>
      </w:pPr>
      <w:r>
        <w:t>Exemptions</w:t>
      </w:r>
    </w:p>
    <w:p w:rsidR="000430A4" w:rsidRDefault="000430A4" w:rsidP="000430A4">
      <w:pPr>
        <w:jc w:val="both"/>
      </w:pPr>
      <w:r>
        <w:t>The total number of exemptions applied in 2014-2015 was 4,956. This is a significant increase from the 2,255 used in the previous period. On average, t</w:t>
      </w:r>
      <w:r w:rsidRPr="00494D48">
        <w:t>he number of exemption</w:t>
      </w:r>
      <w:r>
        <w:t>s</w:t>
      </w:r>
      <w:r w:rsidRPr="00494D48">
        <w:t xml:space="preserve"> used per completed request </w:t>
      </w:r>
      <w:r w:rsidRPr="002F6EC3">
        <w:t>increased to 1.48 in 2014-2015 compared to 1.32 in 2013-2014 (see Table 2). The</w:t>
      </w:r>
      <w:r w:rsidRPr="00D43D2F">
        <w:t xml:space="preserve"> most used exemptions in 2014-2015 were</w:t>
      </w:r>
      <w:r>
        <w:t xml:space="preserve"> </w:t>
      </w:r>
      <w:r w:rsidRPr="00067E71">
        <w:t>section 16 (Law Enforcement and Investigations)</w:t>
      </w:r>
      <w:r>
        <w:t xml:space="preserve"> (45.2</w:t>
      </w:r>
      <w:r w:rsidRPr="00067E71">
        <w:t>%) and section 19 (Personal Information) (29</w:t>
      </w:r>
      <w:r>
        <w:t>.3</w:t>
      </w:r>
      <w:r w:rsidRPr="00067E71">
        <w:t xml:space="preserve">%). </w:t>
      </w:r>
      <w:r>
        <w:t>This is similar to the</w:t>
      </w:r>
      <w:r w:rsidRPr="00067E71">
        <w:t xml:space="preserve"> previous period</w:t>
      </w:r>
      <w:r>
        <w:t xml:space="preserve"> (39.2% and 32.5</w:t>
      </w:r>
      <w:r w:rsidRPr="00067E71">
        <w:t>% respectively</w:t>
      </w:r>
      <w:r>
        <w:t>)</w:t>
      </w:r>
      <w:r w:rsidRPr="00067E71">
        <w:t>.</w:t>
      </w:r>
      <w:r w:rsidRPr="00D43D2F">
        <w:t xml:space="preserve"> </w:t>
      </w:r>
    </w:p>
    <w:p w:rsidR="000430A4" w:rsidRPr="00E104D4" w:rsidRDefault="000430A4" w:rsidP="000430A4">
      <w:pPr>
        <w:pStyle w:val="Heading3"/>
      </w:pPr>
      <w:r w:rsidRPr="00E104D4">
        <w:t>Table 2: Exemptions</w:t>
      </w:r>
    </w:p>
    <w:tbl>
      <w:tblPr>
        <w:tblW w:w="9760" w:type="dxa"/>
        <w:tblInd w:w="98" w:type="dxa"/>
        <w:tblLook w:val="04A0"/>
      </w:tblPr>
      <w:tblGrid>
        <w:gridCol w:w="5605"/>
        <w:gridCol w:w="1385"/>
        <w:gridCol w:w="1385"/>
        <w:gridCol w:w="1385"/>
      </w:tblGrid>
      <w:tr w:rsidR="000430A4" w:rsidRPr="004C319D" w:rsidTr="002F32F0">
        <w:trPr>
          <w:trHeight w:val="293"/>
        </w:trPr>
        <w:tc>
          <w:tcPr>
            <w:tcW w:w="5605"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4C319D" w:rsidRDefault="000430A4" w:rsidP="002F32F0">
            <w:pPr>
              <w:spacing w:after="0" w:line="240" w:lineRule="auto"/>
              <w:rPr>
                <w:rFonts w:ascii="Calibri" w:eastAsia="Times New Roman" w:hAnsi="Calibri" w:cs="Times New Roman"/>
                <w:color w:val="000000"/>
              </w:rPr>
            </w:pPr>
            <w:r w:rsidRPr="004C319D">
              <w:rPr>
                <w:rFonts w:ascii="Calibri" w:eastAsia="Times New Roman" w:hAnsi="Calibri" w:cs="Times New Roman"/>
                <w:color w:val="000000"/>
              </w:rPr>
              <w:t xml:space="preserve">Exemptions </w:t>
            </w:r>
          </w:p>
        </w:tc>
        <w:tc>
          <w:tcPr>
            <w:tcW w:w="1385" w:type="dxa"/>
            <w:tcBorders>
              <w:top w:val="single" w:sz="8" w:space="0" w:color="auto"/>
              <w:left w:val="nil"/>
              <w:bottom w:val="single" w:sz="8" w:space="0" w:color="auto"/>
              <w:right w:val="nil"/>
            </w:tcBorders>
            <w:shd w:val="clear" w:color="000000" w:fill="DBE5F1"/>
            <w:noWrap/>
            <w:vAlign w:val="bottom"/>
            <w:hideMark/>
          </w:tcPr>
          <w:p w:rsidR="000430A4" w:rsidRPr="004C319D" w:rsidRDefault="000430A4" w:rsidP="002F32F0">
            <w:pPr>
              <w:spacing w:after="0" w:line="240" w:lineRule="auto"/>
              <w:jc w:val="center"/>
              <w:rPr>
                <w:rFonts w:ascii="Calibri" w:eastAsia="Times New Roman" w:hAnsi="Calibri" w:cs="Times New Roman"/>
                <w:b/>
                <w:bCs/>
                <w:color w:val="000000"/>
              </w:rPr>
            </w:pPr>
            <w:r w:rsidRPr="004C319D">
              <w:rPr>
                <w:rFonts w:ascii="Calibri" w:eastAsia="Times New Roman" w:hAnsi="Calibri" w:cs="Times New Roman"/>
                <w:b/>
                <w:bCs/>
                <w:color w:val="000000"/>
              </w:rPr>
              <w:t>2012-2013</w:t>
            </w:r>
          </w:p>
        </w:tc>
        <w:tc>
          <w:tcPr>
            <w:tcW w:w="1385" w:type="dxa"/>
            <w:tcBorders>
              <w:top w:val="single" w:sz="8" w:space="0" w:color="auto"/>
              <w:left w:val="nil"/>
              <w:bottom w:val="single" w:sz="8" w:space="0" w:color="auto"/>
              <w:right w:val="nil"/>
            </w:tcBorders>
            <w:shd w:val="clear" w:color="000000" w:fill="DBE5F1"/>
            <w:noWrap/>
            <w:vAlign w:val="bottom"/>
            <w:hideMark/>
          </w:tcPr>
          <w:p w:rsidR="000430A4" w:rsidRPr="004C319D" w:rsidRDefault="000430A4" w:rsidP="002F32F0">
            <w:pPr>
              <w:spacing w:after="0" w:line="240" w:lineRule="auto"/>
              <w:jc w:val="center"/>
              <w:rPr>
                <w:rFonts w:ascii="Calibri" w:eastAsia="Times New Roman" w:hAnsi="Calibri" w:cs="Times New Roman"/>
                <w:b/>
                <w:bCs/>
                <w:color w:val="000000"/>
              </w:rPr>
            </w:pPr>
            <w:r w:rsidRPr="004C319D">
              <w:rPr>
                <w:rFonts w:ascii="Calibri" w:eastAsia="Times New Roman" w:hAnsi="Calibri" w:cs="Times New Roman"/>
                <w:b/>
                <w:bCs/>
                <w:color w:val="000000"/>
              </w:rPr>
              <w:t>2013-2014</w:t>
            </w:r>
          </w:p>
        </w:tc>
        <w:tc>
          <w:tcPr>
            <w:tcW w:w="1385"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4C319D" w:rsidRDefault="000430A4" w:rsidP="002F32F0">
            <w:pPr>
              <w:spacing w:after="0" w:line="240" w:lineRule="auto"/>
              <w:jc w:val="center"/>
              <w:rPr>
                <w:rFonts w:ascii="Calibri" w:eastAsia="Times New Roman" w:hAnsi="Calibri" w:cs="Times New Roman"/>
                <w:b/>
                <w:bCs/>
                <w:color w:val="000000"/>
              </w:rPr>
            </w:pPr>
            <w:r w:rsidRPr="004C319D">
              <w:rPr>
                <w:rFonts w:ascii="Calibri" w:eastAsia="Times New Roman" w:hAnsi="Calibri" w:cs="Times New Roman"/>
                <w:b/>
                <w:bCs/>
                <w:color w:val="000000"/>
              </w:rPr>
              <w:t>2014-2015</w:t>
            </w:r>
          </w:p>
        </w:tc>
      </w:tr>
      <w:tr w:rsidR="000430A4" w:rsidRPr="004C319D" w:rsidTr="002F32F0">
        <w:trPr>
          <w:trHeight w:val="279"/>
        </w:trPr>
        <w:tc>
          <w:tcPr>
            <w:tcW w:w="5605" w:type="dxa"/>
            <w:tcBorders>
              <w:top w:val="nil"/>
              <w:left w:val="single" w:sz="8" w:space="0" w:color="auto"/>
              <w:bottom w:val="nil"/>
              <w:right w:val="nil"/>
            </w:tcBorders>
            <w:shd w:val="clear" w:color="auto" w:fill="auto"/>
            <w:noWrap/>
            <w:vAlign w:val="bottom"/>
            <w:hideMark/>
          </w:tcPr>
          <w:p w:rsidR="000430A4" w:rsidRPr="004C319D" w:rsidRDefault="000430A4" w:rsidP="002F32F0">
            <w:pPr>
              <w:spacing w:after="0" w:line="240" w:lineRule="auto"/>
              <w:rPr>
                <w:rFonts w:ascii="Calibri" w:eastAsia="Times New Roman" w:hAnsi="Calibri" w:cs="Times New Roman"/>
                <w:color w:val="000000"/>
              </w:rPr>
            </w:pPr>
            <w:r w:rsidRPr="004C319D">
              <w:rPr>
                <w:rFonts w:ascii="Calibri" w:eastAsia="Times New Roman" w:hAnsi="Calibri" w:cs="Times New Roman"/>
                <w:color w:val="000000"/>
              </w:rPr>
              <w:t xml:space="preserve">Total </w:t>
            </w:r>
            <w:r>
              <w:rPr>
                <w:rFonts w:ascii="Calibri" w:eastAsia="Times New Roman" w:hAnsi="Calibri" w:cs="Times New Roman"/>
                <w:color w:val="000000"/>
              </w:rPr>
              <w:t>number of exemptions</w:t>
            </w:r>
          </w:p>
        </w:tc>
        <w:tc>
          <w:tcPr>
            <w:tcW w:w="1385" w:type="dxa"/>
            <w:tcBorders>
              <w:top w:val="nil"/>
              <w:left w:val="nil"/>
              <w:bottom w:val="nil"/>
              <w:right w:val="nil"/>
            </w:tcBorders>
            <w:shd w:val="clear" w:color="auto" w:fill="auto"/>
            <w:noWrap/>
            <w:vAlign w:val="bottom"/>
            <w:hideMark/>
          </w:tcPr>
          <w:p w:rsidR="000430A4" w:rsidRPr="004C319D" w:rsidRDefault="000430A4" w:rsidP="002F32F0">
            <w:pPr>
              <w:spacing w:after="0" w:line="240" w:lineRule="auto"/>
              <w:jc w:val="center"/>
              <w:rPr>
                <w:rFonts w:ascii="Calibri" w:eastAsia="Times New Roman" w:hAnsi="Calibri" w:cs="Times New Roman"/>
                <w:color w:val="000000"/>
              </w:rPr>
            </w:pPr>
            <w:r w:rsidRPr="004C319D">
              <w:rPr>
                <w:rFonts w:ascii="Calibri" w:eastAsia="Times New Roman" w:hAnsi="Calibri" w:cs="Times New Roman"/>
                <w:color w:val="000000"/>
              </w:rPr>
              <w:t>1</w:t>
            </w:r>
            <w:r w:rsidR="00F257F8">
              <w:rPr>
                <w:rFonts w:ascii="Calibri" w:eastAsia="Times New Roman" w:hAnsi="Calibri" w:cs="Times New Roman"/>
                <w:color w:val="000000"/>
              </w:rPr>
              <w:t>,</w:t>
            </w:r>
            <w:r w:rsidRPr="004C319D">
              <w:rPr>
                <w:rFonts w:ascii="Calibri" w:eastAsia="Times New Roman" w:hAnsi="Calibri" w:cs="Times New Roman"/>
                <w:color w:val="000000"/>
              </w:rPr>
              <w:t>329</w:t>
            </w:r>
          </w:p>
        </w:tc>
        <w:tc>
          <w:tcPr>
            <w:tcW w:w="1385" w:type="dxa"/>
            <w:tcBorders>
              <w:top w:val="nil"/>
              <w:left w:val="nil"/>
              <w:bottom w:val="nil"/>
              <w:right w:val="nil"/>
            </w:tcBorders>
            <w:shd w:val="clear" w:color="auto" w:fill="auto"/>
            <w:noWrap/>
            <w:vAlign w:val="bottom"/>
            <w:hideMark/>
          </w:tcPr>
          <w:p w:rsidR="000430A4" w:rsidRPr="004C319D" w:rsidRDefault="000430A4" w:rsidP="002F32F0">
            <w:pPr>
              <w:spacing w:after="0" w:line="240" w:lineRule="auto"/>
              <w:jc w:val="center"/>
              <w:rPr>
                <w:rFonts w:ascii="Calibri" w:eastAsia="Times New Roman" w:hAnsi="Calibri" w:cs="Times New Roman"/>
                <w:color w:val="000000"/>
              </w:rPr>
            </w:pPr>
            <w:r w:rsidRPr="004C319D">
              <w:rPr>
                <w:rFonts w:ascii="Calibri" w:eastAsia="Times New Roman" w:hAnsi="Calibri" w:cs="Times New Roman"/>
                <w:color w:val="000000"/>
              </w:rPr>
              <w:t>2</w:t>
            </w:r>
            <w:r w:rsidR="00F257F8">
              <w:rPr>
                <w:rFonts w:ascii="Calibri" w:eastAsia="Times New Roman" w:hAnsi="Calibri" w:cs="Times New Roman"/>
                <w:color w:val="000000"/>
              </w:rPr>
              <w:t>,</w:t>
            </w:r>
            <w:r w:rsidRPr="004C319D">
              <w:rPr>
                <w:rFonts w:ascii="Calibri" w:eastAsia="Times New Roman" w:hAnsi="Calibri" w:cs="Times New Roman"/>
                <w:color w:val="000000"/>
              </w:rPr>
              <w:t>255</w:t>
            </w:r>
          </w:p>
        </w:tc>
        <w:tc>
          <w:tcPr>
            <w:tcW w:w="1385" w:type="dxa"/>
            <w:tcBorders>
              <w:top w:val="nil"/>
              <w:left w:val="nil"/>
              <w:bottom w:val="nil"/>
              <w:right w:val="single" w:sz="8" w:space="0" w:color="auto"/>
            </w:tcBorders>
            <w:shd w:val="clear" w:color="auto" w:fill="auto"/>
            <w:noWrap/>
            <w:vAlign w:val="bottom"/>
            <w:hideMark/>
          </w:tcPr>
          <w:p w:rsidR="000430A4" w:rsidRPr="004C319D" w:rsidRDefault="000430A4" w:rsidP="002F32F0">
            <w:pPr>
              <w:spacing w:after="0" w:line="240" w:lineRule="auto"/>
              <w:jc w:val="center"/>
              <w:rPr>
                <w:rFonts w:ascii="Calibri" w:eastAsia="Times New Roman" w:hAnsi="Calibri" w:cs="Times New Roman"/>
                <w:color w:val="000000"/>
              </w:rPr>
            </w:pPr>
            <w:r w:rsidRPr="004C319D">
              <w:rPr>
                <w:rFonts w:ascii="Calibri" w:eastAsia="Times New Roman" w:hAnsi="Calibri" w:cs="Times New Roman"/>
                <w:color w:val="000000"/>
              </w:rPr>
              <w:t>4</w:t>
            </w:r>
            <w:r w:rsidR="00F257F8">
              <w:rPr>
                <w:rFonts w:ascii="Calibri" w:eastAsia="Times New Roman" w:hAnsi="Calibri" w:cs="Times New Roman"/>
                <w:color w:val="000000"/>
              </w:rPr>
              <w:t>,</w:t>
            </w:r>
            <w:r w:rsidRPr="004C319D">
              <w:rPr>
                <w:rFonts w:ascii="Calibri" w:eastAsia="Times New Roman" w:hAnsi="Calibri" w:cs="Times New Roman"/>
                <w:color w:val="000000"/>
              </w:rPr>
              <w:t>956</w:t>
            </w:r>
          </w:p>
        </w:tc>
      </w:tr>
      <w:tr w:rsidR="000430A4" w:rsidRPr="004C319D" w:rsidTr="002F32F0">
        <w:trPr>
          <w:trHeight w:val="279"/>
        </w:trPr>
        <w:tc>
          <w:tcPr>
            <w:tcW w:w="5605" w:type="dxa"/>
            <w:tcBorders>
              <w:top w:val="nil"/>
              <w:left w:val="single" w:sz="8" w:space="0" w:color="auto"/>
              <w:bottom w:val="nil"/>
              <w:right w:val="nil"/>
            </w:tcBorders>
            <w:shd w:val="clear" w:color="auto" w:fill="DBE5F1" w:themeFill="accent1" w:themeFillTint="33"/>
            <w:noWrap/>
            <w:vAlign w:val="bottom"/>
            <w:hideMark/>
          </w:tcPr>
          <w:p w:rsidR="000430A4" w:rsidRPr="004C319D" w:rsidRDefault="000430A4" w:rsidP="002F32F0">
            <w:pPr>
              <w:spacing w:after="0" w:line="240" w:lineRule="auto"/>
              <w:rPr>
                <w:rFonts w:ascii="Calibri" w:eastAsia="Times New Roman" w:hAnsi="Calibri" w:cs="Times New Roman"/>
                <w:color w:val="000000"/>
              </w:rPr>
            </w:pPr>
            <w:r w:rsidRPr="004C319D">
              <w:rPr>
                <w:rFonts w:ascii="Calibri" w:eastAsia="Times New Roman" w:hAnsi="Calibri" w:cs="Times New Roman"/>
                <w:color w:val="000000"/>
              </w:rPr>
              <w:t>Total number of completed requests</w:t>
            </w:r>
          </w:p>
        </w:tc>
        <w:tc>
          <w:tcPr>
            <w:tcW w:w="1385" w:type="dxa"/>
            <w:tcBorders>
              <w:top w:val="nil"/>
              <w:left w:val="nil"/>
              <w:bottom w:val="nil"/>
              <w:right w:val="nil"/>
            </w:tcBorders>
            <w:shd w:val="clear" w:color="auto" w:fill="DBE5F1" w:themeFill="accent1" w:themeFillTint="33"/>
            <w:noWrap/>
            <w:vAlign w:val="bottom"/>
            <w:hideMark/>
          </w:tcPr>
          <w:p w:rsidR="000430A4" w:rsidRPr="004C319D" w:rsidRDefault="000430A4" w:rsidP="002F32F0">
            <w:pPr>
              <w:spacing w:after="0" w:line="240" w:lineRule="auto"/>
              <w:jc w:val="center"/>
              <w:rPr>
                <w:rFonts w:ascii="Calibri" w:eastAsia="Times New Roman" w:hAnsi="Calibri" w:cs="Times New Roman"/>
                <w:color w:val="000000"/>
              </w:rPr>
            </w:pPr>
            <w:r w:rsidRPr="004C319D">
              <w:rPr>
                <w:rFonts w:ascii="Calibri" w:eastAsia="Times New Roman" w:hAnsi="Calibri" w:cs="Times New Roman"/>
                <w:color w:val="000000"/>
              </w:rPr>
              <w:t>981</w:t>
            </w:r>
          </w:p>
        </w:tc>
        <w:tc>
          <w:tcPr>
            <w:tcW w:w="1385" w:type="dxa"/>
            <w:tcBorders>
              <w:top w:val="nil"/>
              <w:left w:val="nil"/>
              <w:bottom w:val="nil"/>
              <w:right w:val="nil"/>
            </w:tcBorders>
            <w:shd w:val="clear" w:color="auto" w:fill="DBE5F1" w:themeFill="accent1" w:themeFillTint="33"/>
            <w:noWrap/>
            <w:vAlign w:val="bottom"/>
            <w:hideMark/>
          </w:tcPr>
          <w:p w:rsidR="000430A4" w:rsidRPr="004C319D" w:rsidRDefault="000430A4" w:rsidP="002F32F0">
            <w:pPr>
              <w:spacing w:after="0" w:line="240" w:lineRule="auto"/>
              <w:jc w:val="center"/>
              <w:rPr>
                <w:rFonts w:ascii="Calibri" w:eastAsia="Times New Roman" w:hAnsi="Calibri" w:cs="Times New Roman"/>
                <w:color w:val="000000"/>
              </w:rPr>
            </w:pPr>
            <w:r w:rsidRPr="004C319D">
              <w:rPr>
                <w:rFonts w:ascii="Calibri" w:eastAsia="Times New Roman" w:hAnsi="Calibri" w:cs="Times New Roman"/>
                <w:color w:val="000000"/>
              </w:rPr>
              <w:t>1</w:t>
            </w:r>
            <w:r w:rsidR="00F257F8">
              <w:rPr>
                <w:rFonts w:ascii="Calibri" w:eastAsia="Times New Roman" w:hAnsi="Calibri" w:cs="Times New Roman"/>
                <w:color w:val="000000"/>
              </w:rPr>
              <w:t>,</w:t>
            </w:r>
            <w:r w:rsidRPr="004C319D">
              <w:rPr>
                <w:rFonts w:ascii="Calibri" w:eastAsia="Times New Roman" w:hAnsi="Calibri" w:cs="Times New Roman"/>
                <w:color w:val="000000"/>
              </w:rPr>
              <w:t>706</w:t>
            </w:r>
          </w:p>
        </w:tc>
        <w:tc>
          <w:tcPr>
            <w:tcW w:w="1385" w:type="dxa"/>
            <w:tcBorders>
              <w:top w:val="nil"/>
              <w:left w:val="nil"/>
              <w:bottom w:val="nil"/>
              <w:right w:val="single" w:sz="8" w:space="0" w:color="auto"/>
            </w:tcBorders>
            <w:shd w:val="clear" w:color="auto" w:fill="DBE5F1" w:themeFill="accent1" w:themeFillTint="33"/>
            <w:noWrap/>
            <w:vAlign w:val="bottom"/>
            <w:hideMark/>
          </w:tcPr>
          <w:p w:rsidR="000430A4" w:rsidRPr="004C319D" w:rsidRDefault="000430A4" w:rsidP="002F32F0">
            <w:pPr>
              <w:spacing w:after="0" w:line="240" w:lineRule="auto"/>
              <w:jc w:val="center"/>
              <w:rPr>
                <w:rFonts w:ascii="Calibri" w:eastAsia="Times New Roman" w:hAnsi="Calibri" w:cs="Times New Roman"/>
                <w:color w:val="000000"/>
              </w:rPr>
            </w:pPr>
            <w:r w:rsidRPr="004C319D">
              <w:rPr>
                <w:rFonts w:ascii="Calibri" w:eastAsia="Times New Roman" w:hAnsi="Calibri" w:cs="Times New Roman"/>
                <w:color w:val="000000"/>
              </w:rPr>
              <w:t>3</w:t>
            </w:r>
            <w:r w:rsidR="00F257F8">
              <w:rPr>
                <w:rFonts w:ascii="Calibri" w:eastAsia="Times New Roman" w:hAnsi="Calibri" w:cs="Times New Roman"/>
                <w:color w:val="000000"/>
              </w:rPr>
              <w:t>,</w:t>
            </w:r>
            <w:r w:rsidRPr="004C319D">
              <w:rPr>
                <w:rFonts w:ascii="Calibri" w:eastAsia="Times New Roman" w:hAnsi="Calibri" w:cs="Times New Roman"/>
                <w:color w:val="000000"/>
              </w:rPr>
              <w:t>356</w:t>
            </w:r>
          </w:p>
        </w:tc>
      </w:tr>
      <w:tr w:rsidR="000430A4" w:rsidRPr="004C319D" w:rsidTr="002F32F0">
        <w:trPr>
          <w:trHeight w:val="293"/>
        </w:trPr>
        <w:tc>
          <w:tcPr>
            <w:tcW w:w="5605" w:type="dxa"/>
            <w:tcBorders>
              <w:top w:val="nil"/>
              <w:left w:val="single" w:sz="8" w:space="0" w:color="auto"/>
              <w:bottom w:val="single" w:sz="8" w:space="0" w:color="auto"/>
              <w:right w:val="nil"/>
            </w:tcBorders>
            <w:shd w:val="clear" w:color="auto" w:fill="FFFFFF" w:themeFill="background1"/>
            <w:noWrap/>
            <w:vAlign w:val="bottom"/>
            <w:hideMark/>
          </w:tcPr>
          <w:p w:rsidR="000430A4" w:rsidRPr="004C319D" w:rsidRDefault="000430A4" w:rsidP="002F32F0">
            <w:pPr>
              <w:spacing w:after="0" w:line="240" w:lineRule="auto"/>
              <w:rPr>
                <w:rFonts w:ascii="Calibri" w:eastAsia="Times New Roman" w:hAnsi="Calibri" w:cs="Times New Roman"/>
                <w:color w:val="000000"/>
              </w:rPr>
            </w:pPr>
            <w:r w:rsidRPr="004C319D">
              <w:rPr>
                <w:rFonts w:ascii="Calibri" w:eastAsia="Times New Roman" w:hAnsi="Calibri" w:cs="Times New Roman"/>
                <w:color w:val="000000"/>
              </w:rPr>
              <w:t xml:space="preserve">Average number of exemptions per request </w:t>
            </w:r>
          </w:p>
        </w:tc>
        <w:tc>
          <w:tcPr>
            <w:tcW w:w="1385" w:type="dxa"/>
            <w:tcBorders>
              <w:top w:val="nil"/>
              <w:left w:val="nil"/>
              <w:bottom w:val="single" w:sz="8" w:space="0" w:color="auto"/>
              <w:right w:val="nil"/>
            </w:tcBorders>
            <w:shd w:val="clear" w:color="auto" w:fill="FFFFFF" w:themeFill="background1"/>
            <w:noWrap/>
            <w:vAlign w:val="bottom"/>
            <w:hideMark/>
          </w:tcPr>
          <w:p w:rsidR="000430A4" w:rsidRPr="004C319D"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1.35</w:t>
            </w:r>
          </w:p>
        </w:tc>
        <w:tc>
          <w:tcPr>
            <w:tcW w:w="1385" w:type="dxa"/>
            <w:tcBorders>
              <w:top w:val="nil"/>
              <w:left w:val="nil"/>
              <w:bottom w:val="single" w:sz="8" w:space="0" w:color="auto"/>
              <w:right w:val="nil"/>
            </w:tcBorders>
            <w:shd w:val="clear" w:color="auto" w:fill="FFFFFF" w:themeFill="background1"/>
            <w:noWrap/>
            <w:vAlign w:val="bottom"/>
            <w:hideMark/>
          </w:tcPr>
          <w:p w:rsidR="000430A4" w:rsidRPr="004C319D" w:rsidRDefault="000430A4" w:rsidP="002F32F0">
            <w:pPr>
              <w:spacing w:after="0" w:line="240" w:lineRule="auto"/>
              <w:jc w:val="center"/>
              <w:rPr>
                <w:rFonts w:ascii="Calibri" w:eastAsia="Times New Roman" w:hAnsi="Calibri" w:cs="Times New Roman"/>
                <w:color w:val="000000"/>
              </w:rPr>
            </w:pPr>
            <w:r w:rsidRPr="004C319D">
              <w:rPr>
                <w:rFonts w:ascii="Calibri" w:eastAsia="Times New Roman" w:hAnsi="Calibri" w:cs="Times New Roman"/>
                <w:color w:val="000000"/>
              </w:rPr>
              <w:t>1.3</w:t>
            </w:r>
            <w:r>
              <w:rPr>
                <w:rFonts w:ascii="Calibri" w:eastAsia="Times New Roman" w:hAnsi="Calibri" w:cs="Times New Roman"/>
                <w:color w:val="000000"/>
              </w:rPr>
              <w:t>2</w:t>
            </w:r>
          </w:p>
        </w:tc>
        <w:tc>
          <w:tcPr>
            <w:tcW w:w="1385" w:type="dxa"/>
            <w:tcBorders>
              <w:top w:val="nil"/>
              <w:left w:val="nil"/>
              <w:bottom w:val="single" w:sz="8" w:space="0" w:color="auto"/>
              <w:right w:val="single" w:sz="8" w:space="0" w:color="auto"/>
            </w:tcBorders>
            <w:shd w:val="clear" w:color="auto" w:fill="FFFFFF" w:themeFill="background1"/>
            <w:noWrap/>
            <w:vAlign w:val="bottom"/>
            <w:hideMark/>
          </w:tcPr>
          <w:p w:rsidR="000430A4" w:rsidRPr="004C319D"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1.48</w:t>
            </w:r>
          </w:p>
        </w:tc>
      </w:tr>
    </w:tbl>
    <w:p w:rsidR="000430A4" w:rsidRPr="00673B2F" w:rsidRDefault="000430A4" w:rsidP="000430A4">
      <w:pPr>
        <w:pStyle w:val="Heading2"/>
        <w:spacing w:before="240"/>
      </w:pPr>
      <w:r w:rsidRPr="00673B2F">
        <w:t>Complaints at the OIC</w:t>
      </w:r>
    </w:p>
    <w:p w:rsidR="000430A4" w:rsidRPr="00673B2F" w:rsidRDefault="000430A4" w:rsidP="000430A4">
      <w:pPr>
        <w:jc w:val="both"/>
      </w:pPr>
      <w:r w:rsidRPr="007D55D0">
        <w:t>The number of complaints received</w:t>
      </w:r>
      <w:r>
        <w:rPr>
          <w:rStyle w:val="FootnoteReference"/>
        </w:rPr>
        <w:footnoteReference w:id="15"/>
      </w:r>
      <w:r w:rsidRPr="007D55D0">
        <w:t xml:space="preserve"> against the RCMP decreased from 185 in 2013-2014 to 178 in 2014-2015. </w:t>
      </w:r>
      <w:r>
        <w:t>The</w:t>
      </w:r>
      <w:r w:rsidRPr="007D55D0">
        <w:t xml:space="preserve"> proportion of refusal to administrative complaints increased substantially, with refusal</w:t>
      </w:r>
      <w:r>
        <w:t>s</w:t>
      </w:r>
      <w:r w:rsidRPr="007D55D0">
        <w:t xml:space="preserve"> account</w:t>
      </w:r>
      <w:r>
        <w:t>ing</w:t>
      </w:r>
      <w:r w:rsidRPr="007D55D0">
        <w:t xml:space="preserve"> for 81.4% </w:t>
      </w:r>
      <w:r>
        <w:t xml:space="preserve">of complaints, while </w:t>
      </w:r>
      <w:r w:rsidRPr="007D55D0">
        <w:t>in 2013-2014 refusal</w:t>
      </w:r>
      <w:r>
        <w:t xml:space="preserve"> complaints accounted for 44.5%</w:t>
      </w:r>
      <w:r w:rsidRPr="007D55D0">
        <w:t xml:space="preserve">. The </w:t>
      </w:r>
      <w:r w:rsidRPr="007D55D0">
        <w:lastRenderedPageBreak/>
        <w:t>number of well-founded complaints decreased this period from 90 to 42. Similarly,</w:t>
      </w:r>
      <w:r>
        <w:t xml:space="preserve"> we observed a reductio</w:t>
      </w:r>
      <w:r w:rsidRPr="007D55D0">
        <w:t xml:space="preserve">n of not well-founded complaints from 35 </w:t>
      </w:r>
      <w:r>
        <w:t xml:space="preserve">in 2013-2014 </w:t>
      </w:r>
      <w:r w:rsidRPr="007D55D0">
        <w:t>to 20 in 2014-2015.</w:t>
      </w:r>
      <w:r>
        <w:t xml:space="preserve"> Approximately</w:t>
      </w:r>
      <w:r w:rsidRPr="007D55D0">
        <w:t xml:space="preserve"> 25</w:t>
      </w:r>
      <w:r>
        <w:t>.0</w:t>
      </w:r>
      <w:r w:rsidRPr="007D55D0">
        <w:t xml:space="preserve">% of all complaints were discontinued and 31.4% </w:t>
      </w:r>
      <w:r>
        <w:t>were</w:t>
      </w:r>
      <w:r w:rsidRPr="007D55D0">
        <w:t xml:space="preserve"> </w:t>
      </w:r>
      <w:r>
        <w:t>still pending.</w:t>
      </w:r>
    </w:p>
    <w:p w:rsidR="000430A4" w:rsidRDefault="000430A4">
      <w:r>
        <w:br w:type="page"/>
      </w:r>
    </w:p>
    <w:p w:rsidR="000430A4" w:rsidRPr="00053AE5" w:rsidRDefault="000430A4" w:rsidP="000430A4">
      <w:pPr>
        <w:pStyle w:val="Heading1"/>
      </w:pPr>
      <w:r w:rsidRPr="00053AE5">
        <w:lastRenderedPageBreak/>
        <w:t>Canada Revenue Agency</w:t>
      </w:r>
    </w:p>
    <w:p w:rsidR="000430A4" w:rsidRPr="00E42046" w:rsidRDefault="000430A4" w:rsidP="000430A4">
      <w:pPr>
        <w:pStyle w:val="Heading2"/>
      </w:pPr>
      <w:r w:rsidRPr="00E42046">
        <w:t>Overall performance</w:t>
      </w:r>
      <w:r w:rsidRPr="0039325A">
        <w:rPr>
          <w:rStyle w:val="FootnoteReference"/>
        </w:rPr>
        <w:footnoteReference w:id="16"/>
      </w:r>
    </w:p>
    <w:p w:rsidR="000430A4" w:rsidRPr="00341F01" w:rsidRDefault="000430A4" w:rsidP="000430A4">
      <w:pPr>
        <w:jc w:val="both"/>
      </w:pPr>
      <w:r w:rsidRPr="00341F01">
        <w:t>Despite an increase of 9.3% in requests received, the Canada Revenue Agency (CRA) showed improvement in terms of the two main indicators: the percentage of requests completed within 30 days increased by 4.8% and the percentage of requests for which all information was disclosed increased by 3.7%. This report provides comparative statistics for the last three periods (2012-2015).</w:t>
      </w:r>
    </w:p>
    <w:p w:rsidR="000430A4" w:rsidRPr="00E42046" w:rsidRDefault="000430A4" w:rsidP="000430A4">
      <w:pPr>
        <w:pStyle w:val="Heading2"/>
      </w:pPr>
      <w:r w:rsidRPr="00E42046">
        <w:t>Workload</w:t>
      </w:r>
    </w:p>
    <w:p w:rsidR="000430A4" w:rsidRPr="00D2368F" w:rsidRDefault="000430A4" w:rsidP="000430A4">
      <w:pPr>
        <w:jc w:val="both"/>
      </w:pPr>
      <w:r w:rsidRPr="00341F01">
        <w:t xml:space="preserve">The CRA </w:t>
      </w:r>
      <w:r>
        <w:t>received 3,</w:t>
      </w:r>
      <w:r w:rsidRPr="00341F01">
        <w:t xml:space="preserve">006 requests under the </w:t>
      </w:r>
      <w:r w:rsidRPr="00341F01">
        <w:rPr>
          <w:i/>
        </w:rPr>
        <w:t>Access to</w:t>
      </w:r>
      <w:r w:rsidRPr="00341F01">
        <w:t xml:space="preserve"> </w:t>
      </w:r>
      <w:r w:rsidRPr="00341F01">
        <w:rPr>
          <w:i/>
        </w:rPr>
        <w:t>Information Act</w:t>
      </w:r>
      <w:r w:rsidRPr="00341F01">
        <w:t xml:space="preserve"> (the Act), representing 4.4% of total requests received across government in 2014-2015. This represents an increase of 9.3% in the total number of requests received by CRA in this reporting period (see Table 1).</w:t>
      </w:r>
    </w:p>
    <w:p w:rsidR="000430A4" w:rsidRDefault="000430A4" w:rsidP="000430A4">
      <w:pPr>
        <w:jc w:val="both"/>
      </w:pPr>
      <w:r w:rsidRPr="00D2368F">
        <w:t>The majority of requests received by the CRA were from the public</w:t>
      </w:r>
      <w:r>
        <w:t xml:space="preserve"> </w:t>
      </w:r>
      <w:r w:rsidRPr="00D2368F">
        <w:t>(60.2%), followed by the</w:t>
      </w:r>
      <w:r>
        <w:t xml:space="preserve"> business sector (29.5%).</w:t>
      </w:r>
      <w:r w:rsidRPr="00D2368F">
        <w:t xml:space="preserve"> </w:t>
      </w:r>
      <w:r>
        <w:t>The number of r</w:t>
      </w:r>
      <w:r w:rsidRPr="00D2368F">
        <w:t>equests</w:t>
      </w:r>
      <w:r>
        <w:t xml:space="preserve"> from the public increased by 18.9</w:t>
      </w:r>
      <w:r w:rsidRPr="00D2368F">
        <w:t xml:space="preserve">% compared to 2013-2014. While compared to the previous period, </w:t>
      </w:r>
      <w:r>
        <w:t xml:space="preserve">the number of </w:t>
      </w:r>
      <w:r w:rsidRPr="00D2368F">
        <w:t>requests from</w:t>
      </w:r>
      <w:r>
        <w:t xml:space="preserve"> the business sector decreased by 19.9</w:t>
      </w:r>
      <w:r w:rsidRPr="00D2368F">
        <w:t>%</w:t>
      </w:r>
      <w:r>
        <w:t>.</w:t>
      </w:r>
    </w:p>
    <w:p w:rsidR="000430A4" w:rsidRPr="00D2368F" w:rsidRDefault="000430A4" w:rsidP="000430A4">
      <w:pPr>
        <w:jc w:val="both"/>
      </w:pPr>
      <w:r w:rsidRPr="00D2368F">
        <w:t>The CRA completed 2</w:t>
      </w:r>
      <w:r>
        <w:t>,</w:t>
      </w:r>
      <w:r w:rsidRPr="00D2368F">
        <w:t xml:space="preserve">668 requests this reporting period. </w:t>
      </w:r>
      <w:r>
        <w:t>The completion rate</w:t>
      </w:r>
      <w:r>
        <w:rPr>
          <w:rStyle w:val="FootnoteReference"/>
        </w:rPr>
        <w:footnoteReference w:id="17"/>
      </w:r>
      <w:r>
        <w:t xml:space="preserve"> was 74.2%, </w:t>
      </w:r>
      <w:r w:rsidRPr="00D2368F">
        <w:t xml:space="preserve">which is </w:t>
      </w:r>
      <w:r>
        <w:t xml:space="preserve">lower than </w:t>
      </w:r>
      <w:r w:rsidRPr="00D2368F">
        <w:t xml:space="preserve">the </w:t>
      </w:r>
      <w:r>
        <w:t>government-wide rate which is 85.1%. In 2013-2014, the completion rate for the CRA was 82.5%</w:t>
      </w:r>
      <w:r w:rsidRPr="00D2368F">
        <w:t xml:space="preserve">. </w:t>
      </w:r>
      <w:r>
        <w:t xml:space="preserve">The CRA also </w:t>
      </w:r>
      <w:r w:rsidRPr="00D2368F">
        <w:t xml:space="preserve">received </w:t>
      </w:r>
      <w:r>
        <w:t xml:space="preserve">329 informal requests in 2014-2015 and </w:t>
      </w:r>
      <w:r w:rsidRPr="00D2368F">
        <w:t xml:space="preserve">58.7% of these </w:t>
      </w:r>
      <w:r w:rsidRPr="00947CA6">
        <w:t xml:space="preserve">were completed within 30 </w:t>
      </w:r>
      <w:r w:rsidRPr="00341F01">
        <w:t>days. The number of consultations received by CRA from other federal government institutions increased from 103 to 122, representing an increase of 18.4% compared to 2013-2014.</w:t>
      </w:r>
      <w:r w:rsidRPr="00512001">
        <w:t xml:space="preserve"> </w:t>
      </w:r>
    </w:p>
    <w:p w:rsidR="000430A4" w:rsidRDefault="000430A4" w:rsidP="000430A4">
      <w:pPr>
        <w:jc w:val="both"/>
      </w:pPr>
      <w:r>
        <w:t xml:space="preserve">In 2014-2015, the CRA processed 1,306,661 pages to respond to access to information requests. </w:t>
      </w:r>
      <w:r w:rsidRPr="001157BF">
        <w:t xml:space="preserve">The average number of pages processed per completed request </w:t>
      </w:r>
      <w:r>
        <w:t xml:space="preserve">decreased from 638 </w:t>
      </w:r>
      <w:r w:rsidRPr="001157BF">
        <w:t xml:space="preserve">in 2013-2014 to </w:t>
      </w:r>
      <w:r>
        <w:t>526 in 2014-2015.</w:t>
      </w:r>
    </w:p>
    <w:p w:rsidR="000430A4" w:rsidRDefault="000430A4" w:rsidP="000430A4">
      <w:pPr>
        <w:jc w:val="both"/>
      </w:pPr>
      <w:r w:rsidRPr="002B3DC2">
        <w:t xml:space="preserve">The information released by </w:t>
      </w:r>
      <w:r>
        <w:t>CRA was mostly in electronic</w:t>
      </w:r>
      <w:r w:rsidRPr="002B3DC2">
        <w:t xml:space="preserve"> format</w:t>
      </w:r>
      <w:r>
        <w:t>: 1,628 requests in electronic format compared to 294 in paper format</w:t>
      </w:r>
      <w:r w:rsidRPr="002B3DC2">
        <w:t xml:space="preserve">. </w:t>
      </w:r>
      <w:r>
        <w:t xml:space="preserve">The format of information released was similar to the results observed in the previous period </w:t>
      </w:r>
      <w:r w:rsidRPr="002B3DC2">
        <w:t>(</w:t>
      </w:r>
      <w:r>
        <w:t>1,550 in electronic format compared to 381 in paper format).</w:t>
      </w:r>
      <w:r w:rsidRPr="002B3DC2">
        <w:t xml:space="preserve"> </w:t>
      </w:r>
    </w:p>
    <w:p w:rsidR="000430A4" w:rsidRPr="00E42046" w:rsidRDefault="000430A4" w:rsidP="000430A4">
      <w:pPr>
        <w:pStyle w:val="Heading3"/>
        <w:rPr>
          <w:b w:val="0"/>
        </w:rPr>
      </w:pPr>
      <w:r w:rsidRPr="00E42046">
        <w:t>Table 1: Workload</w:t>
      </w:r>
    </w:p>
    <w:tbl>
      <w:tblPr>
        <w:tblW w:w="9465" w:type="dxa"/>
        <w:tblInd w:w="103" w:type="dxa"/>
        <w:tblLook w:val="04A0"/>
      </w:tblPr>
      <w:tblGrid>
        <w:gridCol w:w="4598"/>
        <w:gridCol w:w="1329"/>
        <w:gridCol w:w="1780"/>
        <w:gridCol w:w="1758"/>
      </w:tblGrid>
      <w:tr w:rsidR="000430A4" w:rsidRPr="00A80B20" w:rsidTr="002F32F0">
        <w:trPr>
          <w:trHeight w:val="280"/>
        </w:trPr>
        <w:tc>
          <w:tcPr>
            <w:tcW w:w="4598" w:type="dxa"/>
            <w:tcBorders>
              <w:top w:val="single" w:sz="4" w:space="0" w:color="auto"/>
              <w:left w:val="single" w:sz="4" w:space="0" w:color="auto"/>
              <w:bottom w:val="single" w:sz="4" w:space="0" w:color="auto"/>
              <w:right w:val="nil"/>
            </w:tcBorders>
            <w:shd w:val="clear" w:color="auto" w:fill="auto"/>
            <w:noWrap/>
            <w:vAlign w:val="bottom"/>
            <w:hideMark/>
          </w:tcPr>
          <w:p w:rsidR="000430A4" w:rsidRDefault="000430A4" w:rsidP="002F32F0">
            <w:pPr>
              <w:spacing w:after="0" w:line="240" w:lineRule="auto"/>
              <w:rPr>
                <w:rFonts w:ascii="Calibri" w:eastAsia="Times New Roman" w:hAnsi="Calibri" w:cs="Times New Roman"/>
                <w:color w:val="000000"/>
              </w:rPr>
            </w:pPr>
            <w:r w:rsidRPr="00A80B20">
              <w:rPr>
                <w:rFonts w:ascii="Calibri" w:eastAsia="Times New Roman" w:hAnsi="Calibri" w:cs="Times New Roman"/>
                <w:color w:val="000000"/>
              </w:rPr>
              <w:t xml:space="preserve">Measures </w:t>
            </w:r>
          </w:p>
        </w:tc>
        <w:tc>
          <w:tcPr>
            <w:tcW w:w="1329" w:type="dxa"/>
            <w:tcBorders>
              <w:top w:val="single" w:sz="4" w:space="0" w:color="auto"/>
              <w:left w:val="nil"/>
              <w:bottom w:val="single" w:sz="4" w:space="0" w:color="auto"/>
              <w:right w:val="nil"/>
            </w:tcBorders>
            <w:shd w:val="clear" w:color="auto" w:fill="auto"/>
            <w:noWrap/>
            <w:vAlign w:val="bottom"/>
            <w:hideMark/>
          </w:tcPr>
          <w:p w:rsidR="000430A4" w:rsidRPr="00A80B20" w:rsidRDefault="000430A4" w:rsidP="002F32F0">
            <w:pPr>
              <w:spacing w:after="0" w:line="240" w:lineRule="auto"/>
              <w:jc w:val="center"/>
              <w:rPr>
                <w:rFonts w:ascii="Calibri" w:eastAsia="Times New Roman" w:hAnsi="Calibri" w:cs="Times New Roman"/>
                <w:color w:val="000000"/>
              </w:rPr>
            </w:pPr>
            <w:r w:rsidRPr="00A80B20">
              <w:rPr>
                <w:rFonts w:ascii="Calibri" w:eastAsia="Times New Roman" w:hAnsi="Calibri" w:cs="Times New Roman"/>
                <w:color w:val="000000"/>
              </w:rPr>
              <w:t>2012-2013</w:t>
            </w:r>
          </w:p>
        </w:tc>
        <w:tc>
          <w:tcPr>
            <w:tcW w:w="1780" w:type="dxa"/>
            <w:tcBorders>
              <w:top w:val="single" w:sz="4" w:space="0" w:color="auto"/>
              <w:left w:val="nil"/>
              <w:bottom w:val="single" w:sz="4" w:space="0" w:color="auto"/>
              <w:right w:val="nil"/>
            </w:tcBorders>
            <w:shd w:val="clear" w:color="auto" w:fill="auto"/>
            <w:noWrap/>
            <w:vAlign w:val="bottom"/>
            <w:hideMark/>
          </w:tcPr>
          <w:p w:rsidR="000430A4" w:rsidRPr="00A80B20" w:rsidRDefault="000430A4" w:rsidP="002F32F0">
            <w:pPr>
              <w:spacing w:after="0" w:line="240" w:lineRule="auto"/>
              <w:jc w:val="center"/>
              <w:rPr>
                <w:rFonts w:ascii="Calibri" w:eastAsia="Times New Roman" w:hAnsi="Calibri" w:cs="Times New Roman"/>
                <w:color w:val="000000"/>
              </w:rPr>
            </w:pPr>
            <w:r w:rsidRPr="00A80B20">
              <w:rPr>
                <w:rFonts w:ascii="Calibri" w:eastAsia="Times New Roman" w:hAnsi="Calibri" w:cs="Times New Roman"/>
                <w:color w:val="000000"/>
              </w:rPr>
              <w:t>2013-2014</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0430A4" w:rsidRPr="00A80B20" w:rsidRDefault="000430A4" w:rsidP="002F32F0">
            <w:pPr>
              <w:spacing w:after="0" w:line="240" w:lineRule="auto"/>
              <w:jc w:val="center"/>
              <w:rPr>
                <w:rFonts w:ascii="Calibri" w:eastAsia="Times New Roman" w:hAnsi="Calibri" w:cs="Times New Roman"/>
                <w:color w:val="000000"/>
              </w:rPr>
            </w:pPr>
            <w:r w:rsidRPr="00A80B20">
              <w:rPr>
                <w:rFonts w:ascii="Calibri" w:eastAsia="Times New Roman" w:hAnsi="Calibri" w:cs="Times New Roman"/>
                <w:color w:val="000000"/>
              </w:rPr>
              <w:t>2014-2015</w:t>
            </w:r>
          </w:p>
        </w:tc>
      </w:tr>
      <w:tr w:rsidR="000430A4" w:rsidRPr="00A80B20" w:rsidTr="002F32F0">
        <w:trPr>
          <w:trHeight w:val="280"/>
        </w:trPr>
        <w:tc>
          <w:tcPr>
            <w:tcW w:w="4598" w:type="dxa"/>
            <w:tcBorders>
              <w:top w:val="nil"/>
              <w:left w:val="single" w:sz="4" w:space="0" w:color="auto"/>
              <w:bottom w:val="nil"/>
              <w:right w:val="nil"/>
            </w:tcBorders>
            <w:shd w:val="clear" w:color="000000" w:fill="DBE5F1"/>
            <w:noWrap/>
            <w:hideMark/>
          </w:tcPr>
          <w:p w:rsidR="000430A4" w:rsidRPr="00A80B20" w:rsidRDefault="000430A4" w:rsidP="002F32F0">
            <w:pPr>
              <w:spacing w:after="0" w:line="240" w:lineRule="auto"/>
              <w:rPr>
                <w:rFonts w:ascii="Calibri" w:eastAsia="Times New Roman" w:hAnsi="Calibri" w:cs="Times New Roman"/>
                <w:color w:val="000000"/>
              </w:rPr>
            </w:pPr>
            <w:r w:rsidRPr="00A80B20">
              <w:rPr>
                <w:rFonts w:ascii="Calibri" w:eastAsia="Times New Roman" w:hAnsi="Calibri" w:cs="Times New Roman"/>
                <w:color w:val="000000"/>
              </w:rPr>
              <w:t xml:space="preserve">Number of </w:t>
            </w:r>
            <w:r>
              <w:rPr>
                <w:rFonts w:ascii="Calibri" w:eastAsia="Times New Roman" w:hAnsi="Calibri" w:cs="Times New Roman"/>
                <w:color w:val="000000"/>
              </w:rPr>
              <w:t>requests</w:t>
            </w:r>
            <w:r w:rsidRPr="00A80B20">
              <w:rPr>
                <w:rFonts w:ascii="Calibri" w:eastAsia="Times New Roman" w:hAnsi="Calibri" w:cs="Times New Roman"/>
                <w:color w:val="000000"/>
              </w:rPr>
              <w:t xml:space="preserve"> received </w:t>
            </w:r>
          </w:p>
        </w:tc>
        <w:tc>
          <w:tcPr>
            <w:tcW w:w="1329" w:type="dxa"/>
            <w:tcBorders>
              <w:top w:val="nil"/>
              <w:left w:val="nil"/>
              <w:bottom w:val="nil"/>
              <w:right w:val="nil"/>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rPr>
            </w:pPr>
            <w:r w:rsidRPr="00A80B20">
              <w:rPr>
                <w:rFonts w:ascii="Calibri" w:eastAsia="Times New Roman" w:hAnsi="Calibri" w:cs="Times New Roman"/>
                <w:b/>
                <w:bCs/>
              </w:rPr>
              <w:t>3</w:t>
            </w:r>
            <w:r w:rsidR="00F257F8">
              <w:rPr>
                <w:rFonts w:ascii="Calibri" w:eastAsia="Times New Roman" w:hAnsi="Calibri" w:cs="Times New Roman"/>
                <w:b/>
                <w:bCs/>
              </w:rPr>
              <w:t>,</w:t>
            </w:r>
            <w:r w:rsidRPr="00A80B20">
              <w:rPr>
                <w:rFonts w:ascii="Calibri" w:eastAsia="Times New Roman" w:hAnsi="Calibri" w:cs="Times New Roman"/>
                <w:b/>
                <w:bCs/>
              </w:rPr>
              <w:t>137</w:t>
            </w:r>
          </w:p>
        </w:tc>
        <w:tc>
          <w:tcPr>
            <w:tcW w:w="1780" w:type="dxa"/>
            <w:tcBorders>
              <w:top w:val="nil"/>
              <w:left w:val="nil"/>
              <w:bottom w:val="nil"/>
              <w:right w:val="nil"/>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rPr>
            </w:pPr>
            <w:r w:rsidRPr="00A80B20">
              <w:rPr>
                <w:rFonts w:ascii="Calibri" w:eastAsia="Times New Roman" w:hAnsi="Calibri" w:cs="Times New Roman"/>
                <w:b/>
                <w:bCs/>
              </w:rPr>
              <w:t>2</w:t>
            </w:r>
            <w:r w:rsidR="00F257F8">
              <w:rPr>
                <w:rFonts w:ascii="Calibri" w:eastAsia="Times New Roman" w:hAnsi="Calibri" w:cs="Times New Roman"/>
                <w:b/>
                <w:bCs/>
              </w:rPr>
              <w:t>,</w:t>
            </w:r>
            <w:r w:rsidRPr="00A80B20">
              <w:rPr>
                <w:rFonts w:ascii="Calibri" w:eastAsia="Times New Roman" w:hAnsi="Calibri" w:cs="Times New Roman"/>
                <w:b/>
                <w:bCs/>
              </w:rPr>
              <w:t>751</w:t>
            </w:r>
          </w:p>
        </w:tc>
        <w:tc>
          <w:tcPr>
            <w:tcW w:w="1758" w:type="dxa"/>
            <w:tcBorders>
              <w:top w:val="nil"/>
              <w:left w:val="nil"/>
              <w:bottom w:val="nil"/>
              <w:right w:val="single" w:sz="4" w:space="0" w:color="auto"/>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rPr>
            </w:pPr>
            <w:r w:rsidRPr="00A80B20">
              <w:rPr>
                <w:rFonts w:ascii="Calibri" w:eastAsia="Times New Roman" w:hAnsi="Calibri" w:cs="Times New Roman"/>
                <w:b/>
                <w:bCs/>
              </w:rPr>
              <w:t>3</w:t>
            </w:r>
            <w:r w:rsidR="00F257F8">
              <w:rPr>
                <w:rFonts w:ascii="Calibri" w:eastAsia="Times New Roman" w:hAnsi="Calibri" w:cs="Times New Roman"/>
                <w:b/>
                <w:bCs/>
              </w:rPr>
              <w:t>,</w:t>
            </w:r>
            <w:r w:rsidRPr="00A80B20">
              <w:rPr>
                <w:rFonts w:ascii="Calibri" w:eastAsia="Times New Roman" w:hAnsi="Calibri" w:cs="Times New Roman"/>
                <w:b/>
                <w:bCs/>
              </w:rPr>
              <w:t>006</w:t>
            </w:r>
          </w:p>
        </w:tc>
      </w:tr>
      <w:tr w:rsidR="000430A4" w:rsidRPr="00A80B20" w:rsidTr="002F32F0">
        <w:trPr>
          <w:trHeight w:val="280"/>
        </w:trPr>
        <w:tc>
          <w:tcPr>
            <w:tcW w:w="4598" w:type="dxa"/>
            <w:tcBorders>
              <w:top w:val="nil"/>
              <w:left w:val="single" w:sz="4" w:space="0" w:color="auto"/>
              <w:bottom w:val="nil"/>
              <w:right w:val="nil"/>
            </w:tcBorders>
            <w:shd w:val="clear" w:color="auto" w:fill="auto"/>
            <w:hideMark/>
          </w:tcPr>
          <w:p w:rsidR="000430A4" w:rsidRPr="00A80B20" w:rsidRDefault="000430A4" w:rsidP="002F32F0">
            <w:pPr>
              <w:spacing w:after="0" w:line="240" w:lineRule="auto"/>
              <w:rPr>
                <w:rFonts w:ascii="Calibri" w:eastAsia="Times New Roman" w:hAnsi="Calibri" w:cs="Times New Roman"/>
              </w:rPr>
            </w:pPr>
            <w:r w:rsidRPr="00A80B20">
              <w:rPr>
                <w:rFonts w:ascii="Calibri" w:eastAsia="Times New Roman" w:hAnsi="Calibri" w:cs="Times New Roman"/>
              </w:rPr>
              <w:t>Annual change (%)</w:t>
            </w:r>
          </w:p>
        </w:tc>
        <w:tc>
          <w:tcPr>
            <w:tcW w:w="1329" w:type="dxa"/>
            <w:tcBorders>
              <w:top w:val="nil"/>
              <w:left w:val="nil"/>
              <w:bottom w:val="nil"/>
              <w:right w:val="nil"/>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w:t>
            </w:r>
          </w:p>
        </w:tc>
        <w:tc>
          <w:tcPr>
            <w:tcW w:w="1780" w:type="dxa"/>
            <w:tcBorders>
              <w:top w:val="nil"/>
              <w:left w:val="nil"/>
              <w:bottom w:val="nil"/>
              <w:right w:val="nil"/>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-12.3%</w:t>
            </w:r>
          </w:p>
        </w:tc>
        <w:tc>
          <w:tcPr>
            <w:tcW w:w="1758" w:type="dxa"/>
            <w:tcBorders>
              <w:top w:val="nil"/>
              <w:left w:val="nil"/>
              <w:bottom w:val="nil"/>
              <w:right w:val="single" w:sz="4" w:space="0" w:color="auto"/>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9.3%</w:t>
            </w:r>
          </w:p>
        </w:tc>
      </w:tr>
      <w:tr w:rsidR="000430A4" w:rsidRPr="00A80B20" w:rsidTr="002F32F0">
        <w:trPr>
          <w:trHeight w:val="280"/>
        </w:trPr>
        <w:tc>
          <w:tcPr>
            <w:tcW w:w="4598" w:type="dxa"/>
            <w:tcBorders>
              <w:top w:val="nil"/>
              <w:left w:val="single" w:sz="4" w:space="0" w:color="auto"/>
              <w:right w:val="nil"/>
            </w:tcBorders>
            <w:shd w:val="clear" w:color="000000" w:fill="DBE5F1"/>
            <w:hideMark/>
          </w:tcPr>
          <w:p w:rsidR="000430A4" w:rsidRPr="00A80B20" w:rsidRDefault="000430A4" w:rsidP="002F32F0">
            <w:pPr>
              <w:spacing w:after="0" w:line="240" w:lineRule="auto"/>
              <w:rPr>
                <w:rFonts w:ascii="Calibri" w:eastAsia="Times New Roman" w:hAnsi="Calibri" w:cs="Times New Roman"/>
              </w:rPr>
            </w:pPr>
            <w:r w:rsidRPr="00A80B20">
              <w:rPr>
                <w:rFonts w:ascii="Calibri" w:eastAsia="Times New Roman" w:hAnsi="Calibri" w:cs="Times New Roman"/>
              </w:rPr>
              <w:t>Completed requests</w:t>
            </w:r>
          </w:p>
        </w:tc>
        <w:tc>
          <w:tcPr>
            <w:tcW w:w="1329" w:type="dxa"/>
            <w:tcBorders>
              <w:top w:val="nil"/>
              <w:left w:val="nil"/>
              <w:right w:val="nil"/>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rPr>
            </w:pPr>
            <w:r w:rsidRPr="00A80B20">
              <w:rPr>
                <w:rFonts w:ascii="Calibri" w:eastAsia="Times New Roman" w:hAnsi="Calibri" w:cs="Times New Roman"/>
                <w:b/>
                <w:bCs/>
              </w:rPr>
              <w:t>3</w:t>
            </w:r>
            <w:r w:rsidR="00F257F8">
              <w:rPr>
                <w:rFonts w:ascii="Calibri" w:eastAsia="Times New Roman" w:hAnsi="Calibri" w:cs="Times New Roman"/>
                <w:b/>
                <w:bCs/>
              </w:rPr>
              <w:t>,</w:t>
            </w:r>
            <w:r w:rsidRPr="00A80B20">
              <w:rPr>
                <w:rFonts w:ascii="Calibri" w:eastAsia="Times New Roman" w:hAnsi="Calibri" w:cs="Times New Roman"/>
                <w:b/>
                <w:bCs/>
              </w:rPr>
              <w:t>083</w:t>
            </w:r>
          </w:p>
        </w:tc>
        <w:tc>
          <w:tcPr>
            <w:tcW w:w="1780" w:type="dxa"/>
            <w:tcBorders>
              <w:top w:val="nil"/>
              <w:left w:val="nil"/>
              <w:right w:val="nil"/>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rPr>
            </w:pPr>
            <w:r w:rsidRPr="00A80B20">
              <w:rPr>
                <w:rFonts w:ascii="Calibri" w:eastAsia="Times New Roman" w:hAnsi="Calibri" w:cs="Times New Roman"/>
                <w:b/>
                <w:bCs/>
              </w:rPr>
              <w:t>2</w:t>
            </w:r>
            <w:r w:rsidR="00F257F8">
              <w:rPr>
                <w:rFonts w:ascii="Calibri" w:eastAsia="Times New Roman" w:hAnsi="Calibri" w:cs="Times New Roman"/>
                <w:b/>
                <w:bCs/>
              </w:rPr>
              <w:t>,</w:t>
            </w:r>
            <w:r w:rsidRPr="00A80B20">
              <w:rPr>
                <w:rFonts w:ascii="Calibri" w:eastAsia="Times New Roman" w:hAnsi="Calibri" w:cs="Times New Roman"/>
                <w:b/>
                <w:bCs/>
              </w:rPr>
              <w:t>795</w:t>
            </w:r>
          </w:p>
        </w:tc>
        <w:tc>
          <w:tcPr>
            <w:tcW w:w="1758" w:type="dxa"/>
            <w:tcBorders>
              <w:top w:val="nil"/>
              <w:left w:val="nil"/>
              <w:right w:val="single" w:sz="4" w:space="0" w:color="auto"/>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rPr>
            </w:pPr>
            <w:r w:rsidRPr="00A80B20">
              <w:rPr>
                <w:rFonts w:ascii="Calibri" w:eastAsia="Times New Roman" w:hAnsi="Calibri" w:cs="Times New Roman"/>
                <w:b/>
                <w:bCs/>
              </w:rPr>
              <w:t>2</w:t>
            </w:r>
            <w:r w:rsidR="00F257F8">
              <w:rPr>
                <w:rFonts w:ascii="Calibri" w:eastAsia="Times New Roman" w:hAnsi="Calibri" w:cs="Times New Roman"/>
                <w:b/>
                <w:bCs/>
              </w:rPr>
              <w:t>,</w:t>
            </w:r>
            <w:r w:rsidRPr="00A80B20">
              <w:rPr>
                <w:rFonts w:ascii="Calibri" w:eastAsia="Times New Roman" w:hAnsi="Calibri" w:cs="Times New Roman"/>
                <w:b/>
                <w:bCs/>
              </w:rPr>
              <w:t>668</w:t>
            </w:r>
          </w:p>
        </w:tc>
      </w:tr>
      <w:tr w:rsidR="000430A4" w:rsidRPr="00A80B20" w:rsidTr="002F32F0">
        <w:trPr>
          <w:trHeight w:val="280"/>
        </w:trPr>
        <w:tc>
          <w:tcPr>
            <w:tcW w:w="4598" w:type="dxa"/>
            <w:tcBorders>
              <w:top w:val="nil"/>
              <w:left w:val="single" w:sz="4" w:space="0" w:color="auto"/>
              <w:right w:val="nil"/>
            </w:tcBorders>
            <w:shd w:val="clear" w:color="auto" w:fill="auto"/>
            <w:hideMark/>
          </w:tcPr>
          <w:p w:rsidR="000430A4" w:rsidRPr="00A80B20" w:rsidRDefault="000430A4" w:rsidP="002F32F0">
            <w:pPr>
              <w:spacing w:after="0" w:line="240" w:lineRule="auto"/>
              <w:rPr>
                <w:rFonts w:ascii="Calibri" w:eastAsia="Times New Roman" w:hAnsi="Calibri" w:cs="Times New Roman"/>
              </w:rPr>
            </w:pPr>
            <w:r w:rsidRPr="00A80B20">
              <w:rPr>
                <w:rFonts w:ascii="Calibri" w:eastAsia="Times New Roman" w:hAnsi="Calibri" w:cs="Times New Roman"/>
              </w:rPr>
              <w:t>Annual change</w:t>
            </w:r>
          </w:p>
        </w:tc>
        <w:tc>
          <w:tcPr>
            <w:tcW w:w="1329" w:type="dxa"/>
            <w:tcBorders>
              <w:top w:val="nil"/>
              <w:left w:val="nil"/>
              <w:right w:val="nil"/>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w:t>
            </w:r>
          </w:p>
        </w:tc>
        <w:tc>
          <w:tcPr>
            <w:tcW w:w="1780" w:type="dxa"/>
            <w:tcBorders>
              <w:top w:val="nil"/>
              <w:left w:val="nil"/>
              <w:right w:val="nil"/>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-9.3%</w:t>
            </w:r>
          </w:p>
        </w:tc>
        <w:tc>
          <w:tcPr>
            <w:tcW w:w="1758" w:type="dxa"/>
            <w:tcBorders>
              <w:top w:val="nil"/>
              <w:left w:val="nil"/>
              <w:right w:val="single" w:sz="4" w:space="0" w:color="auto"/>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-4.5%</w:t>
            </w:r>
          </w:p>
        </w:tc>
      </w:tr>
      <w:tr w:rsidR="000430A4" w:rsidRPr="00A80B20" w:rsidTr="002F32F0">
        <w:trPr>
          <w:trHeight w:val="560"/>
        </w:trPr>
        <w:tc>
          <w:tcPr>
            <w:tcW w:w="4598" w:type="dxa"/>
            <w:tcBorders>
              <w:left w:val="single" w:sz="4" w:space="0" w:color="auto"/>
              <w:right w:val="nil"/>
            </w:tcBorders>
            <w:shd w:val="clear" w:color="000000" w:fill="DBE5F1"/>
            <w:hideMark/>
          </w:tcPr>
          <w:p w:rsidR="000430A4" w:rsidRPr="00A80B20" w:rsidRDefault="000430A4" w:rsidP="002F32F0">
            <w:pPr>
              <w:spacing w:after="0" w:line="240" w:lineRule="auto"/>
              <w:rPr>
                <w:rFonts w:ascii="Calibri" w:eastAsia="Times New Roman" w:hAnsi="Calibri" w:cs="Times New Roman"/>
                <w:color w:val="000000"/>
              </w:rPr>
            </w:pPr>
            <w:r w:rsidRPr="00A80B20">
              <w:rPr>
                <w:rFonts w:ascii="Calibri" w:eastAsia="Times New Roman" w:hAnsi="Calibri" w:cs="Times New Roman"/>
                <w:color w:val="000000"/>
              </w:rPr>
              <w:lastRenderedPageBreak/>
              <w:t>Number of consultations received (fro</w:t>
            </w:r>
            <w:r>
              <w:rPr>
                <w:rFonts w:ascii="Calibri" w:eastAsia="Times New Roman" w:hAnsi="Calibri" w:cs="Times New Roman"/>
                <w:color w:val="000000"/>
              </w:rPr>
              <w:t>m other government institutions</w:t>
            </w:r>
            <w:r w:rsidRPr="00A80B20">
              <w:rPr>
                <w:rFonts w:ascii="Calibri" w:eastAsia="Times New Roman" w:hAnsi="Calibri" w:cs="Times New Roman"/>
                <w:color w:val="000000"/>
              </w:rPr>
              <w:t>)</w:t>
            </w:r>
          </w:p>
        </w:tc>
        <w:tc>
          <w:tcPr>
            <w:tcW w:w="1329" w:type="dxa"/>
            <w:tcBorders>
              <w:left w:val="nil"/>
              <w:right w:val="nil"/>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color w:val="000000"/>
              </w:rPr>
            </w:pPr>
            <w:r w:rsidRPr="00A80B20">
              <w:rPr>
                <w:rFonts w:ascii="Calibri" w:eastAsia="Times New Roman" w:hAnsi="Calibri" w:cs="Times New Roman"/>
                <w:b/>
                <w:bCs/>
                <w:color w:val="000000"/>
              </w:rPr>
              <w:t>83</w:t>
            </w:r>
          </w:p>
        </w:tc>
        <w:tc>
          <w:tcPr>
            <w:tcW w:w="1780" w:type="dxa"/>
            <w:tcBorders>
              <w:left w:val="nil"/>
              <w:right w:val="nil"/>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color w:val="000000"/>
              </w:rPr>
            </w:pPr>
            <w:r w:rsidRPr="00A80B20">
              <w:rPr>
                <w:rFonts w:ascii="Calibri" w:eastAsia="Times New Roman" w:hAnsi="Calibri" w:cs="Times New Roman"/>
                <w:b/>
                <w:bCs/>
                <w:color w:val="000000"/>
              </w:rPr>
              <w:t>103</w:t>
            </w:r>
          </w:p>
        </w:tc>
        <w:tc>
          <w:tcPr>
            <w:tcW w:w="1758" w:type="dxa"/>
            <w:tcBorders>
              <w:left w:val="nil"/>
              <w:right w:val="single" w:sz="4" w:space="0" w:color="auto"/>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color w:val="000000"/>
              </w:rPr>
            </w:pPr>
            <w:r w:rsidRPr="00A80B20">
              <w:rPr>
                <w:rFonts w:ascii="Calibri" w:eastAsia="Times New Roman" w:hAnsi="Calibri" w:cs="Times New Roman"/>
                <w:b/>
                <w:bCs/>
                <w:color w:val="000000"/>
              </w:rPr>
              <w:t>122</w:t>
            </w:r>
          </w:p>
        </w:tc>
      </w:tr>
      <w:tr w:rsidR="000430A4" w:rsidRPr="00A80B20" w:rsidTr="002F32F0">
        <w:trPr>
          <w:trHeight w:val="294"/>
        </w:trPr>
        <w:tc>
          <w:tcPr>
            <w:tcW w:w="4598" w:type="dxa"/>
            <w:tcBorders>
              <w:top w:val="nil"/>
              <w:left w:val="single" w:sz="4" w:space="0" w:color="auto"/>
              <w:right w:val="nil"/>
            </w:tcBorders>
            <w:shd w:val="clear" w:color="auto" w:fill="auto"/>
            <w:hideMark/>
          </w:tcPr>
          <w:p w:rsidR="000430A4" w:rsidRPr="00A80B20" w:rsidRDefault="000430A4" w:rsidP="002F32F0">
            <w:pPr>
              <w:spacing w:after="0" w:line="240" w:lineRule="auto"/>
              <w:rPr>
                <w:rFonts w:ascii="Calibri" w:eastAsia="Times New Roman" w:hAnsi="Calibri" w:cs="Times New Roman"/>
              </w:rPr>
            </w:pPr>
            <w:r w:rsidRPr="00A80B20">
              <w:rPr>
                <w:rFonts w:ascii="Calibri" w:eastAsia="Times New Roman" w:hAnsi="Calibri" w:cs="Times New Roman"/>
              </w:rPr>
              <w:t>Annual change (%)</w:t>
            </w:r>
          </w:p>
        </w:tc>
        <w:tc>
          <w:tcPr>
            <w:tcW w:w="1329" w:type="dxa"/>
            <w:tcBorders>
              <w:top w:val="nil"/>
              <w:left w:val="nil"/>
              <w:right w:val="nil"/>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w:t>
            </w:r>
          </w:p>
        </w:tc>
        <w:tc>
          <w:tcPr>
            <w:tcW w:w="1780" w:type="dxa"/>
            <w:tcBorders>
              <w:top w:val="nil"/>
              <w:left w:val="nil"/>
              <w:right w:val="nil"/>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24.1%</w:t>
            </w:r>
          </w:p>
        </w:tc>
        <w:tc>
          <w:tcPr>
            <w:tcW w:w="1758" w:type="dxa"/>
            <w:tcBorders>
              <w:top w:val="nil"/>
              <w:left w:val="nil"/>
              <w:right w:val="single" w:sz="4" w:space="0" w:color="auto"/>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18.4%</w:t>
            </w:r>
          </w:p>
        </w:tc>
      </w:tr>
      <w:tr w:rsidR="000430A4" w:rsidRPr="00A80B20" w:rsidTr="002F32F0">
        <w:trPr>
          <w:trHeight w:val="574"/>
        </w:trPr>
        <w:tc>
          <w:tcPr>
            <w:tcW w:w="4598" w:type="dxa"/>
            <w:tcBorders>
              <w:left w:val="single" w:sz="4" w:space="0" w:color="auto"/>
              <w:bottom w:val="nil"/>
              <w:right w:val="nil"/>
            </w:tcBorders>
            <w:shd w:val="clear" w:color="000000" w:fill="DBE5F1"/>
            <w:hideMark/>
          </w:tcPr>
          <w:p w:rsidR="000430A4" w:rsidRPr="00A80B20" w:rsidRDefault="000430A4" w:rsidP="002F32F0">
            <w:pPr>
              <w:spacing w:after="0" w:line="240" w:lineRule="auto"/>
              <w:rPr>
                <w:rFonts w:ascii="Calibri" w:eastAsia="Times New Roman" w:hAnsi="Calibri" w:cs="Times New Roman"/>
              </w:rPr>
            </w:pPr>
            <w:r w:rsidRPr="00A80B20">
              <w:rPr>
                <w:rFonts w:ascii="Calibri" w:eastAsia="Times New Roman" w:hAnsi="Calibri" w:cs="Times New Roman"/>
              </w:rPr>
              <w:t>Average number of pages processed per request completed</w:t>
            </w:r>
          </w:p>
        </w:tc>
        <w:tc>
          <w:tcPr>
            <w:tcW w:w="1329" w:type="dxa"/>
            <w:tcBorders>
              <w:left w:val="nil"/>
              <w:bottom w:val="nil"/>
              <w:right w:val="nil"/>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rPr>
            </w:pPr>
            <w:r w:rsidRPr="00A80B20">
              <w:rPr>
                <w:rFonts w:ascii="Calibri" w:eastAsia="Times New Roman" w:hAnsi="Calibri" w:cs="Times New Roman"/>
                <w:b/>
                <w:bCs/>
              </w:rPr>
              <w:t>43</w:t>
            </w:r>
            <w:r>
              <w:rPr>
                <w:rFonts w:ascii="Calibri" w:eastAsia="Times New Roman" w:hAnsi="Calibri" w:cs="Times New Roman"/>
                <w:b/>
                <w:bCs/>
              </w:rPr>
              <w:t>3</w:t>
            </w:r>
          </w:p>
        </w:tc>
        <w:tc>
          <w:tcPr>
            <w:tcW w:w="1780" w:type="dxa"/>
            <w:tcBorders>
              <w:left w:val="nil"/>
              <w:bottom w:val="nil"/>
              <w:right w:val="nil"/>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rPr>
            </w:pPr>
            <w:r w:rsidRPr="00A80B20">
              <w:rPr>
                <w:rFonts w:ascii="Calibri" w:eastAsia="Times New Roman" w:hAnsi="Calibri" w:cs="Times New Roman"/>
                <w:b/>
                <w:bCs/>
              </w:rPr>
              <w:t>63</w:t>
            </w:r>
            <w:r>
              <w:rPr>
                <w:rFonts w:ascii="Calibri" w:eastAsia="Times New Roman" w:hAnsi="Calibri" w:cs="Times New Roman"/>
                <w:b/>
                <w:bCs/>
              </w:rPr>
              <w:t>8</w:t>
            </w:r>
          </w:p>
        </w:tc>
        <w:tc>
          <w:tcPr>
            <w:tcW w:w="1758" w:type="dxa"/>
            <w:tcBorders>
              <w:left w:val="nil"/>
              <w:bottom w:val="nil"/>
              <w:right w:val="single" w:sz="4" w:space="0" w:color="auto"/>
            </w:tcBorders>
            <w:shd w:val="clear" w:color="000000" w:fill="DBE5F1"/>
            <w:noWrap/>
            <w:vAlign w:val="center"/>
            <w:hideMark/>
          </w:tcPr>
          <w:p w:rsidR="000430A4" w:rsidRPr="00A80B20" w:rsidRDefault="000430A4" w:rsidP="002F32F0">
            <w:pPr>
              <w:spacing w:after="0" w:line="240" w:lineRule="auto"/>
              <w:jc w:val="center"/>
              <w:rPr>
                <w:rFonts w:ascii="Calibri" w:eastAsia="Times New Roman" w:hAnsi="Calibri" w:cs="Times New Roman"/>
                <w:b/>
                <w:bCs/>
              </w:rPr>
            </w:pPr>
            <w:r w:rsidRPr="00A80B20">
              <w:rPr>
                <w:rFonts w:ascii="Calibri" w:eastAsia="Times New Roman" w:hAnsi="Calibri" w:cs="Times New Roman"/>
                <w:b/>
                <w:bCs/>
              </w:rPr>
              <w:t>526</w:t>
            </w:r>
          </w:p>
        </w:tc>
      </w:tr>
      <w:tr w:rsidR="000430A4" w:rsidRPr="00A80B20" w:rsidTr="002F32F0">
        <w:trPr>
          <w:trHeight w:val="450"/>
        </w:trPr>
        <w:tc>
          <w:tcPr>
            <w:tcW w:w="4598" w:type="dxa"/>
            <w:tcBorders>
              <w:top w:val="nil"/>
              <w:left w:val="single" w:sz="4" w:space="0" w:color="auto"/>
              <w:bottom w:val="single" w:sz="4" w:space="0" w:color="auto"/>
              <w:right w:val="nil"/>
            </w:tcBorders>
            <w:shd w:val="clear" w:color="auto" w:fill="auto"/>
            <w:hideMark/>
          </w:tcPr>
          <w:p w:rsidR="000430A4" w:rsidRPr="00A80B20" w:rsidRDefault="000430A4" w:rsidP="002F32F0">
            <w:pPr>
              <w:spacing w:after="0" w:line="240" w:lineRule="auto"/>
              <w:rPr>
                <w:rFonts w:ascii="Calibri" w:eastAsia="Times New Roman" w:hAnsi="Calibri" w:cs="Times New Roman"/>
              </w:rPr>
            </w:pPr>
            <w:r w:rsidRPr="00A80B20">
              <w:rPr>
                <w:rFonts w:ascii="Calibri" w:eastAsia="Times New Roman" w:hAnsi="Calibri" w:cs="Times New Roman"/>
              </w:rPr>
              <w:t>% of request</w:t>
            </w:r>
            <w:r>
              <w:rPr>
                <w:rFonts w:ascii="Calibri" w:eastAsia="Times New Roman" w:hAnsi="Calibri" w:cs="Times New Roman"/>
              </w:rPr>
              <w:t>s</w:t>
            </w:r>
            <w:r w:rsidRPr="00A80B20">
              <w:rPr>
                <w:rFonts w:ascii="Calibri" w:eastAsia="Times New Roman" w:hAnsi="Calibri" w:cs="Times New Roman"/>
              </w:rPr>
              <w:t xml:space="preserve"> for which more than 1</w:t>
            </w:r>
            <w:r w:rsidR="00F257F8">
              <w:rPr>
                <w:rFonts w:ascii="Calibri" w:eastAsia="Times New Roman" w:hAnsi="Calibri" w:cs="Times New Roman"/>
              </w:rPr>
              <w:t>,</w:t>
            </w:r>
            <w:r w:rsidRPr="00A80B20">
              <w:rPr>
                <w:rFonts w:ascii="Calibri" w:eastAsia="Times New Roman" w:hAnsi="Calibri" w:cs="Times New Roman"/>
              </w:rPr>
              <w:t>000 pages were processed</w:t>
            </w:r>
          </w:p>
        </w:tc>
        <w:tc>
          <w:tcPr>
            <w:tcW w:w="1329" w:type="dxa"/>
            <w:tcBorders>
              <w:top w:val="nil"/>
              <w:left w:val="nil"/>
              <w:bottom w:val="single" w:sz="4" w:space="0" w:color="auto"/>
              <w:right w:val="nil"/>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6.9%</w:t>
            </w:r>
          </w:p>
        </w:tc>
        <w:tc>
          <w:tcPr>
            <w:tcW w:w="1780" w:type="dxa"/>
            <w:tcBorders>
              <w:top w:val="nil"/>
              <w:left w:val="nil"/>
              <w:bottom w:val="single" w:sz="4" w:space="0" w:color="auto"/>
              <w:right w:val="nil"/>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10.3%</w:t>
            </w:r>
          </w:p>
        </w:tc>
        <w:tc>
          <w:tcPr>
            <w:tcW w:w="1758" w:type="dxa"/>
            <w:tcBorders>
              <w:top w:val="nil"/>
              <w:left w:val="nil"/>
              <w:bottom w:val="single" w:sz="4" w:space="0" w:color="auto"/>
              <w:right w:val="single" w:sz="4" w:space="0" w:color="auto"/>
            </w:tcBorders>
            <w:shd w:val="clear" w:color="auto" w:fill="auto"/>
            <w:noWrap/>
            <w:vAlign w:val="center"/>
            <w:hideMark/>
          </w:tcPr>
          <w:p w:rsidR="000430A4" w:rsidRPr="00A80B20" w:rsidRDefault="000430A4" w:rsidP="002F32F0">
            <w:pPr>
              <w:spacing w:after="0" w:line="240" w:lineRule="auto"/>
              <w:jc w:val="center"/>
              <w:rPr>
                <w:rFonts w:ascii="Calibri" w:eastAsia="Times New Roman" w:hAnsi="Calibri" w:cs="Times New Roman"/>
              </w:rPr>
            </w:pPr>
            <w:r w:rsidRPr="00A80B20">
              <w:rPr>
                <w:rFonts w:ascii="Calibri" w:eastAsia="Times New Roman" w:hAnsi="Calibri" w:cs="Times New Roman"/>
              </w:rPr>
              <w:t>11.0%</w:t>
            </w:r>
          </w:p>
        </w:tc>
      </w:tr>
    </w:tbl>
    <w:p w:rsidR="000430A4" w:rsidRPr="00E42046" w:rsidRDefault="000430A4" w:rsidP="000430A4">
      <w:pPr>
        <w:pStyle w:val="Heading2"/>
        <w:spacing w:before="240"/>
      </w:pPr>
      <w:r w:rsidRPr="00E42046">
        <w:t>Requests completion time</w:t>
      </w:r>
    </w:p>
    <w:p w:rsidR="000430A4" w:rsidRPr="00E42046" w:rsidRDefault="000430A4" w:rsidP="000430A4">
      <w:pPr>
        <w:pStyle w:val="Heading4"/>
      </w:pPr>
      <w:r w:rsidRPr="004D30BF">
        <w:t>Timeliness</w:t>
      </w:r>
    </w:p>
    <w:p w:rsidR="000430A4" w:rsidRPr="00D2368F" w:rsidRDefault="000430A4" w:rsidP="000430A4">
      <w:pPr>
        <w:jc w:val="both"/>
      </w:pPr>
      <w:r w:rsidRPr="00D2368F">
        <w:t xml:space="preserve">Figure 1 reveals that 52.8% of </w:t>
      </w:r>
      <w:r>
        <w:t>requests were completed within</w:t>
      </w:r>
      <w:r w:rsidRPr="00D2368F">
        <w:t xml:space="preserve"> 30 days or less, which is higher than the results observed in 2013-2014 (48.1%). </w:t>
      </w:r>
      <w:r>
        <w:t>This increase corresponds with a decrease in the completion of requests between 31 and 60 days and 61 and 120 days.</w:t>
      </w:r>
    </w:p>
    <w:p w:rsidR="000430A4" w:rsidRPr="00082EDD" w:rsidRDefault="000430A4" w:rsidP="000430A4">
      <w:pPr>
        <w:spacing w:before="240" w:line="240" w:lineRule="auto"/>
        <w:rPr>
          <w:sz w:val="24"/>
          <w:szCs w:val="24"/>
        </w:rPr>
      </w:pPr>
      <w:r w:rsidRPr="00E42046">
        <w:rPr>
          <w:rStyle w:val="Heading3Char"/>
          <w:b w:val="0"/>
        </w:rPr>
        <w:t>Figure 1: Request Completion Time</w:t>
      </w:r>
      <w:r w:rsidRPr="00A06B0B">
        <w:rPr>
          <w:noProof/>
          <w:color w:val="FF0000"/>
          <w:sz w:val="24"/>
          <w:szCs w:val="24"/>
        </w:rPr>
        <w:drawing>
          <wp:inline distT="0" distB="0" distL="0" distR="0">
            <wp:extent cx="5939942" cy="4089196"/>
            <wp:effectExtent l="0" t="0" r="22860" b="26035"/>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30A4" w:rsidRPr="00D2368F" w:rsidRDefault="000430A4" w:rsidP="000430A4">
      <w:pPr>
        <w:pStyle w:val="Heading4"/>
      </w:pPr>
      <w:r w:rsidRPr="00D2368F">
        <w:t>Extensions</w:t>
      </w:r>
    </w:p>
    <w:p w:rsidR="000430A4" w:rsidRPr="00203E07" w:rsidRDefault="000430A4" w:rsidP="000430A4">
      <w:pPr>
        <w:jc w:val="both"/>
      </w:pPr>
      <w:r w:rsidRPr="00203E07">
        <w:t>The CRA took a total of 1,104 extensions in 2014-2015 compared to 1,229 in 2013-2014. The most common reason for taking an extension was interference with operations (96.5%), followed by consultations (3.1%), and the remainder was for third-party notice.</w:t>
      </w:r>
    </w:p>
    <w:p w:rsidR="000430A4" w:rsidRDefault="000430A4" w:rsidP="000430A4">
      <w:pPr>
        <w:jc w:val="both"/>
      </w:pPr>
      <w:r w:rsidRPr="00D2368F">
        <w:lastRenderedPageBreak/>
        <w:t xml:space="preserve">Figure 2 shows that </w:t>
      </w:r>
      <w:r>
        <w:t>50.1</w:t>
      </w:r>
      <w:r w:rsidRPr="00D2368F">
        <w:t>%</w:t>
      </w:r>
      <w:r>
        <w:t xml:space="preserve"> of extensions were taken for less than 30 days, which is an increase of 10.3% compared to the previous period. </w:t>
      </w:r>
      <w:r w:rsidRPr="00D2368F">
        <w:t xml:space="preserve">Figure 2 </w:t>
      </w:r>
      <w:r>
        <w:t>also shows</w:t>
      </w:r>
      <w:r w:rsidRPr="00D2368F">
        <w:t xml:space="preserve"> that the </w:t>
      </w:r>
      <w:r>
        <w:t>number</w:t>
      </w:r>
      <w:r w:rsidRPr="00D2368F">
        <w:t xml:space="preserve"> of </w:t>
      </w:r>
      <w:r>
        <w:t>extensions taken</w:t>
      </w:r>
      <w:r w:rsidRPr="00D2368F">
        <w:t xml:space="preserve"> between 31 and 60 days </w:t>
      </w:r>
      <w:r>
        <w:t xml:space="preserve">decreased from 34.7% in 2013-2014 to 26.9% </w:t>
      </w:r>
      <w:r w:rsidRPr="00D2368F">
        <w:t>in 2014-2015</w:t>
      </w:r>
      <w:r>
        <w:t>.</w:t>
      </w:r>
    </w:p>
    <w:p w:rsidR="000430A4" w:rsidRDefault="000430A4" w:rsidP="000430A4">
      <w:r w:rsidRPr="00E42046">
        <w:rPr>
          <w:rStyle w:val="Heading3Char"/>
          <w:b w:val="0"/>
        </w:rPr>
        <w:t xml:space="preserve">Figure 2: Length of Extensions </w:t>
      </w:r>
      <w:r w:rsidRPr="00A06B0B">
        <w:rPr>
          <w:noProof/>
        </w:rPr>
        <w:drawing>
          <wp:inline distT="0" distB="0" distL="0" distR="0">
            <wp:extent cx="6005779" cy="3584448"/>
            <wp:effectExtent l="0" t="0" r="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30A4" w:rsidRPr="00E42046" w:rsidRDefault="000430A4" w:rsidP="000430A4">
      <w:pPr>
        <w:pStyle w:val="Heading4"/>
      </w:pPr>
      <w:r w:rsidRPr="00E42046">
        <w:t>Deemed refusals</w:t>
      </w:r>
    </w:p>
    <w:p w:rsidR="000430A4" w:rsidRPr="00203E07" w:rsidRDefault="000430A4" w:rsidP="000430A4">
      <w:pPr>
        <w:jc w:val="both"/>
      </w:pPr>
      <w:r w:rsidRPr="00203E07">
        <w:t>In 2014-2015, the number of requests closed past the statutory deadline was 348, which accounts for 13.0% of completed requests, which is a 1.0% increase compared to 2013-2014. This rate represents a “C” grade.</w:t>
      </w:r>
      <w:r w:rsidRPr="00203E07">
        <w:rPr>
          <w:rStyle w:val="FootnoteReference"/>
        </w:rPr>
        <w:footnoteReference w:id="18"/>
      </w:r>
      <w:r w:rsidRPr="00203E07">
        <w:t xml:space="preserve"> In its annual report on the administration of the Act, the CRA attributed the high rate of deemed refusals to a large number of requests that were considered complex. The main reason for not meeting the statutory deadline was workload (62.6%). Figure 3 shows that 44.0% of overdue requests were late by 30 days or less, which is an improvement compared to 40.0% in 2013-2014.</w:t>
      </w:r>
    </w:p>
    <w:p w:rsidR="000430A4" w:rsidRDefault="000430A4" w:rsidP="000430A4">
      <w:r w:rsidRPr="00E42046">
        <w:rPr>
          <w:rStyle w:val="Heading3Char"/>
          <w:b w:val="0"/>
        </w:rPr>
        <w:lastRenderedPageBreak/>
        <w:t>Figure 3: Lateness of Overdue Requests</w:t>
      </w:r>
      <w:r w:rsidRPr="00A06B0B">
        <w:rPr>
          <w:noProof/>
        </w:rPr>
        <w:drawing>
          <wp:inline distT="0" distB="0" distL="0" distR="0">
            <wp:extent cx="5449824" cy="3760013"/>
            <wp:effectExtent l="0" t="0" r="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30A4" w:rsidRPr="00E42046" w:rsidRDefault="000430A4" w:rsidP="000430A4">
      <w:pPr>
        <w:pStyle w:val="Heading2"/>
      </w:pPr>
      <w:r w:rsidRPr="00E42046">
        <w:t>Disclosure</w:t>
      </w:r>
    </w:p>
    <w:p w:rsidR="000430A4" w:rsidRPr="00D2368F" w:rsidRDefault="000430A4" w:rsidP="000430A4">
      <w:pPr>
        <w:pStyle w:val="Heading4"/>
      </w:pPr>
      <w:r w:rsidRPr="00D2368F">
        <w:t xml:space="preserve">Percentage of requests for </w:t>
      </w:r>
      <w:r>
        <w:t>which information was disclosed</w:t>
      </w:r>
    </w:p>
    <w:p w:rsidR="000430A4" w:rsidRPr="00D2368F" w:rsidRDefault="000430A4" w:rsidP="000430A4">
      <w:pPr>
        <w:jc w:val="both"/>
      </w:pPr>
      <w:r w:rsidRPr="00D2368F">
        <w:t xml:space="preserve">In 2014-2015, 20.8% (2,668) of completed requests were entirely disclosed, which is the highest disclosure rate since 2012 (see Figure </w:t>
      </w:r>
      <w:r>
        <w:t>4</w:t>
      </w:r>
      <w:r w:rsidRPr="00D2368F">
        <w:t xml:space="preserve">). Figure </w:t>
      </w:r>
      <w:r>
        <w:t>4</w:t>
      </w:r>
      <w:r w:rsidRPr="00D2368F">
        <w:t xml:space="preserve"> </w:t>
      </w:r>
      <w:r>
        <w:t xml:space="preserve">also </w:t>
      </w:r>
      <w:r w:rsidRPr="00D2368F">
        <w:t>shows that the rate for partially disclosed requests was 51.2</w:t>
      </w:r>
      <w:r>
        <w:t>% in 2014-2015.</w:t>
      </w:r>
    </w:p>
    <w:p w:rsidR="000430A4" w:rsidRPr="00E42046" w:rsidRDefault="000430A4" w:rsidP="000430A4">
      <w:pPr>
        <w:spacing w:line="240" w:lineRule="auto"/>
      </w:pPr>
      <w:r w:rsidRPr="00E42046">
        <w:rPr>
          <w:rStyle w:val="Heading3Char"/>
          <w:b w:val="0"/>
        </w:rPr>
        <w:lastRenderedPageBreak/>
        <w:t>Figure 4: Level of Disclosure</w:t>
      </w:r>
      <w:r w:rsidRPr="00A06B0B">
        <w:rPr>
          <w:noProof/>
        </w:rPr>
        <w:drawing>
          <wp:inline distT="0" distB="0" distL="0" distR="0">
            <wp:extent cx="5939942" cy="3467405"/>
            <wp:effectExtent l="0" t="0" r="381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30A4" w:rsidRPr="00D2368F" w:rsidRDefault="000430A4" w:rsidP="000430A4">
      <w:pPr>
        <w:pStyle w:val="Heading4"/>
      </w:pPr>
      <w:r>
        <w:t>Exemptions</w:t>
      </w:r>
    </w:p>
    <w:p w:rsidR="000430A4" w:rsidRDefault="000430A4" w:rsidP="000430A4">
      <w:pPr>
        <w:jc w:val="both"/>
      </w:pPr>
      <w:r w:rsidRPr="005552F7">
        <w:t>The average number of exemptions used per completed request was similar to the previous year (see Table 2). The</w:t>
      </w:r>
      <w:r w:rsidRPr="00D2368F">
        <w:t xml:space="preserve"> most used exemptions </w:t>
      </w:r>
      <w:r>
        <w:t xml:space="preserve">in </w:t>
      </w:r>
      <w:r w:rsidRPr="00783E0B">
        <w:t xml:space="preserve">2014-2015 were section 24 (Statutory Prohibitions) </w:t>
      </w:r>
      <w:r>
        <w:t>(32.0</w:t>
      </w:r>
      <w:r w:rsidRPr="00783E0B">
        <w:t>%), section 19 (Personal Information (</w:t>
      </w:r>
      <w:r>
        <w:t>24.2</w:t>
      </w:r>
      <w:r w:rsidRPr="00783E0B">
        <w:t>%) and section 16 (Law Enforcement and Investigations) (</w:t>
      </w:r>
      <w:r>
        <w:t>24.9</w:t>
      </w:r>
      <w:r w:rsidRPr="00783E0B">
        <w:t>%).</w:t>
      </w:r>
    </w:p>
    <w:p w:rsidR="000430A4" w:rsidRPr="00E42046" w:rsidRDefault="000430A4" w:rsidP="000430A4">
      <w:pPr>
        <w:pStyle w:val="Heading3"/>
        <w:rPr>
          <w:b w:val="0"/>
        </w:rPr>
      </w:pPr>
      <w:r w:rsidRPr="00E42046">
        <w:t>Table 2: Exemptions</w:t>
      </w:r>
    </w:p>
    <w:tbl>
      <w:tblPr>
        <w:tblW w:w="9485" w:type="dxa"/>
        <w:tblInd w:w="103" w:type="dxa"/>
        <w:tblLook w:val="04A0"/>
      </w:tblPr>
      <w:tblGrid>
        <w:gridCol w:w="4450"/>
        <w:gridCol w:w="1555"/>
        <w:gridCol w:w="1751"/>
        <w:gridCol w:w="1729"/>
      </w:tblGrid>
      <w:tr w:rsidR="000430A4" w:rsidRPr="006538C7" w:rsidTr="002F32F0">
        <w:trPr>
          <w:trHeight w:val="271"/>
        </w:trPr>
        <w:tc>
          <w:tcPr>
            <w:tcW w:w="4450" w:type="dxa"/>
            <w:tcBorders>
              <w:top w:val="single" w:sz="4" w:space="0" w:color="auto"/>
              <w:left w:val="single" w:sz="4" w:space="0" w:color="auto"/>
              <w:bottom w:val="single" w:sz="4" w:space="0" w:color="auto"/>
              <w:right w:val="nil"/>
            </w:tcBorders>
            <w:shd w:val="clear" w:color="000000" w:fill="DBE5F1"/>
            <w:noWrap/>
            <w:vAlign w:val="bottom"/>
            <w:hideMark/>
          </w:tcPr>
          <w:p w:rsidR="000430A4" w:rsidRPr="006538C7" w:rsidRDefault="000430A4" w:rsidP="002F32F0">
            <w:pPr>
              <w:spacing w:after="0" w:line="240" w:lineRule="auto"/>
              <w:rPr>
                <w:rFonts w:ascii="Calibri" w:eastAsia="Times New Roman" w:hAnsi="Calibri" w:cs="Times New Roman"/>
                <w:color w:val="000000"/>
              </w:rPr>
            </w:pPr>
            <w:r w:rsidRPr="006538C7">
              <w:rPr>
                <w:rFonts w:ascii="Calibri" w:eastAsia="Times New Roman" w:hAnsi="Calibri" w:cs="Times New Roman"/>
                <w:color w:val="000000"/>
              </w:rPr>
              <w:t xml:space="preserve">Exemptions </w:t>
            </w:r>
          </w:p>
        </w:tc>
        <w:tc>
          <w:tcPr>
            <w:tcW w:w="1555" w:type="dxa"/>
            <w:tcBorders>
              <w:top w:val="single" w:sz="4" w:space="0" w:color="auto"/>
              <w:left w:val="nil"/>
              <w:bottom w:val="single" w:sz="4" w:space="0" w:color="auto"/>
              <w:right w:val="nil"/>
            </w:tcBorders>
            <w:shd w:val="clear" w:color="000000" w:fill="DBE5F1"/>
            <w:noWrap/>
            <w:vAlign w:val="bottom"/>
            <w:hideMark/>
          </w:tcPr>
          <w:p w:rsidR="000430A4" w:rsidRPr="006538C7" w:rsidRDefault="000430A4" w:rsidP="002F32F0">
            <w:pPr>
              <w:spacing w:after="0" w:line="240" w:lineRule="auto"/>
              <w:jc w:val="center"/>
              <w:rPr>
                <w:rFonts w:ascii="Calibri" w:eastAsia="Times New Roman" w:hAnsi="Calibri" w:cs="Times New Roman"/>
                <w:b/>
                <w:bCs/>
                <w:color w:val="000000"/>
              </w:rPr>
            </w:pPr>
            <w:r w:rsidRPr="006538C7">
              <w:rPr>
                <w:rFonts w:ascii="Calibri" w:eastAsia="Times New Roman" w:hAnsi="Calibri" w:cs="Times New Roman"/>
                <w:b/>
                <w:bCs/>
                <w:color w:val="000000"/>
              </w:rPr>
              <w:t>2012-2013</w:t>
            </w:r>
          </w:p>
        </w:tc>
        <w:tc>
          <w:tcPr>
            <w:tcW w:w="1751" w:type="dxa"/>
            <w:tcBorders>
              <w:top w:val="single" w:sz="4" w:space="0" w:color="auto"/>
              <w:left w:val="nil"/>
              <w:bottom w:val="single" w:sz="4" w:space="0" w:color="auto"/>
              <w:right w:val="nil"/>
            </w:tcBorders>
            <w:shd w:val="clear" w:color="000000" w:fill="DBE5F1"/>
            <w:noWrap/>
            <w:vAlign w:val="bottom"/>
            <w:hideMark/>
          </w:tcPr>
          <w:p w:rsidR="000430A4" w:rsidRPr="006538C7" w:rsidRDefault="000430A4" w:rsidP="002F32F0">
            <w:pPr>
              <w:spacing w:after="0" w:line="240" w:lineRule="auto"/>
              <w:jc w:val="center"/>
              <w:rPr>
                <w:rFonts w:ascii="Calibri" w:eastAsia="Times New Roman" w:hAnsi="Calibri" w:cs="Times New Roman"/>
                <w:b/>
                <w:bCs/>
                <w:color w:val="000000"/>
              </w:rPr>
            </w:pPr>
            <w:r w:rsidRPr="006538C7">
              <w:rPr>
                <w:rFonts w:ascii="Calibri" w:eastAsia="Times New Roman" w:hAnsi="Calibri" w:cs="Times New Roman"/>
                <w:b/>
                <w:bCs/>
                <w:color w:val="000000"/>
              </w:rPr>
              <w:t>2013-2014</w:t>
            </w:r>
          </w:p>
        </w:tc>
        <w:tc>
          <w:tcPr>
            <w:tcW w:w="1729" w:type="dxa"/>
            <w:tcBorders>
              <w:top w:val="single" w:sz="4" w:space="0" w:color="auto"/>
              <w:left w:val="nil"/>
              <w:bottom w:val="single" w:sz="4" w:space="0" w:color="auto"/>
              <w:right w:val="single" w:sz="4" w:space="0" w:color="auto"/>
            </w:tcBorders>
            <w:shd w:val="clear" w:color="000000" w:fill="DBE5F1"/>
            <w:noWrap/>
            <w:vAlign w:val="bottom"/>
            <w:hideMark/>
          </w:tcPr>
          <w:p w:rsidR="000430A4" w:rsidRPr="006538C7" w:rsidRDefault="000430A4" w:rsidP="002F32F0">
            <w:pPr>
              <w:spacing w:after="0" w:line="240" w:lineRule="auto"/>
              <w:jc w:val="center"/>
              <w:rPr>
                <w:rFonts w:ascii="Calibri" w:eastAsia="Times New Roman" w:hAnsi="Calibri" w:cs="Times New Roman"/>
                <w:b/>
                <w:bCs/>
                <w:color w:val="000000"/>
              </w:rPr>
            </w:pPr>
            <w:r w:rsidRPr="006538C7">
              <w:rPr>
                <w:rFonts w:ascii="Calibri" w:eastAsia="Times New Roman" w:hAnsi="Calibri" w:cs="Times New Roman"/>
                <w:b/>
                <w:bCs/>
                <w:color w:val="000000"/>
              </w:rPr>
              <w:t>2014-2015</w:t>
            </w:r>
          </w:p>
        </w:tc>
      </w:tr>
      <w:tr w:rsidR="000430A4" w:rsidRPr="006538C7" w:rsidTr="002F32F0">
        <w:trPr>
          <w:trHeight w:val="271"/>
        </w:trPr>
        <w:tc>
          <w:tcPr>
            <w:tcW w:w="4450" w:type="dxa"/>
            <w:tcBorders>
              <w:top w:val="nil"/>
              <w:left w:val="single" w:sz="4" w:space="0" w:color="auto"/>
              <w:bottom w:val="nil"/>
              <w:right w:val="nil"/>
            </w:tcBorders>
            <w:shd w:val="clear" w:color="auto" w:fill="auto"/>
            <w:noWrap/>
            <w:vAlign w:val="bottom"/>
            <w:hideMark/>
          </w:tcPr>
          <w:p w:rsidR="000430A4" w:rsidRPr="006538C7"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6538C7">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6538C7">
              <w:rPr>
                <w:rFonts w:ascii="Calibri" w:eastAsia="Times New Roman" w:hAnsi="Calibri" w:cs="Times New Roman"/>
                <w:color w:val="000000"/>
              </w:rPr>
              <w:t xml:space="preserve"> </w:t>
            </w:r>
          </w:p>
        </w:tc>
        <w:tc>
          <w:tcPr>
            <w:tcW w:w="1555" w:type="dxa"/>
            <w:tcBorders>
              <w:top w:val="nil"/>
              <w:left w:val="nil"/>
              <w:bottom w:val="nil"/>
              <w:right w:val="nil"/>
            </w:tcBorders>
            <w:shd w:val="clear" w:color="auto" w:fill="auto"/>
            <w:noWrap/>
            <w:vAlign w:val="bottom"/>
            <w:hideMark/>
          </w:tcPr>
          <w:p w:rsidR="000430A4" w:rsidRPr="006538C7" w:rsidRDefault="000430A4" w:rsidP="002F32F0">
            <w:pPr>
              <w:spacing w:after="0" w:line="240" w:lineRule="auto"/>
              <w:jc w:val="center"/>
              <w:rPr>
                <w:rFonts w:ascii="Calibri" w:eastAsia="Times New Roman" w:hAnsi="Calibri" w:cs="Times New Roman"/>
                <w:color w:val="000000"/>
              </w:rPr>
            </w:pPr>
            <w:r w:rsidRPr="006538C7">
              <w:rPr>
                <w:rFonts w:ascii="Calibri" w:eastAsia="Times New Roman" w:hAnsi="Calibri" w:cs="Times New Roman"/>
                <w:color w:val="000000"/>
              </w:rPr>
              <w:t>4595</w:t>
            </w:r>
          </w:p>
        </w:tc>
        <w:tc>
          <w:tcPr>
            <w:tcW w:w="1751" w:type="dxa"/>
            <w:tcBorders>
              <w:top w:val="nil"/>
              <w:left w:val="nil"/>
              <w:bottom w:val="nil"/>
              <w:right w:val="nil"/>
            </w:tcBorders>
            <w:shd w:val="clear" w:color="auto" w:fill="auto"/>
            <w:noWrap/>
            <w:vAlign w:val="bottom"/>
            <w:hideMark/>
          </w:tcPr>
          <w:p w:rsidR="000430A4" w:rsidRPr="006538C7" w:rsidRDefault="000430A4" w:rsidP="002F32F0">
            <w:pPr>
              <w:spacing w:after="0" w:line="240" w:lineRule="auto"/>
              <w:jc w:val="center"/>
              <w:rPr>
                <w:rFonts w:ascii="Calibri" w:eastAsia="Times New Roman" w:hAnsi="Calibri" w:cs="Times New Roman"/>
                <w:color w:val="000000"/>
              </w:rPr>
            </w:pPr>
            <w:r w:rsidRPr="006538C7">
              <w:rPr>
                <w:rFonts w:ascii="Calibri" w:eastAsia="Times New Roman" w:hAnsi="Calibri" w:cs="Times New Roman"/>
                <w:color w:val="000000"/>
              </w:rPr>
              <w:t>3921</w:t>
            </w:r>
          </w:p>
        </w:tc>
        <w:tc>
          <w:tcPr>
            <w:tcW w:w="1729" w:type="dxa"/>
            <w:tcBorders>
              <w:top w:val="nil"/>
              <w:left w:val="nil"/>
              <w:bottom w:val="nil"/>
              <w:right w:val="single" w:sz="4" w:space="0" w:color="auto"/>
            </w:tcBorders>
            <w:shd w:val="clear" w:color="auto" w:fill="auto"/>
            <w:noWrap/>
            <w:vAlign w:val="bottom"/>
            <w:hideMark/>
          </w:tcPr>
          <w:p w:rsidR="000430A4" w:rsidRPr="006538C7" w:rsidRDefault="000430A4" w:rsidP="002F32F0">
            <w:pPr>
              <w:spacing w:after="0" w:line="240" w:lineRule="auto"/>
              <w:jc w:val="center"/>
              <w:rPr>
                <w:rFonts w:ascii="Calibri" w:eastAsia="Times New Roman" w:hAnsi="Calibri" w:cs="Times New Roman"/>
                <w:color w:val="000000"/>
              </w:rPr>
            </w:pPr>
            <w:r w:rsidRPr="006538C7">
              <w:rPr>
                <w:rFonts w:ascii="Calibri" w:eastAsia="Times New Roman" w:hAnsi="Calibri" w:cs="Times New Roman"/>
                <w:color w:val="000000"/>
              </w:rPr>
              <w:t>3599</w:t>
            </w:r>
          </w:p>
        </w:tc>
      </w:tr>
      <w:tr w:rsidR="000430A4" w:rsidRPr="006538C7" w:rsidTr="002F32F0">
        <w:trPr>
          <w:trHeight w:val="271"/>
        </w:trPr>
        <w:tc>
          <w:tcPr>
            <w:tcW w:w="4450" w:type="dxa"/>
            <w:tcBorders>
              <w:top w:val="nil"/>
              <w:left w:val="single" w:sz="4" w:space="0" w:color="auto"/>
              <w:bottom w:val="nil"/>
              <w:right w:val="nil"/>
            </w:tcBorders>
            <w:shd w:val="clear" w:color="auto" w:fill="auto"/>
            <w:noWrap/>
            <w:vAlign w:val="bottom"/>
            <w:hideMark/>
          </w:tcPr>
          <w:p w:rsidR="000430A4" w:rsidRPr="006538C7" w:rsidRDefault="000430A4" w:rsidP="002F32F0">
            <w:pPr>
              <w:spacing w:after="0" w:line="240" w:lineRule="auto"/>
              <w:rPr>
                <w:rFonts w:ascii="Calibri" w:eastAsia="Times New Roman" w:hAnsi="Calibri" w:cs="Times New Roman"/>
                <w:color w:val="000000"/>
              </w:rPr>
            </w:pPr>
            <w:r w:rsidRPr="006538C7">
              <w:rPr>
                <w:rFonts w:ascii="Calibri" w:eastAsia="Times New Roman" w:hAnsi="Calibri" w:cs="Times New Roman"/>
                <w:color w:val="000000"/>
              </w:rPr>
              <w:t>Total number of completed requests</w:t>
            </w:r>
          </w:p>
        </w:tc>
        <w:tc>
          <w:tcPr>
            <w:tcW w:w="1555" w:type="dxa"/>
            <w:tcBorders>
              <w:top w:val="nil"/>
              <w:left w:val="nil"/>
              <w:bottom w:val="nil"/>
              <w:right w:val="nil"/>
            </w:tcBorders>
            <w:shd w:val="clear" w:color="auto" w:fill="auto"/>
            <w:noWrap/>
            <w:vAlign w:val="bottom"/>
            <w:hideMark/>
          </w:tcPr>
          <w:p w:rsidR="000430A4" w:rsidRPr="006538C7" w:rsidRDefault="000430A4" w:rsidP="002F32F0">
            <w:pPr>
              <w:spacing w:after="0" w:line="240" w:lineRule="auto"/>
              <w:jc w:val="center"/>
              <w:rPr>
                <w:rFonts w:ascii="Calibri" w:eastAsia="Times New Roman" w:hAnsi="Calibri" w:cs="Times New Roman"/>
                <w:color w:val="000000"/>
              </w:rPr>
            </w:pPr>
            <w:r w:rsidRPr="006538C7">
              <w:rPr>
                <w:rFonts w:ascii="Calibri" w:eastAsia="Times New Roman" w:hAnsi="Calibri" w:cs="Times New Roman"/>
                <w:color w:val="000000"/>
              </w:rPr>
              <w:t>3083</w:t>
            </w:r>
          </w:p>
        </w:tc>
        <w:tc>
          <w:tcPr>
            <w:tcW w:w="1751" w:type="dxa"/>
            <w:tcBorders>
              <w:top w:val="nil"/>
              <w:left w:val="nil"/>
              <w:bottom w:val="nil"/>
              <w:right w:val="nil"/>
            </w:tcBorders>
            <w:shd w:val="clear" w:color="auto" w:fill="auto"/>
            <w:noWrap/>
            <w:vAlign w:val="bottom"/>
            <w:hideMark/>
          </w:tcPr>
          <w:p w:rsidR="000430A4" w:rsidRPr="006538C7" w:rsidRDefault="000430A4" w:rsidP="002F32F0">
            <w:pPr>
              <w:spacing w:after="0" w:line="240" w:lineRule="auto"/>
              <w:jc w:val="center"/>
              <w:rPr>
                <w:rFonts w:ascii="Calibri" w:eastAsia="Times New Roman" w:hAnsi="Calibri" w:cs="Times New Roman"/>
                <w:color w:val="000000"/>
              </w:rPr>
            </w:pPr>
            <w:r w:rsidRPr="006538C7">
              <w:rPr>
                <w:rFonts w:ascii="Calibri" w:eastAsia="Times New Roman" w:hAnsi="Calibri" w:cs="Times New Roman"/>
                <w:color w:val="000000"/>
              </w:rPr>
              <w:t>2795</w:t>
            </w:r>
          </w:p>
        </w:tc>
        <w:tc>
          <w:tcPr>
            <w:tcW w:w="1729" w:type="dxa"/>
            <w:tcBorders>
              <w:top w:val="nil"/>
              <w:left w:val="nil"/>
              <w:bottom w:val="nil"/>
              <w:right w:val="single" w:sz="4" w:space="0" w:color="auto"/>
            </w:tcBorders>
            <w:shd w:val="clear" w:color="auto" w:fill="auto"/>
            <w:noWrap/>
            <w:vAlign w:val="bottom"/>
            <w:hideMark/>
          </w:tcPr>
          <w:p w:rsidR="000430A4" w:rsidRPr="006538C7" w:rsidRDefault="000430A4" w:rsidP="002F32F0">
            <w:pPr>
              <w:spacing w:after="0" w:line="240" w:lineRule="auto"/>
              <w:jc w:val="center"/>
              <w:rPr>
                <w:rFonts w:ascii="Calibri" w:eastAsia="Times New Roman" w:hAnsi="Calibri" w:cs="Times New Roman"/>
                <w:color w:val="000000"/>
              </w:rPr>
            </w:pPr>
            <w:r w:rsidRPr="006538C7">
              <w:rPr>
                <w:rFonts w:ascii="Calibri" w:eastAsia="Times New Roman" w:hAnsi="Calibri" w:cs="Times New Roman"/>
                <w:color w:val="000000"/>
              </w:rPr>
              <w:t>2668</w:t>
            </w:r>
          </w:p>
        </w:tc>
      </w:tr>
      <w:tr w:rsidR="000430A4" w:rsidRPr="006538C7" w:rsidTr="002F32F0">
        <w:trPr>
          <w:trHeight w:val="271"/>
        </w:trPr>
        <w:tc>
          <w:tcPr>
            <w:tcW w:w="4450" w:type="dxa"/>
            <w:tcBorders>
              <w:top w:val="nil"/>
              <w:left w:val="single" w:sz="4" w:space="0" w:color="auto"/>
              <w:bottom w:val="single" w:sz="4" w:space="0" w:color="auto"/>
              <w:right w:val="nil"/>
            </w:tcBorders>
            <w:shd w:val="clear" w:color="000000" w:fill="DBE5F1"/>
            <w:noWrap/>
            <w:vAlign w:val="bottom"/>
            <w:hideMark/>
          </w:tcPr>
          <w:p w:rsidR="000430A4" w:rsidRPr="006538C7" w:rsidRDefault="000430A4" w:rsidP="002F32F0">
            <w:pPr>
              <w:spacing w:after="0" w:line="240" w:lineRule="auto"/>
              <w:rPr>
                <w:rFonts w:ascii="Calibri" w:eastAsia="Times New Roman" w:hAnsi="Calibri" w:cs="Times New Roman"/>
                <w:color w:val="000000"/>
              </w:rPr>
            </w:pPr>
            <w:r w:rsidRPr="006538C7">
              <w:rPr>
                <w:rFonts w:ascii="Calibri" w:eastAsia="Times New Roman" w:hAnsi="Calibri" w:cs="Times New Roman"/>
                <w:color w:val="000000"/>
              </w:rPr>
              <w:t>Average number of exemption</w:t>
            </w:r>
            <w:r>
              <w:rPr>
                <w:rFonts w:ascii="Calibri" w:eastAsia="Times New Roman" w:hAnsi="Calibri" w:cs="Times New Roman"/>
                <w:color w:val="000000"/>
              </w:rPr>
              <w:t>s</w:t>
            </w:r>
            <w:r w:rsidRPr="006538C7">
              <w:rPr>
                <w:rFonts w:ascii="Calibri" w:eastAsia="Times New Roman" w:hAnsi="Calibri" w:cs="Times New Roman"/>
                <w:color w:val="000000"/>
              </w:rPr>
              <w:t xml:space="preserve"> per request </w:t>
            </w:r>
          </w:p>
        </w:tc>
        <w:tc>
          <w:tcPr>
            <w:tcW w:w="1555" w:type="dxa"/>
            <w:tcBorders>
              <w:top w:val="nil"/>
              <w:left w:val="nil"/>
              <w:bottom w:val="single" w:sz="4" w:space="0" w:color="auto"/>
              <w:right w:val="nil"/>
            </w:tcBorders>
            <w:shd w:val="clear" w:color="000000" w:fill="DBE5F1"/>
            <w:noWrap/>
            <w:vAlign w:val="bottom"/>
            <w:hideMark/>
          </w:tcPr>
          <w:p w:rsidR="000430A4" w:rsidRPr="006538C7" w:rsidRDefault="000430A4" w:rsidP="002F32F0">
            <w:pPr>
              <w:spacing w:after="0" w:line="240" w:lineRule="auto"/>
              <w:jc w:val="center"/>
              <w:rPr>
                <w:rFonts w:ascii="Calibri" w:eastAsia="Times New Roman" w:hAnsi="Calibri" w:cs="Times New Roman"/>
                <w:color w:val="000000"/>
              </w:rPr>
            </w:pPr>
            <w:r w:rsidRPr="006538C7">
              <w:rPr>
                <w:rFonts w:ascii="Calibri" w:eastAsia="Times New Roman" w:hAnsi="Calibri" w:cs="Times New Roman"/>
                <w:color w:val="000000"/>
              </w:rPr>
              <w:t>1.49</w:t>
            </w:r>
          </w:p>
        </w:tc>
        <w:tc>
          <w:tcPr>
            <w:tcW w:w="1751" w:type="dxa"/>
            <w:tcBorders>
              <w:top w:val="nil"/>
              <w:left w:val="nil"/>
              <w:bottom w:val="single" w:sz="4" w:space="0" w:color="auto"/>
              <w:right w:val="nil"/>
            </w:tcBorders>
            <w:shd w:val="clear" w:color="000000" w:fill="DBE5F1"/>
            <w:noWrap/>
            <w:vAlign w:val="bottom"/>
            <w:hideMark/>
          </w:tcPr>
          <w:p w:rsidR="000430A4" w:rsidRPr="006538C7" w:rsidRDefault="000430A4" w:rsidP="002F32F0">
            <w:pPr>
              <w:spacing w:after="0" w:line="240" w:lineRule="auto"/>
              <w:jc w:val="center"/>
              <w:rPr>
                <w:rFonts w:ascii="Calibri" w:eastAsia="Times New Roman" w:hAnsi="Calibri" w:cs="Times New Roman"/>
                <w:color w:val="000000"/>
              </w:rPr>
            </w:pPr>
            <w:r w:rsidRPr="006538C7">
              <w:rPr>
                <w:rFonts w:ascii="Calibri" w:eastAsia="Times New Roman" w:hAnsi="Calibri" w:cs="Times New Roman"/>
                <w:color w:val="000000"/>
              </w:rPr>
              <w:t>1.4</w:t>
            </w:r>
            <w:r>
              <w:rPr>
                <w:rFonts w:ascii="Calibri" w:eastAsia="Times New Roman" w:hAnsi="Calibri" w:cs="Times New Roman"/>
                <w:color w:val="000000"/>
              </w:rPr>
              <w:t>0</w:t>
            </w:r>
          </w:p>
        </w:tc>
        <w:tc>
          <w:tcPr>
            <w:tcW w:w="1729" w:type="dxa"/>
            <w:tcBorders>
              <w:top w:val="nil"/>
              <w:left w:val="nil"/>
              <w:bottom w:val="single" w:sz="4" w:space="0" w:color="auto"/>
              <w:right w:val="single" w:sz="4" w:space="0" w:color="auto"/>
            </w:tcBorders>
            <w:shd w:val="clear" w:color="000000" w:fill="DBE5F1"/>
            <w:noWrap/>
            <w:vAlign w:val="bottom"/>
            <w:hideMark/>
          </w:tcPr>
          <w:p w:rsidR="000430A4" w:rsidRPr="006538C7" w:rsidRDefault="000430A4" w:rsidP="002F32F0">
            <w:pPr>
              <w:spacing w:after="0" w:line="240" w:lineRule="auto"/>
              <w:jc w:val="center"/>
              <w:rPr>
                <w:rFonts w:ascii="Calibri" w:eastAsia="Times New Roman" w:hAnsi="Calibri" w:cs="Times New Roman"/>
                <w:color w:val="000000"/>
              </w:rPr>
            </w:pPr>
            <w:r w:rsidRPr="006538C7">
              <w:rPr>
                <w:rFonts w:ascii="Calibri" w:eastAsia="Times New Roman" w:hAnsi="Calibri" w:cs="Times New Roman"/>
                <w:color w:val="000000"/>
              </w:rPr>
              <w:t>1.35</w:t>
            </w:r>
          </w:p>
        </w:tc>
      </w:tr>
    </w:tbl>
    <w:p w:rsidR="000430A4" w:rsidRPr="00E42046" w:rsidRDefault="000430A4" w:rsidP="000430A4">
      <w:pPr>
        <w:pStyle w:val="Heading2"/>
        <w:spacing w:before="240"/>
      </w:pPr>
      <w:r w:rsidRPr="00E42046">
        <w:t>Complaints at the OIC</w:t>
      </w:r>
    </w:p>
    <w:p w:rsidR="000430A4" w:rsidRPr="00E42046" w:rsidRDefault="000430A4" w:rsidP="000430A4">
      <w:pPr>
        <w:jc w:val="both"/>
      </w:pPr>
      <w:r w:rsidRPr="005552F7">
        <w:t>The number of complaints received</w:t>
      </w:r>
      <w:r>
        <w:rPr>
          <w:rStyle w:val="FootnoteReference"/>
        </w:rPr>
        <w:footnoteReference w:id="19"/>
      </w:r>
      <w:r w:rsidRPr="005552F7">
        <w:t xml:space="preserve"> against the CRA was 221 compared to 283 in the previous period. Most of the complaints were refusals (152 deemed refusals and 69 administrative complaints) compared to the previous period (187 deemed refusals and 96 administrative complaints in 2013-2014). 31.2% of complaints were well-founded and resolved, 8.1% complaints were not well-founded, 9.5% were discontinued and 50.2% were still pending.</w:t>
      </w:r>
    </w:p>
    <w:p w:rsidR="000430A4" w:rsidRDefault="000430A4">
      <w:r>
        <w:br w:type="page"/>
      </w:r>
    </w:p>
    <w:p w:rsidR="000430A4" w:rsidRPr="00B87139" w:rsidRDefault="000430A4" w:rsidP="000430A4">
      <w:pPr>
        <w:pStyle w:val="Heading1"/>
      </w:pPr>
      <w:r w:rsidRPr="00B87139">
        <w:lastRenderedPageBreak/>
        <w:t>National Defence</w:t>
      </w:r>
    </w:p>
    <w:p w:rsidR="000430A4" w:rsidRPr="00B87139" w:rsidRDefault="000430A4" w:rsidP="000430A4">
      <w:pPr>
        <w:pStyle w:val="Heading2"/>
      </w:pPr>
      <w:r w:rsidRPr="00B87139">
        <w:t>Overall performance</w:t>
      </w:r>
      <w:r w:rsidRPr="003F790D">
        <w:rPr>
          <w:rStyle w:val="FootnoteReference"/>
        </w:rPr>
        <w:footnoteReference w:id="20"/>
      </w:r>
    </w:p>
    <w:p w:rsidR="000430A4" w:rsidRPr="0029093F" w:rsidRDefault="000430A4" w:rsidP="000430A4">
      <w:pPr>
        <w:jc w:val="both"/>
      </w:pPr>
      <w:r>
        <w:t xml:space="preserve">The Department of National Defence (ND) improved the percentage of requests completed within 30 days by 7.7%. There was a decrease of 5.8% of requests for which all information was disclosed. This report provides </w:t>
      </w:r>
      <w:r w:rsidRPr="0029093F">
        <w:t>comparative statistics for the last three periods (2012-2015).</w:t>
      </w:r>
    </w:p>
    <w:p w:rsidR="000430A4" w:rsidRPr="00B87139" w:rsidRDefault="000430A4" w:rsidP="000430A4">
      <w:pPr>
        <w:pStyle w:val="Heading2"/>
      </w:pPr>
      <w:r w:rsidRPr="00B87139">
        <w:t>Workload</w:t>
      </w:r>
    </w:p>
    <w:p w:rsidR="000430A4" w:rsidRDefault="000430A4" w:rsidP="000430A4">
      <w:pPr>
        <w:jc w:val="both"/>
      </w:pPr>
      <w:r w:rsidRPr="0029093F">
        <w:t xml:space="preserve">ND received </w:t>
      </w:r>
      <w:r>
        <w:t xml:space="preserve">2,073 </w:t>
      </w:r>
      <w:r w:rsidRPr="0029093F">
        <w:t xml:space="preserve">requests under the </w:t>
      </w:r>
      <w:r w:rsidRPr="0029093F">
        <w:rPr>
          <w:i/>
        </w:rPr>
        <w:t>Access to</w:t>
      </w:r>
      <w:r w:rsidRPr="0029093F">
        <w:t xml:space="preserve"> </w:t>
      </w:r>
      <w:r w:rsidRPr="0029093F">
        <w:rPr>
          <w:i/>
        </w:rPr>
        <w:t>Information Act</w:t>
      </w:r>
      <w:r>
        <w:rPr>
          <w:i/>
        </w:rPr>
        <w:t xml:space="preserve"> </w:t>
      </w:r>
      <w:r>
        <w:t>(the Act)</w:t>
      </w:r>
      <w:r w:rsidRPr="0029093F">
        <w:t xml:space="preserve">, </w:t>
      </w:r>
      <w:r>
        <w:t>representing 3.0% of all requests received across government. The number of requests received by ND decreased by 7.1% compared to the previous period.</w:t>
      </w:r>
    </w:p>
    <w:p w:rsidR="000430A4" w:rsidRPr="0029093F" w:rsidRDefault="000430A4" w:rsidP="000430A4">
      <w:pPr>
        <w:jc w:val="both"/>
      </w:pPr>
      <w:r>
        <w:t xml:space="preserve">The majority of requests </w:t>
      </w:r>
      <w:r w:rsidRPr="0029093F">
        <w:t xml:space="preserve">were from the </w:t>
      </w:r>
      <w:r>
        <w:t xml:space="preserve">public (42.6%) and the </w:t>
      </w:r>
      <w:r w:rsidRPr="0029093F">
        <w:t>media</w:t>
      </w:r>
      <w:r>
        <w:t xml:space="preserve"> (37.9%). </w:t>
      </w:r>
      <w:r w:rsidRPr="0029093F">
        <w:t xml:space="preserve">Requests from the public increased by </w:t>
      </w:r>
      <w:r>
        <w:t>48.8%, while those received from the media decreased by 29.0% compared to 2013-2014.</w:t>
      </w:r>
    </w:p>
    <w:p w:rsidR="000430A4" w:rsidRPr="00711DAD" w:rsidRDefault="000430A4" w:rsidP="000430A4">
      <w:pPr>
        <w:jc w:val="both"/>
      </w:pPr>
      <w:r w:rsidRPr="00711DAD">
        <w:t xml:space="preserve">ND completed </w:t>
      </w:r>
      <w:r w:rsidRPr="0026361B">
        <w:t>2,015 requests this reporting period. This corresponds to a completion rate</w:t>
      </w:r>
      <w:r w:rsidRPr="0026361B">
        <w:rPr>
          <w:rStyle w:val="FootnoteReference"/>
        </w:rPr>
        <w:footnoteReference w:id="21"/>
      </w:r>
      <w:r w:rsidRPr="0026361B">
        <w:t xml:space="preserve"> of 76.5%, which is lower than the government-wide rate of 85.1%. ND also received 153 informal requests in 2014-2015, all of which were</w:t>
      </w:r>
      <w:r>
        <w:t xml:space="preserve"> completed within</w:t>
      </w:r>
      <w:r w:rsidRPr="0026361B">
        <w:t xml:space="preserve"> 15 days. The number of consultations received by ND from other government institutions decreased from 394 to 370, representing a decrease of 6.1% compared to 2013-2014.</w:t>
      </w:r>
    </w:p>
    <w:p w:rsidR="000430A4" w:rsidRPr="002F09E0" w:rsidRDefault="000430A4" w:rsidP="000430A4">
      <w:pPr>
        <w:jc w:val="both"/>
      </w:pPr>
      <w:r>
        <w:t xml:space="preserve">The total number of pages processed by ND this reporting period was 224,634, which is a decrease from 234,134 in 2013-2014. In contrast, </w:t>
      </w:r>
      <w:r w:rsidRPr="002F09E0">
        <w:t xml:space="preserve">the average number of pages </w:t>
      </w:r>
      <w:r>
        <w:t>processed per completed request increased from 123 in 2013-2014 to 130 in 2014-2015 (see Table 1).</w:t>
      </w:r>
    </w:p>
    <w:p w:rsidR="000430A4" w:rsidRPr="002F09E0" w:rsidRDefault="000430A4" w:rsidP="000430A4">
      <w:pPr>
        <w:jc w:val="both"/>
      </w:pPr>
      <w:r w:rsidRPr="002F09E0">
        <w:t>The information released by ND</w:t>
      </w:r>
      <w:r>
        <w:t xml:space="preserve"> in 2014-2015</w:t>
      </w:r>
      <w:r w:rsidRPr="002F09E0">
        <w:t xml:space="preserve"> was mostly in </w:t>
      </w:r>
      <w:r>
        <w:t>electronic</w:t>
      </w:r>
      <w:r w:rsidRPr="002F09E0">
        <w:t xml:space="preserve"> format</w:t>
      </w:r>
      <w:r>
        <w:t>:</w:t>
      </w:r>
      <w:r w:rsidRPr="002F09E0">
        <w:t xml:space="preserve"> </w:t>
      </w:r>
      <w:r>
        <w:t>1,174 requests in electronic format compared to 11</w:t>
      </w:r>
      <w:r w:rsidRPr="002F09E0">
        <w:t xml:space="preserve"> requests in </w:t>
      </w:r>
      <w:r>
        <w:t>paper</w:t>
      </w:r>
      <w:r w:rsidRPr="002F09E0">
        <w:t xml:space="preserve"> format.</w:t>
      </w:r>
      <w:r>
        <w:t xml:space="preserve"> A significant shift from paper to electronic format is observed compared to 662 requests released in paper and 933 in electronic format in the previous period.</w:t>
      </w:r>
    </w:p>
    <w:p w:rsidR="000430A4" w:rsidRPr="003F790D" w:rsidRDefault="000430A4" w:rsidP="000430A4">
      <w:pPr>
        <w:pStyle w:val="Heading3"/>
      </w:pPr>
      <w:r w:rsidRPr="003F790D">
        <w:t>Table 1: Workload</w:t>
      </w:r>
    </w:p>
    <w:tbl>
      <w:tblPr>
        <w:tblW w:w="9248" w:type="dxa"/>
        <w:tblInd w:w="98" w:type="dxa"/>
        <w:tblLook w:val="04A0"/>
      </w:tblPr>
      <w:tblGrid>
        <w:gridCol w:w="5397"/>
        <w:gridCol w:w="1276"/>
        <w:gridCol w:w="1317"/>
        <w:gridCol w:w="1258"/>
      </w:tblGrid>
      <w:tr w:rsidR="000430A4" w:rsidRPr="004E45B1" w:rsidTr="002F32F0">
        <w:trPr>
          <w:trHeight w:val="299"/>
        </w:trPr>
        <w:tc>
          <w:tcPr>
            <w:tcW w:w="5397" w:type="dxa"/>
            <w:tcBorders>
              <w:top w:val="single" w:sz="4" w:space="0" w:color="auto"/>
              <w:left w:val="single" w:sz="4" w:space="0" w:color="auto"/>
              <w:bottom w:val="single" w:sz="8" w:space="0" w:color="auto"/>
              <w:right w:val="nil"/>
            </w:tcBorders>
            <w:shd w:val="clear" w:color="auto" w:fill="auto"/>
            <w:noWrap/>
            <w:vAlign w:val="bottom"/>
            <w:hideMark/>
          </w:tcPr>
          <w:p w:rsidR="000430A4" w:rsidRPr="004E45B1" w:rsidRDefault="000430A4" w:rsidP="002F32F0">
            <w:pPr>
              <w:spacing w:after="0" w:line="240" w:lineRule="auto"/>
              <w:rPr>
                <w:rFonts w:ascii="Calibri" w:eastAsia="Times New Roman" w:hAnsi="Calibri" w:cs="Times New Roman"/>
                <w:color w:val="000000"/>
              </w:rPr>
            </w:pPr>
            <w:r w:rsidRPr="004E45B1">
              <w:rPr>
                <w:rFonts w:ascii="Calibri" w:eastAsia="Times New Roman" w:hAnsi="Calibri" w:cs="Times New Roman"/>
                <w:color w:val="000000"/>
              </w:rPr>
              <w:t xml:space="preserve">Measures </w:t>
            </w:r>
          </w:p>
        </w:tc>
        <w:tc>
          <w:tcPr>
            <w:tcW w:w="1276" w:type="dxa"/>
            <w:tcBorders>
              <w:top w:val="single" w:sz="4" w:space="0" w:color="auto"/>
              <w:left w:val="nil"/>
              <w:bottom w:val="single" w:sz="8" w:space="0" w:color="auto"/>
              <w:right w:val="nil"/>
            </w:tcBorders>
            <w:shd w:val="clear" w:color="auto" w:fill="auto"/>
            <w:noWrap/>
            <w:vAlign w:val="bottom"/>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2012-2013</w:t>
            </w:r>
          </w:p>
        </w:tc>
        <w:tc>
          <w:tcPr>
            <w:tcW w:w="1317" w:type="dxa"/>
            <w:tcBorders>
              <w:top w:val="single" w:sz="4" w:space="0" w:color="auto"/>
              <w:left w:val="nil"/>
              <w:bottom w:val="single" w:sz="8" w:space="0" w:color="auto"/>
              <w:right w:val="nil"/>
            </w:tcBorders>
            <w:shd w:val="clear" w:color="auto" w:fill="auto"/>
            <w:noWrap/>
            <w:vAlign w:val="bottom"/>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2013-2014</w:t>
            </w:r>
          </w:p>
        </w:tc>
        <w:tc>
          <w:tcPr>
            <w:tcW w:w="1258" w:type="dxa"/>
            <w:tcBorders>
              <w:top w:val="single" w:sz="4" w:space="0" w:color="auto"/>
              <w:left w:val="nil"/>
              <w:bottom w:val="single" w:sz="8" w:space="0" w:color="auto"/>
              <w:right w:val="single" w:sz="4" w:space="0" w:color="auto"/>
            </w:tcBorders>
            <w:shd w:val="clear" w:color="auto" w:fill="auto"/>
            <w:noWrap/>
            <w:vAlign w:val="bottom"/>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2014-2015</w:t>
            </w:r>
          </w:p>
        </w:tc>
      </w:tr>
      <w:tr w:rsidR="000430A4" w:rsidRPr="004E45B1" w:rsidTr="002F32F0">
        <w:trPr>
          <w:trHeight w:val="285"/>
        </w:trPr>
        <w:tc>
          <w:tcPr>
            <w:tcW w:w="5397" w:type="dxa"/>
            <w:tcBorders>
              <w:top w:val="nil"/>
              <w:left w:val="single" w:sz="4" w:space="0" w:color="auto"/>
              <w:bottom w:val="nil"/>
              <w:right w:val="nil"/>
            </w:tcBorders>
            <w:shd w:val="clear" w:color="000000" w:fill="DBE5F1"/>
            <w:noWrap/>
            <w:hideMark/>
          </w:tcPr>
          <w:p w:rsidR="000430A4" w:rsidRPr="004E45B1" w:rsidRDefault="000430A4" w:rsidP="002F32F0">
            <w:pPr>
              <w:spacing w:after="0" w:line="240" w:lineRule="auto"/>
              <w:rPr>
                <w:rFonts w:ascii="Calibri" w:eastAsia="Times New Roman" w:hAnsi="Calibri" w:cs="Times New Roman"/>
                <w:color w:val="000000"/>
              </w:rPr>
            </w:pPr>
            <w:r w:rsidRPr="004E45B1">
              <w:rPr>
                <w:rFonts w:ascii="Calibri" w:eastAsia="Times New Roman" w:hAnsi="Calibri" w:cs="Times New Roman"/>
                <w:color w:val="000000"/>
              </w:rPr>
              <w:t xml:space="preserve">Number of requests received </w:t>
            </w:r>
          </w:p>
        </w:tc>
        <w:tc>
          <w:tcPr>
            <w:tcW w:w="1276" w:type="dxa"/>
            <w:tcBorders>
              <w:top w:val="nil"/>
              <w:left w:val="nil"/>
              <w:bottom w:val="nil"/>
              <w:right w:val="nil"/>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2</w:t>
            </w:r>
            <w:r w:rsidR="00F257F8">
              <w:rPr>
                <w:rFonts w:ascii="Calibri" w:eastAsia="Times New Roman" w:hAnsi="Calibri" w:cs="Times New Roman"/>
                <w:b/>
                <w:bCs/>
                <w:color w:val="000000"/>
              </w:rPr>
              <w:t>,</w:t>
            </w:r>
            <w:r w:rsidRPr="004E45B1">
              <w:rPr>
                <w:rFonts w:ascii="Calibri" w:eastAsia="Times New Roman" w:hAnsi="Calibri" w:cs="Times New Roman"/>
                <w:b/>
                <w:bCs/>
                <w:color w:val="000000"/>
              </w:rPr>
              <w:t>044</w:t>
            </w:r>
          </w:p>
        </w:tc>
        <w:tc>
          <w:tcPr>
            <w:tcW w:w="1317" w:type="dxa"/>
            <w:tcBorders>
              <w:top w:val="nil"/>
              <w:left w:val="nil"/>
              <w:bottom w:val="nil"/>
              <w:right w:val="nil"/>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2</w:t>
            </w:r>
            <w:r w:rsidR="00F257F8">
              <w:rPr>
                <w:rFonts w:ascii="Calibri" w:eastAsia="Times New Roman" w:hAnsi="Calibri" w:cs="Times New Roman"/>
                <w:b/>
                <w:bCs/>
                <w:color w:val="000000"/>
              </w:rPr>
              <w:t>,</w:t>
            </w:r>
            <w:r w:rsidRPr="004E45B1">
              <w:rPr>
                <w:rFonts w:ascii="Calibri" w:eastAsia="Times New Roman" w:hAnsi="Calibri" w:cs="Times New Roman"/>
                <w:b/>
                <w:bCs/>
                <w:color w:val="000000"/>
              </w:rPr>
              <w:t>231</w:t>
            </w:r>
          </w:p>
        </w:tc>
        <w:tc>
          <w:tcPr>
            <w:tcW w:w="1258" w:type="dxa"/>
            <w:tcBorders>
              <w:top w:val="nil"/>
              <w:left w:val="nil"/>
              <w:bottom w:val="nil"/>
              <w:right w:val="single" w:sz="4" w:space="0" w:color="auto"/>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2</w:t>
            </w:r>
            <w:r w:rsidR="00F257F8">
              <w:rPr>
                <w:rFonts w:ascii="Calibri" w:eastAsia="Times New Roman" w:hAnsi="Calibri" w:cs="Times New Roman"/>
                <w:b/>
                <w:bCs/>
                <w:color w:val="000000"/>
              </w:rPr>
              <w:t>,</w:t>
            </w:r>
            <w:r w:rsidRPr="004E45B1">
              <w:rPr>
                <w:rFonts w:ascii="Calibri" w:eastAsia="Times New Roman" w:hAnsi="Calibri" w:cs="Times New Roman"/>
                <w:b/>
                <w:bCs/>
                <w:color w:val="000000"/>
              </w:rPr>
              <w:t>073</w:t>
            </w:r>
          </w:p>
        </w:tc>
      </w:tr>
      <w:tr w:rsidR="000430A4" w:rsidRPr="004E45B1" w:rsidTr="002F32F0">
        <w:trPr>
          <w:trHeight w:val="285"/>
        </w:trPr>
        <w:tc>
          <w:tcPr>
            <w:tcW w:w="5397" w:type="dxa"/>
            <w:tcBorders>
              <w:top w:val="nil"/>
              <w:left w:val="single" w:sz="4" w:space="0" w:color="auto"/>
              <w:right w:val="nil"/>
            </w:tcBorders>
            <w:shd w:val="clear" w:color="auto" w:fill="auto"/>
            <w:hideMark/>
          </w:tcPr>
          <w:p w:rsidR="000430A4" w:rsidRPr="004E45B1" w:rsidRDefault="000430A4" w:rsidP="002F32F0">
            <w:pPr>
              <w:spacing w:after="0" w:line="240" w:lineRule="auto"/>
              <w:rPr>
                <w:rFonts w:ascii="Calibri" w:eastAsia="Times New Roman" w:hAnsi="Calibri" w:cs="Times New Roman"/>
                <w:color w:val="000000"/>
              </w:rPr>
            </w:pPr>
            <w:r w:rsidRPr="004E45B1">
              <w:rPr>
                <w:rFonts w:ascii="Calibri" w:eastAsia="Times New Roman" w:hAnsi="Calibri" w:cs="Times New Roman"/>
                <w:color w:val="000000"/>
              </w:rPr>
              <w:t>Annual change (%)</w:t>
            </w:r>
          </w:p>
        </w:tc>
        <w:tc>
          <w:tcPr>
            <w:tcW w:w="1276" w:type="dxa"/>
            <w:tcBorders>
              <w:top w:val="nil"/>
              <w:left w:val="nil"/>
              <w:right w:val="nil"/>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w:t>
            </w:r>
          </w:p>
        </w:tc>
        <w:tc>
          <w:tcPr>
            <w:tcW w:w="1317" w:type="dxa"/>
            <w:tcBorders>
              <w:top w:val="nil"/>
              <w:left w:val="nil"/>
              <w:right w:val="nil"/>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9.1%</w:t>
            </w:r>
          </w:p>
        </w:tc>
        <w:tc>
          <w:tcPr>
            <w:tcW w:w="1258" w:type="dxa"/>
            <w:tcBorders>
              <w:top w:val="nil"/>
              <w:left w:val="nil"/>
              <w:right w:val="single" w:sz="4" w:space="0" w:color="auto"/>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-7.1%</w:t>
            </w:r>
          </w:p>
        </w:tc>
      </w:tr>
      <w:tr w:rsidR="000430A4" w:rsidRPr="004E45B1" w:rsidTr="002F32F0">
        <w:trPr>
          <w:trHeight w:val="285"/>
        </w:trPr>
        <w:tc>
          <w:tcPr>
            <w:tcW w:w="5397" w:type="dxa"/>
            <w:tcBorders>
              <w:top w:val="nil"/>
              <w:left w:val="single" w:sz="4" w:space="0" w:color="auto"/>
              <w:bottom w:val="nil"/>
              <w:right w:val="nil"/>
            </w:tcBorders>
            <w:shd w:val="clear" w:color="000000" w:fill="DBE5F1"/>
            <w:hideMark/>
          </w:tcPr>
          <w:p w:rsidR="000430A4" w:rsidRPr="004E45B1" w:rsidRDefault="000430A4" w:rsidP="002F32F0">
            <w:pPr>
              <w:spacing w:after="0" w:line="240" w:lineRule="auto"/>
              <w:rPr>
                <w:rFonts w:ascii="Calibri" w:eastAsia="Times New Roman" w:hAnsi="Calibri" w:cs="Times New Roman"/>
                <w:color w:val="000000"/>
              </w:rPr>
            </w:pPr>
            <w:r w:rsidRPr="004E45B1">
              <w:rPr>
                <w:rFonts w:ascii="Calibri" w:eastAsia="Times New Roman" w:hAnsi="Calibri" w:cs="Times New Roman"/>
                <w:color w:val="000000"/>
              </w:rPr>
              <w:t>Completed requests</w:t>
            </w:r>
          </w:p>
        </w:tc>
        <w:tc>
          <w:tcPr>
            <w:tcW w:w="1276" w:type="dxa"/>
            <w:tcBorders>
              <w:top w:val="nil"/>
              <w:left w:val="nil"/>
              <w:bottom w:val="nil"/>
              <w:right w:val="nil"/>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4E45B1">
              <w:rPr>
                <w:rFonts w:ascii="Calibri" w:eastAsia="Times New Roman" w:hAnsi="Calibri" w:cs="Times New Roman"/>
                <w:b/>
                <w:bCs/>
                <w:color w:val="000000"/>
              </w:rPr>
              <w:t>839</w:t>
            </w:r>
          </w:p>
        </w:tc>
        <w:tc>
          <w:tcPr>
            <w:tcW w:w="1317" w:type="dxa"/>
            <w:tcBorders>
              <w:top w:val="nil"/>
              <w:left w:val="nil"/>
              <w:bottom w:val="nil"/>
              <w:right w:val="nil"/>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2</w:t>
            </w:r>
            <w:r w:rsidR="00F257F8">
              <w:rPr>
                <w:rFonts w:ascii="Calibri" w:eastAsia="Times New Roman" w:hAnsi="Calibri" w:cs="Times New Roman"/>
                <w:b/>
                <w:bCs/>
                <w:color w:val="000000"/>
              </w:rPr>
              <w:t>,</w:t>
            </w:r>
            <w:r w:rsidRPr="004E45B1">
              <w:rPr>
                <w:rFonts w:ascii="Calibri" w:eastAsia="Times New Roman" w:hAnsi="Calibri" w:cs="Times New Roman"/>
                <w:b/>
                <w:bCs/>
                <w:color w:val="000000"/>
              </w:rPr>
              <w:t>219</w:t>
            </w:r>
          </w:p>
        </w:tc>
        <w:tc>
          <w:tcPr>
            <w:tcW w:w="1258" w:type="dxa"/>
            <w:tcBorders>
              <w:top w:val="nil"/>
              <w:left w:val="nil"/>
              <w:bottom w:val="nil"/>
              <w:right w:val="single" w:sz="4" w:space="0" w:color="auto"/>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2</w:t>
            </w:r>
            <w:r w:rsidR="00F257F8">
              <w:rPr>
                <w:rFonts w:ascii="Calibri" w:eastAsia="Times New Roman" w:hAnsi="Calibri" w:cs="Times New Roman"/>
                <w:b/>
                <w:bCs/>
                <w:color w:val="000000"/>
              </w:rPr>
              <w:t>,</w:t>
            </w:r>
            <w:r w:rsidRPr="004E45B1">
              <w:rPr>
                <w:rFonts w:ascii="Calibri" w:eastAsia="Times New Roman" w:hAnsi="Calibri" w:cs="Times New Roman"/>
                <w:b/>
                <w:bCs/>
                <w:color w:val="000000"/>
              </w:rPr>
              <w:t>015</w:t>
            </w:r>
          </w:p>
        </w:tc>
      </w:tr>
      <w:tr w:rsidR="000430A4" w:rsidRPr="004E45B1" w:rsidTr="002F32F0">
        <w:trPr>
          <w:trHeight w:val="299"/>
        </w:trPr>
        <w:tc>
          <w:tcPr>
            <w:tcW w:w="5397" w:type="dxa"/>
            <w:tcBorders>
              <w:top w:val="nil"/>
              <w:left w:val="single" w:sz="4" w:space="0" w:color="auto"/>
              <w:right w:val="nil"/>
            </w:tcBorders>
            <w:shd w:val="clear" w:color="auto" w:fill="auto"/>
            <w:hideMark/>
          </w:tcPr>
          <w:p w:rsidR="000430A4" w:rsidRPr="004E45B1" w:rsidRDefault="000430A4" w:rsidP="002F32F0">
            <w:pPr>
              <w:spacing w:after="0" w:line="240" w:lineRule="auto"/>
              <w:rPr>
                <w:rFonts w:ascii="Calibri" w:eastAsia="Times New Roman" w:hAnsi="Calibri" w:cs="Times New Roman"/>
                <w:color w:val="000000"/>
              </w:rPr>
            </w:pPr>
            <w:r w:rsidRPr="004E45B1">
              <w:rPr>
                <w:rFonts w:ascii="Calibri" w:eastAsia="Times New Roman" w:hAnsi="Calibri" w:cs="Times New Roman"/>
                <w:color w:val="000000"/>
              </w:rPr>
              <w:t>Annual change</w:t>
            </w:r>
          </w:p>
        </w:tc>
        <w:tc>
          <w:tcPr>
            <w:tcW w:w="1276" w:type="dxa"/>
            <w:tcBorders>
              <w:top w:val="nil"/>
              <w:left w:val="nil"/>
              <w:right w:val="nil"/>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w:t>
            </w:r>
          </w:p>
        </w:tc>
        <w:tc>
          <w:tcPr>
            <w:tcW w:w="1317" w:type="dxa"/>
            <w:tcBorders>
              <w:top w:val="nil"/>
              <w:left w:val="nil"/>
              <w:right w:val="nil"/>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20.7%</w:t>
            </w:r>
          </w:p>
        </w:tc>
        <w:tc>
          <w:tcPr>
            <w:tcW w:w="1258" w:type="dxa"/>
            <w:tcBorders>
              <w:top w:val="nil"/>
              <w:left w:val="nil"/>
              <w:right w:val="single" w:sz="4" w:space="0" w:color="auto"/>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-9.2%</w:t>
            </w:r>
          </w:p>
        </w:tc>
      </w:tr>
      <w:tr w:rsidR="000430A4" w:rsidRPr="004E45B1" w:rsidTr="002F32F0">
        <w:trPr>
          <w:trHeight w:val="627"/>
        </w:trPr>
        <w:tc>
          <w:tcPr>
            <w:tcW w:w="5397" w:type="dxa"/>
            <w:tcBorders>
              <w:top w:val="nil"/>
              <w:left w:val="single" w:sz="4" w:space="0" w:color="auto"/>
              <w:right w:val="nil"/>
            </w:tcBorders>
            <w:shd w:val="clear" w:color="000000" w:fill="DBE5F1"/>
            <w:hideMark/>
          </w:tcPr>
          <w:p w:rsidR="000430A4" w:rsidRPr="004E45B1" w:rsidRDefault="000430A4" w:rsidP="002F32F0">
            <w:pPr>
              <w:spacing w:after="0" w:line="240" w:lineRule="auto"/>
              <w:rPr>
                <w:rFonts w:ascii="Calibri" w:eastAsia="Times New Roman" w:hAnsi="Calibri" w:cs="Times New Roman"/>
                <w:color w:val="000000"/>
              </w:rPr>
            </w:pPr>
            <w:r w:rsidRPr="004E45B1">
              <w:rPr>
                <w:rFonts w:ascii="Calibri" w:eastAsia="Times New Roman" w:hAnsi="Calibri" w:cs="Times New Roman"/>
                <w:color w:val="000000"/>
              </w:rPr>
              <w:t>Number of consultations received (from other government institutions)</w:t>
            </w:r>
          </w:p>
        </w:tc>
        <w:tc>
          <w:tcPr>
            <w:tcW w:w="1276" w:type="dxa"/>
            <w:tcBorders>
              <w:top w:val="nil"/>
              <w:left w:val="nil"/>
              <w:right w:val="nil"/>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489</w:t>
            </w:r>
          </w:p>
        </w:tc>
        <w:tc>
          <w:tcPr>
            <w:tcW w:w="1317" w:type="dxa"/>
            <w:tcBorders>
              <w:top w:val="nil"/>
              <w:left w:val="nil"/>
              <w:right w:val="nil"/>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394</w:t>
            </w:r>
          </w:p>
        </w:tc>
        <w:tc>
          <w:tcPr>
            <w:tcW w:w="1258" w:type="dxa"/>
            <w:tcBorders>
              <w:top w:val="nil"/>
              <w:left w:val="nil"/>
              <w:right w:val="single" w:sz="4" w:space="0" w:color="auto"/>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370</w:t>
            </w:r>
          </w:p>
        </w:tc>
      </w:tr>
      <w:tr w:rsidR="000430A4" w:rsidRPr="004E45B1" w:rsidTr="002F32F0">
        <w:trPr>
          <w:trHeight w:val="299"/>
        </w:trPr>
        <w:tc>
          <w:tcPr>
            <w:tcW w:w="5397" w:type="dxa"/>
            <w:tcBorders>
              <w:left w:val="single" w:sz="4" w:space="0" w:color="auto"/>
              <w:right w:val="nil"/>
            </w:tcBorders>
            <w:shd w:val="clear" w:color="auto" w:fill="auto"/>
            <w:hideMark/>
          </w:tcPr>
          <w:p w:rsidR="000430A4" w:rsidRPr="004E45B1" w:rsidRDefault="000430A4" w:rsidP="002F32F0">
            <w:pPr>
              <w:spacing w:after="0" w:line="240" w:lineRule="auto"/>
              <w:rPr>
                <w:rFonts w:ascii="Calibri" w:eastAsia="Times New Roman" w:hAnsi="Calibri" w:cs="Times New Roman"/>
                <w:color w:val="000000"/>
              </w:rPr>
            </w:pPr>
            <w:r w:rsidRPr="004E45B1">
              <w:rPr>
                <w:rFonts w:ascii="Calibri" w:eastAsia="Times New Roman" w:hAnsi="Calibri" w:cs="Times New Roman"/>
                <w:color w:val="000000"/>
              </w:rPr>
              <w:t>Annual change (%)</w:t>
            </w:r>
          </w:p>
        </w:tc>
        <w:tc>
          <w:tcPr>
            <w:tcW w:w="1276" w:type="dxa"/>
            <w:tcBorders>
              <w:left w:val="nil"/>
              <w:right w:val="nil"/>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w:t>
            </w:r>
          </w:p>
        </w:tc>
        <w:tc>
          <w:tcPr>
            <w:tcW w:w="1317" w:type="dxa"/>
            <w:tcBorders>
              <w:left w:val="nil"/>
              <w:right w:val="nil"/>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-31.7%</w:t>
            </w:r>
          </w:p>
        </w:tc>
        <w:tc>
          <w:tcPr>
            <w:tcW w:w="1258" w:type="dxa"/>
            <w:tcBorders>
              <w:left w:val="nil"/>
              <w:right w:val="single" w:sz="4" w:space="0" w:color="auto"/>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17.9%</w:t>
            </w:r>
          </w:p>
        </w:tc>
      </w:tr>
      <w:tr w:rsidR="000430A4" w:rsidRPr="004E45B1" w:rsidTr="002F32F0">
        <w:trPr>
          <w:trHeight w:val="570"/>
        </w:trPr>
        <w:tc>
          <w:tcPr>
            <w:tcW w:w="5397" w:type="dxa"/>
            <w:tcBorders>
              <w:left w:val="single" w:sz="4" w:space="0" w:color="auto"/>
              <w:bottom w:val="nil"/>
              <w:right w:val="nil"/>
            </w:tcBorders>
            <w:shd w:val="clear" w:color="000000" w:fill="DBE5F1"/>
            <w:hideMark/>
          </w:tcPr>
          <w:p w:rsidR="000430A4" w:rsidRPr="004E45B1" w:rsidRDefault="000430A4" w:rsidP="002F32F0">
            <w:pPr>
              <w:spacing w:after="0" w:line="240" w:lineRule="auto"/>
              <w:rPr>
                <w:rFonts w:ascii="Calibri" w:eastAsia="Times New Roman" w:hAnsi="Calibri" w:cs="Times New Roman"/>
                <w:color w:val="000000"/>
              </w:rPr>
            </w:pPr>
            <w:r w:rsidRPr="004E45B1">
              <w:rPr>
                <w:rFonts w:ascii="Calibri" w:eastAsia="Times New Roman" w:hAnsi="Calibri" w:cs="Times New Roman"/>
                <w:color w:val="000000"/>
              </w:rPr>
              <w:lastRenderedPageBreak/>
              <w:t>Average number of pages processed per request completed</w:t>
            </w:r>
          </w:p>
        </w:tc>
        <w:tc>
          <w:tcPr>
            <w:tcW w:w="1276" w:type="dxa"/>
            <w:tcBorders>
              <w:left w:val="nil"/>
              <w:bottom w:val="nil"/>
              <w:right w:val="nil"/>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104</w:t>
            </w:r>
          </w:p>
        </w:tc>
        <w:tc>
          <w:tcPr>
            <w:tcW w:w="1317" w:type="dxa"/>
            <w:tcBorders>
              <w:left w:val="nil"/>
              <w:bottom w:val="nil"/>
              <w:right w:val="nil"/>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123</w:t>
            </w:r>
          </w:p>
        </w:tc>
        <w:tc>
          <w:tcPr>
            <w:tcW w:w="1258" w:type="dxa"/>
            <w:tcBorders>
              <w:left w:val="nil"/>
              <w:bottom w:val="nil"/>
              <w:right w:val="single" w:sz="4" w:space="0" w:color="auto"/>
            </w:tcBorders>
            <w:shd w:val="clear" w:color="000000" w:fill="DBE5F1"/>
            <w:noWrap/>
            <w:vAlign w:val="center"/>
            <w:hideMark/>
          </w:tcPr>
          <w:p w:rsidR="000430A4" w:rsidRPr="004E45B1" w:rsidRDefault="000430A4" w:rsidP="002F32F0">
            <w:pPr>
              <w:spacing w:after="0" w:line="240" w:lineRule="auto"/>
              <w:jc w:val="center"/>
              <w:rPr>
                <w:rFonts w:ascii="Calibri" w:eastAsia="Times New Roman" w:hAnsi="Calibri" w:cs="Times New Roman"/>
                <w:b/>
                <w:bCs/>
                <w:color w:val="000000"/>
              </w:rPr>
            </w:pPr>
            <w:r w:rsidRPr="004E45B1">
              <w:rPr>
                <w:rFonts w:ascii="Calibri" w:eastAsia="Times New Roman" w:hAnsi="Calibri" w:cs="Times New Roman"/>
                <w:b/>
                <w:bCs/>
                <w:color w:val="000000"/>
              </w:rPr>
              <w:t>130</w:t>
            </w:r>
          </w:p>
        </w:tc>
      </w:tr>
      <w:tr w:rsidR="000430A4" w:rsidRPr="004E45B1" w:rsidTr="002F32F0">
        <w:trPr>
          <w:trHeight w:val="399"/>
        </w:trPr>
        <w:tc>
          <w:tcPr>
            <w:tcW w:w="5397" w:type="dxa"/>
            <w:tcBorders>
              <w:top w:val="nil"/>
              <w:left w:val="single" w:sz="4" w:space="0" w:color="auto"/>
              <w:bottom w:val="single" w:sz="4" w:space="0" w:color="auto"/>
              <w:right w:val="nil"/>
            </w:tcBorders>
            <w:shd w:val="clear" w:color="auto" w:fill="auto"/>
            <w:hideMark/>
          </w:tcPr>
          <w:p w:rsidR="000430A4" w:rsidRPr="004E45B1" w:rsidRDefault="000430A4" w:rsidP="002F32F0">
            <w:pPr>
              <w:spacing w:after="0" w:line="240" w:lineRule="auto"/>
              <w:rPr>
                <w:rFonts w:ascii="Calibri" w:eastAsia="Times New Roman" w:hAnsi="Calibri" w:cs="Times New Roman"/>
                <w:color w:val="000000"/>
              </w:rPr>
            </w:pPr>
            <w:r w:rsidRPr="004E45B1">
              <w:rPr>
                <w:rFonts w:ascii="Calibri" w:eastAsia="Times New Roman" w:hAnsi="Calibri" w:cs="Times New Roman"/>
                <w:color w:val="000000"/>
              </w:rPr>
              <w:t>% of requests for which more than 1</w:t>
            </w:r>
            <w:r w:rsidR="00F257F8">
              <w:rPr>
                <w:rFonts w:ascii="Calibri" w:eastAsia="Times New Roman" w:hAnsi="Calibri" w:cs="Times New Roman"/>
                <w:color w:val="000000"/>
              </w:rPr>
              <w:t>,</w:t>
            </w:r>
            <w:r w:rsidRPr="004E45B1">
              <w:rPr>
                <w:rFonts w:ascii="Calibri" w:eastAsia="Times New Roman" w:hAnsi="Calibri" w:cs="Times New Roman"/>
                <w:color w:val="000000"/>
              </w:rPr>
              <w:t>000 pages were processed</w:t>
            </w:r>
          </w:p>
        </w:tc>
        <w:tc>
          <w:tcPr>
            <w:tcW w:w="1276" w:type="dxa"/>
            <w:tcBorders>
              <w:top w:val="nil"/>
              <w:left w:val="nil"/>
              <w:bottom w:val="single" w:sz="4" w:space="0" w:color="auto"/>
              <w:right w:val="nil"/>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1.6%</w:t>
            </w:r>
          </w:p>
        </w:tc>
        <w:tc>
          <w:tcPr>
            <w:tcW w:w="1317" w:type="dxa"/>
            <w:tcBorders>
              <w:top w:val="nil"/>
              <w:left w:val="nil"/>
              <w:bottom w:val="single" w:sz="4" w:space="0" w:color="auto"/>
              <w:right w:val="nil"/>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2.5%</w:t>
            </w:r>
          </w:p>
        </w:tc>
        <w:tc>
          <w:tcPr>
            <w:tcW w:w="1258" w:type="dxa"/>
            <w:tcBorders>
              <w:top w:val="nil"/>
              <w:left w:val="nil"/>
              <w:bottom w:val="single" w:sz="4" w:space="0" w:color="auto"/>
              <w:right w:val="single" w:sz="4" w:space="0" w:color="auto"/>
            </w:tcBorders>
            <w:shd w:val="clear" w:color="auto" w:fill="auto"/>
            <w:noWrap/>
            <w:vAlign w:val="center"/>
            <w:hideMark/>
          </w:tcPr>
          <w:p w:rsidR="000430A4" w:rsidRPr="004E45B1" w:rsidRDefault="000430A4" w:rsidP="002F32F0">
            <w:pPr>
              <w:spacing w:after="0" w:line="240" w:lineRule="auto"/>
              <w:jc w:val="center"/>
              <w:rPr>
                <w:rFonts w:ascii="Calibri" w:eastAsia="Times New Roman" w:hAnsi="Calibri" w:cs="Times New Roman"/>
                <w:color w:val="000000"/>
              </w:rPr>
            </w:pPr>
            <w:r w:rsidRPr="004E45B1">
              <w:rPr>
                <w:rFonts w:ascii="Calibri" w:eastAsia="Times New Roman" w:hAnsi="Calibri" w:cs="Times New Roman"/>
                <w:color w:val="000000"/>
              </w:rPr>
              <w:t>2.7%</w:t>
            </w:r>
          </w:p>
        </w:tc>
      </w:tr>
    </w:tbl>
    <w:p w:rsidR="000430A4" w:rsidRPr="005D2B22" w:rsidRDefault="000430A4" w:rsidP="000430A4">
      <w:pPr>
        <w:pStyle w:val="Heading2"/>
        <w:spacing w:before="240"/>
      </w:pPr>
      <w:r w:rsidRPr="005D2B22">
        <w:t>Requests completion time</w:t>
      </w:r>
    </w:p>
    <w:p w:rsidR="000430A4" w:rsidRPr="005D2B22" w:rsidRDefault="000430A4" w:rsidP="000430A4">
      <w:pPr>
        <w:pStyle w:val="Heading4"/>
      </w:pPr>
      <w:r w:rsidRPr="005D2B22">
        <w:t>Timeliness</w:t>
      </w:r>
    </w:p>
    <w:p w:rsidR="000430A4" w:rsidRPr="00E61E15" w:rsidRDefault="000430A4" w:rsidP="000430A4">
      <w:pPr>
        <w:jc w:val="both"/>
      </w:pPr>
      <w:r w:rsidRPr="00E61E15">
        <w:t xml:space="preserve">Figure 1 reveals that </w:t>
      </w:r>
      <w:r>
        <w:t>49.3</w:t>
      </w:r>
      <w:r w:rsidRPr="00E61E15">
        <w:t xml:space="preserve">% of requests were completed within 30 days or less, which is </w:t>
      </w:r>
      <w:r>
        <w:t>an improvement from the 41.6% of requests completed within the 30-day statutory timeframe in 2013-2014.</w:t>
      </w:r>
    </w:p>
    <w:p w:rsidR="000430A4" w:rsidRPr="000F6789" w:rsidRDefault="000430A4" w:rsidP="000430A4">
      <w:pPr>
        <w:spacing w:line="240" w:lineRule="auto"/>
        <w:rPr>
          <w:sz w:val="24"/>
          <w:szCs w:val="24"/>
        </w:rPr>
      </w:pPr>
      <w:r w:rsidRPr="005D2B22">
        <w:rPr>
          <w:rStyle w:val="Heading3Char"/>
        </w:rPr>
        <w:t>Figure 1: Request Completion Time</w:t>
      </w:r>
      <w:r w:rsidRPr="00265EF9">
        <w:rPr>
          <w:noProof/>
          <w:color w:val="FF0000"/>
          <w:sz w:val="24"/>
          <w:szCs w:val="24"/>
        </w:rPr>
        <w:drawing>
          <wp:inline distT="0" distB="0" distL="0" distR="0">
            <wp:extent cx="5947576" cy="4039263"/>
            <wp:effectExtent l="0" t="0" r="15240" b="18415"/>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30A4" w:rsidRPr="005D2B22" w:rsidRDefault="000430A4" w:rsidP="000430A4">
      <w:pPr>
        <w:pStyle w:val="Heading4"/>
      </w:pPr>
      <w:r w:rsidRPr="005D2B22">
        <w:t>Extensions</w:t>
      </w:r>
    </w:p>
    <w:p w:rsidR="000430A4" w:rsidRPr="00302C45" w:rsidRDefault="000430A4" w:rsidP="000430A4">
      <w:pPr>
        <w:jc w:val="both"/>
      </w:pPr>
      <w:r w:rsidRPr="00302C45">
        <w:t>ND took a total of 873 extensions in 2014-2015 compared to 1,462 in 2013-2014. The most common reason for taking an extension was interference with operations (55.6%), followed by consultations (39.2%). Similarly, interference with operations was the most common reason for extensions in 2013-2014.</w:t>
      </w:r>
    </w:p>
    <w:p w:rsidR="000430A4" w:rsidRPr="005F47F2" w:rsidRDefault="000430A4" w:rsidP="000430A4">
      <w:pPr>
        <w:jc w:val="both"/>
      </w:pPr>
      <w:r w:rsidRPr="005F47F2">
        <w:t xml:space="preserve">Figure 2 shows that </w:t>
      </w:r>
      <w:r>
        <w:t>37.9</w:t>
      </w:r>
      <w:r w:rsidRPr="005F47F2">
        <w:t xml:space="preserve">% of extensions were </w:t>
      </w:r>
      <w:r>
        <w:t xml:space="preserve">taken for </w:t>
      </w:r>
      <w:r w:rsidRPr="005F47F2">
        <w:t>30 days</w:t>
      </w:r>
      <w:r>
        <w:t xml:space="preserve"> or less, which is 2.0%</w:t>
      </w:r>
      <w:r w:rsidRPr="005F47F2">
        <w:t xml:space="preserve"> </w:t>
      </w:r>
      <w:r>
        <w:t xml:space="preserve">lower than </w:t>
      </w:r>
      <w:r w:rsidRPr="005F47F2">
        <w:t xml:space="preserve">2013-2014. </w:t>
      </w:r>
      <w:r>
        <w:t xml:space="preserve">We also observed </w:t>
      </w:r>
      <w:r w:rsidRPr="005F47F2">
        <w:t xml:space="preserve">that the </w:t>
      </w:r>
      <w:r>
        <w:t xml:space="preserve">number </w:t>
      </w:r>
      <w:r w:rsidRPr="005F47F2">
        <w:t xml:space="preserve">of </w:t>
      </w:r>
      <w:r>
        <w:t xml:space="preserve">extensions taken </w:t>
      </w:r>
      <w:r w:rsidRPr="005F47F2">
        <w:t xml:space="preserve">between 31 and 60 days in 2014-2015 increased </w:t>
      </w:r>
      <w:r>
        <w:t>by 1.8% from the previous period</w:t>
      </w:r>
      <w:r w:rsidRPr="005F47F2">
        <w:t>.</w:t>
      </w:r>
    </w:p>
    <w:p w:rsidR="000430A4" w:rsidRDefault="000430A4" w:rsidP="000430A4">
      <w:r w:rsidRPr="005D2B22">
        <w:rPr>
          <w:rStyle w:val="Heading3Char"/>
        </w:rPr>
        <w:lastRenderedPageBreak/>
        <w:t>Figure 2: Length of Extensions</w:t>
      </w:r>
      <w:r w:rsidRPr="00265EF9">
        <w:rPr>
          <w:noProof/>
        </w:rPr>
        <w:drawing>
          <wp:inline distT="0" distB="0" distL="0" distR="0">
            <wp:extent cx="6027089" cy="3760967"/>
            <wp:effectExtent l="0" t="0" r="0" b="0"/>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30A4" w:rsidRPr="005D2B22" w:rsidRDefault="000430A4" w:rsidP="000430A4">
      <w:pPr>
        <w:pStyle w:val="Heading4"/>
      </w:pPr>
      <w:r w:rsidRPr="005D2B22">
        <w:t>Deemed refusals</w:t>
      </w:r>
    </w:p>
    <w:p w:rsidR="000430A4" w:rsidRPr="00302C45" w:rsidRDefault="000430A4" w:rsidP="000430A4">
      <w:pPr>
        <w:jc w:val="both"/>
      </w:pPr>
      <w:r w:rsidRPr="00302C45">
        <w:t>In 2014-2015, the number of requests closed past the statutory deadline was 567, which accounts for 28.1% of completed requests. This rate represents an “F” grade, which is a drop from the “B” (9.4%) of last year.</w:t>
      </w:r>
      <w:r w:rsidRPr="00302C45">
        <w:rPr>
          <w:rStyle w:val="FootnoteReference"/>
        </w:rPr>
        <w:footnoteReference w:id="22"/>
      </w:r>
      <w:r w:rsidRPr="00302C45">
        <w:t xml:space="preserve">  The reason provided for ND’s high rate of overdue requests was workload (57.3%). Figure 3 shows that 43.7% of overdue requests were late by 30 days or less.</w:t>
      </w:r>
    </w:p>
    <w:p w:rsidR="000430A4" w:rsidRPr="00ED442D" w:rsidRDefault="000430A4" w:rsidP="000430A4">
      <w:pPr>
        <w:rPr>
          <w:sz w:val="24"/>
          <w:szCs w:val="24"/>
        </w:rPr>
      </w:pPr>
      <w:r w:rsidRPr="005D2B22">
        <w:rPr>
          <w:rStyle w:val="Heading3Char"/>
        </w:rPr>
        <w:lastRenderedPageBreak/>
        <w:t>Figure 3: Lateness of Overdue Requests</w:t>
      </w:r>
      <w:r w:rsidRPr="00265EF9">
        <w:rPr>
          <w:noProof/>
        </w:rPr>
        <w:drawing>
          <wp:inline distT="0" distB="0" distL="0" distR="0">
            <wp:extent cx="6003235" cy="4071068"/>
            <wp:effectExtent l="0" t="0" r="0" b="5715"/>
            <wp:docPr id="1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430A4" w:rsidRPr="005D2B22" w:rsidRDefault="000430A4" w:rsidP="000430A4">
      <w:pPr>
        <w:pStyle w:val="Heading2"/>
      </w:pPr>
      <w:r w:rsidRPr="005D2B22">
        <w:t>Disclosure</w:t>
      </w:r>
    </w:p>
    <w:p w:rsidR="000430A4" w:rsidRPr="00D2368F" w:rsidRDefault="000430A4" w:rsidP="000430A4">
      <w:pPr>
        <w:pStyle w:val="Heading4"/>
      </w:pPr>
      <w:r w:rsidRPr="00D2368F">
        <w:t xml:space="preserve">Percentage of requests for </w:t>
      </w:r>
      <w:r>
        <w:t>which information was disclosed</w:t>
      </w:r>
    </w:p>
    <w:p w:rsidR="000430A4" w:rsidRDefault="000430A4" w:rsidP="000430A4">
      <w:pPr>
        <w:jc w:val="both"/>
      </w:pPr>
      <w:r w:rsidRPr="00A04161">
        <w:t xml:space="preserve">In 2014-2015, </w:t>
      </w:r>
      <w:r>
        <w:t>18.5</w:t>
      </w:r>
      <w:r w:rsidRPr="00A04161">
        <w:t xml:space="preserve">% of requests </w:t>
      </w:r>
      <w:r>
        <w:t xml:space="preserve">completed </w:t>
      </w:r>
      <w:r w:rsidRPr="00A04161">
        <w:t xml:space="preserve">were entirely disclosed, which is the lowest disclosure rate since 2012 (see Figure 4). Figure 4 also shows that the rate for partially disclosed requests was </w:t>
      </w:r>
      <w:r>
        <w:t>40.4</w:t>
      </w:r>
      <w:r w:rsidRPr="00A04161">
        <w:t xml:space="preserve">% in 2014-2015, which </w:t>
      </w:r>
      <w:r>
        <w:t>decreased from 47.6% in 2013-2014.</w:t>
      </w:r>
    </w:p>
    <w:p w:rsidR="000430A4" w:rsidRDefault="000430A4" w:rsidP="000430A4">
      <w:pPr>
        <w:spacing w:line="240" w:lineRule="auto"/>
        <w:rPr>
          <w:sz w:val="24"/>
          <w:szCs w:val="24"/>
        </w:rPr>
      </w:pPr>
      <w:r w:rsidRPr="005D2B22">
        <w:rPr>
          <w:rStyle w:val="Heading3Char"/>
        </w:rPr>
        <w:lastRenderedPageBreak/>
        <w:t>Figure 4: Level of Disclosure</w:t>
      </w:r>
      <w:r w:rsidRPr="00265EF9">
        <w:rPr>
          <w:noProof/>
        </w:rPr>
        <w:drawing>
          <wp:inline distT="0" distB="0" distL="0" distR="0">
            <wp:extent cx="5939624" cy="3705308"/>
            <wp:effectExtent l="0" t="0" r="4445" b="0"/>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430A4" w:rsidRPr="00D2368F" w:rsidRDefault="000430A4" w:rsidP="000430A4">
      <w:pPr>
        <w:spacing w:line="360" w:lineRule="auto"/>
        <w:jc w:val="both"/>
      </w:pPr>
      <w:r>
        <w:t>E</w:t>
      </w:r>
      <w:r w:rsidRPr="005D2B22">
        <w:rPr>
          <w:rStyle w:val="Heading4Char"/>
        </w:rPr>
        <w:t>xemptions</w:t>
      </w:r>
    </w:p>
    <w:p w:rsidR="000430A4" w:rsidRDefault="000430A4" w:rsidP="000430A4">
      <w:pPr>
        <w:jc w:val="both"/>
      </w:pPr>
      <w:r w:rsidRPr="004B67A5">
        <w:t xml:space="preserve">The </w:t>
      </w:r>
      <w:r>
        <w:t xml:space="preserve">average </w:t>
      </w:r>
      <w:r w:rsidRPr="004B67A5">
        <w:t>number of exemption</w:t>
      </w:r>
      <w:r>
        <w:t>s</w:t>
      </w:r>
      <w:r w:rsidRPr="004B67A5">
        <w:t xml:space="preserve"> used per completed request </w:t>
      </w:r>
      <w:r>
        <w:t>decreased</w:t>
      </w:r>
      <w:r w:rsidRPr="004B67A5">
        <w:t xml:space="preserve"> </w:t>
      </w:r>
      <w:r>
        <w:t>from 1.29 in 2013-2014 to 1.0 in</w:t>
      </w:r>
      <w:r w:rsidRPr="004B67A5">
        <w:t xml:space="preserve"> 20</w:t>
      </w:r>
      <w:r w:rsidRPr="00EC78EE">
        <w:t>14-2015 (see Table 2). The most used exemptions in 2014-2015 were section 19 (Personal Information) (24</w:t>
      </w:r>
      <w:r>
        <w:t>.4</w:t>
      </w:r>
      <w:r w:rsidRPr="00EC78EE">
        <w:t>%), section 21 (Operations of Government) (22</w:t>
      </w:r>
      <w:r>
        <w:t>.4</w:t>
      </w:r>
      <w:r w:rsidRPr="00EC78EE">
        <w:t>%), and section 15 (International Affairs and Defence) (21</w:t>
      </w:r>
      <w:r>
        <w:t>.4</w:t>
      </w:r>
      <w:r w:rsidRPr="00EC78EE">
        <w:t>%)</w:t>
      </w:r>
      <w:r>
        <w:t>.</w:t>
      </w:r>
    </w:p>
    <w:p w:rsidR="000430A4" w:rsidRPr="003F790D" w:rsidRDefault="000430A4" w:rsidP="000430A4">
      <w:pPr>
        <w:pStyle w:val="Heading3"/>
      </w:pPr>
      <w:r w:rsidRPr="003F790D">
        <w:t>Table 2: Exemptions</w:t>
      </w:r>
    </w:p>
    <w:tbl>
      <w:tblPr>
        <w:tblW w:w="9830" w:type="dxa"/>
        <w:tblInd w:w="98" w:type="dxa"/>
        <w:tblLook w:val="04A0"/>
      </w:tblPr>
      <w:tblGrid>
        <w:gridCol w:w="6069"/>
        <w:gridCol w:w="1212"/>
        <w:gridCol w:w="1212"/>
        <w:gridCol w:w="1337"/>
      </w:tblGrid>
      <w:tr w:rsidR="000430A4" w:rsidRPr="00AD5E90" w:rsidTr="002F32F0">
        <w:trPr>
          <w:trHeight w:val="235"/>
        </w:trPr>
        <w:tc>
          <w:tcPr>
            <w:tcW w:w="6069"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AD5E90" w:rsidRDefault="000430A4" w:rsidP="002F32F0">
            <w:pPr>
              <w:spacing w:after="0" w:line="240" w:lineRule="auto"/>
              <w:rPr>
                <w:rFonts w:ascii="Calibri" w:eastAsia="Times New Roman" w:hAnsi="Calibri" w:cs="Times New Roman"/>
                <w:color w:val="000000"/>
              </w:rPr>
            </w:pPr>
            <w:r w:rsidRPr="00AD5E90">
              <w:rPr>
                <w:rFonts w:ascii="Calibri" w:eastAsia="Times New Roman" w:hAnsi="Calibri" w:cs="Times New Roman"/>
                <w:color w:val="000000"/>
              </w:rPr>
              <w:t xml:space="preserve">Exemptions </w:t>
            </w:r>
          </w:p>
        </w:tc>
        <w:tc>
          <w:tcPr>
            <w:tcW w:w="1212" w:type="dxa"/>
            <w:tcBorders>
              <w:top w:val="single" w:sz="8" w:space="0" w:color="auto"/>
              <w:left w:val="nil"/>
              <w:bottom w:val="single" w:sz="8" w:space="0" w:color="auto"/>
              <w:right w:val="nil"/>
            </w:tcBorders>
            <w:shd w:val="clear" w:color="000000" w:fill="DBE5F1"/>
            <w:noWrap/>
            <w:vAlign w:val="bottom"/>
            <w:hideMark/>
          </w:tcPr>
          <w:p w:rsidR="000430A4" w:rsidRPr="00AD5E90" w:rsidRDefault="000430A4" w:rsidP="002F32F0">
            <w:pPr>
              <w:spacing w:after="0" w:line="240" w:lineRule="auto"/>
              <w:jc w:val="center"/>
              <w:rPr>
                <w:rFonts w:ascii="Calibri" w:eastAsia="Times New Roman" w:hAnsi="Calibri" w:cs="Times New Roman"/>
                <w:b/>
                <w:bCs/>
                <w:color w:val="000000"/>
              </w:rPr>
            </w:pPr>
            <w:r w:rsidRPr="00AD5E90">
              <w:rPr>
                <w:rFonts w:ascii="Calibri" w:eastAsia="Times New Roman" w:hAnsi="Calibri" w:cs="Times New Roman"/>
                <w:b/>
                <w:bCs/>
                <w:color w:val="000000"/>
              </w:rPr>
              <w:t>2012-2013</w:t>
            </w:r>
          </w:p>
        </w:tc>
        <w:tc>
          <w:tcPr>
            <w:tcW w:w="1212" w:type="dxa"/>
            <w:tcBorders>
              <w:top w:val="single" w:sz="8" w:space="0" w:color="auto"/>
              <w:left w:val="nil"/>
              <w:bottom w:val="single" w:sz="8" w:space="0" w:color="auto"/>
              <w:right w:val="nil"/>
            </w:tcBorders>
            <w:shd w:val="clear" w:color="000000" w:fill="DBE5F1"/>
            <w:noWrap/>
            <w:vAlign w:val="bottom"/>
            <w:hideMark/>
          </w:tcPr>
          <w:p w:rsidR="000430A4" w:rsidRPr="00AD5E90" w:rsidRDefault="000430A4" w:rsidP="002F32F0">
            <w:pPr>
              <w:spacing w:after="0" w:line="240" w:lineRule="auto"/>
              <w:jc w:val="center"/>
              <w:rPr>
                <w:rFonts w:ascii="Calibri" w:eastAsia="Times New Roman" w:hAnsi="Calibri" w:cs="Times New Roman"/>
                <w:b/>
                <w:bCs/>
                <w:color w:val="000000"/>
              </w:rPr>
            </w:pPr>
            <w:r w:rsidRPr="00AD5E90">
              <w:rPr>
                <w:rFonts w:ascii="Calibri" w:eastAsia="Times New Roman" w:hAnsi="Calibri" w:cs="Times New Roman"/>
                <w:b/>
                <w:bCs/>
                <w:color w:val="000000"/>
              </w:rPr>
              <w:t>2013-2014</w:t>
            </w:r>
          </w:p>
        </w:tc>
        <w:tc>
          <w:tcPr>
            <w:tcW w:w="1337"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AD5E90" w:rsidRDefault="000430A4" w:rsidP="002F32F0">
            <w:pPr>
              <w:spacing w:after="0" w:line="240" w:lineRule="auto"/>
              <w:jc w:val="center"/>
              <w:rPr>
                <w:rFonts w:ascii="Calibri" w:eastAsia="Times New Roman" w:hAnsi="Calibri" w:cs="Times New Roman"/>
                <w:b/>
                <w:bCs/>
                <w:color w:val="000000"/>
              </w:rPr>
            </w:pPr>
            <w:r w:rsidRPr="00AD5E90">
              <w:rPr>
                <w:rFonts w:ascii="Calibri" w:eastAsia="Times New Roman" w:hAnsi="Calibri" w:cs="Times New Roman"/>
                <w:b/>
                <w:bCs/>
                <w:color w:val="000000"/>
              </w:rPr>
              <w:t>2014-2015</w:t>
            </w:r>
          </w:p>
        </w:tc>
      </w:tr>
      <w:tr w:rsidR="000430A4" w:rsidRPr="00AD5E90" w:rsidTr="002F32F0">
        <w:trPr>
          <w:trHeight w:val="224"/>
        </w:trPr>
        <w:tc>
          <w:tcPr>
            <w:tcW w:w="6069" w:type="dxa"/>
            <w:tcBorders>
              <w:top w:val="nil"/>
              <w:left w:val="single" w:sz="8" w:space="0" w:color="auto"/>
              <w:bottom w:val="nil"/>
              <w:right w:val="nil"/>
            </w:tcBorders>
            <w:shd w:val="clear" w:color="auto" w:fill="auto"/>
            <w:noWrap/>
            <w:vAlign w:val="bottom"/>
            <w:hideMark/>
          </w:tcPr>
          <w:p w:rsidR="000430A4" w:rsidRPr="00AD5E90"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AD5E90">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AD5E90">
              <w:rPr>
                <w:rFonts w:ascii="Calibri" w:eastAsia="Times New Roman" w:hAnsi="Calibri" w:cs="Times New Roman"/>
                <w:color w:val="000000"/>
              </w:rPr>
              <w:t xml:space="preserve"> </w:t>
            </w:r>
          </w:p>
        </w:tc>
        <w:tc>
          <w:tcPr>
            <w:tcW w:w="1212" w:type="dxa"/>
            <w:tcBorders>
              <w:top w:val="nil"/>
              <w:left w:val="nil"/>
              <w:bottom w:val="nil"/>
              <w:right w:val="nil"/>
            </w:tcBorders>
            <w:shd w:val="clear" w:color="auto" w:fill="auto"/>
            <w:noWrap/>
            <w:vAlign w:val="bottom"/>
            <w:hideMark/>
          </w:tcPr>
          <w:p w:rsidR="000430A4" w:rsidRPr="00AD5E90" w:rsidRDefault="000430A4" w:rsidP="002F32F0">
            <w:pPr>
              <w:spacing w:after="0" w:line="240" w:lineRule="auto"/>
              <w:jc w:val="center"/>
              <w:rPr>
                <w:rFonts w:ascii="Calibri" w:eastAsia="Times New Roman" w:hAnsi="Calibri" w:cs="Times New Roman"/>
                <w:color w:val="000000"/>
              </w:rPr>
            </w:pPr>
            <w:r w:rsidRPr="00AD5E90">
              <w:rPr>
                <w:rFonts w:ascii="Calibri" w:eastAsia="Times New Roman" w:hAnsi="Calibri" w:cs="Times New Roman"/>
                <w:color w:val="000000"/>
              </w:rPr>
              <w:t>2</w:t>
            </w:r>
            <w:r w:rsidR="00F257F8">
              <w:rPr>
                <w:rFonts w:ascii="Calibri" w:eastAsia="Times New Roman" w:hAnsi="Calibri" w:cs="Times New Roman"/>
                <w:color w:val="000000"/>
              </w:rPr>
              <w:t>,</w:t>
            </w:r>
            <w:r w:rsidRPr="00AD5E90">
              <w:rPr>
                <w:rFonts w:ascii="Calibri" w:eastAsia="Times New Roman" w:hAnsi="Calibri" w:cs="Times New Roman"/>
                <w:color w:val="000000"/>
              </w:rPr>
              <w:t>015</w:t>
            </w:r>
          </w:p>
        </w:tc>
        <w:tc>
          <w:tcPr>
            <w:tcW w:w="1212" w:type="dxa"/>
            <w:tcBorders>
              <w:top w:val="nil"/>
              <w:left w:val="nil"/>
              <w:bottom w:val="nil"/>
              <w:right w:val="nil"/>
            </w:tcBorders>
            <w:shd w:val="clear" w:color="auto" w:fill="auto"/>
            <w:noWrap/>
            <w:vAlign w:val="bottom"/>
            <w:hideMark/>
          </w:tcPr>
          <w:p w:rsidR="000430A4" w:rsidRPr="00AD5E90" w:rsidRDefault="000430A4" w:rsidP="002F32F0">
            <w:pPr>
              <w:spacing w:after="0" w:line="240" w:lineRule="auto"/>
              <w:jc w:val="center"/>
              <w:rPr>
                <w:rFonts w:ascii="Calibri" w:eastAsia="Times New Roman" w:hAnsi="Calibri" w:cs="Times New Roman"/>
                <w:color w:val="000000"/>
              </w:rPr>
            </w:pPr>
            <w:r w:rsidRPr="00AD5E90">
              <w:rPr>
                <w:rFonts w:ascii="Calibri" w:eastAsia="Times New Roman" w:hAnsi="Calibri" w:cs="Times New Roman"/>
                <w:color w:val="000000"/>
              </w:rPr>
              <w:t>2</w:t>
            </w:r>
            <w:r w:rsidR="00F257F8">
              <w:rPr>
                <w:rFonts w:ascii="Calibri" w:eastAsia="Times New Roman" w:hAnsi="Calibri" w:cs="Times New Roman"/>
                <w:color w:val="000000"/>
              </w:rPr>
              <w:t>,</w:t>
            </w:r>
            <w:r w:rsidRPr="00AD5E90">
              <w:rPr>
                <w:rFonts w:ascii="Calibri" w:eastAsia="Times New Roman" w:hAnsi="Calibri" w:cs="Times New Roman"/>
                <w:color w:val="000000"/>
              </w:rPr>
              <w:t>870</w:t>
            </w:r>
          </w:p>
        </w:tc>
        <w:tc>
          <w:tcPr>
            <w:tcW w:w="1337" w:type="dxa"/>
            <w:tcBorders>
              <w:top w:val="nil"/>
              <w:left w:val="nil"/>
              <w:bottom w:val="nil"/>
              <w:right w:val="single" w:sz="8" w:space="0" w:color="auto"/>
            </w:tcBorders>
            <w:shd w:val="clear" w:color="auto" w:fill="auto"/>
            <w:noWrap/>
            <w:vAlign w:val="bottom"/>
            <w:hideMark/>
          </w:tcPr>
          <w:p w:rsidR="000430A4" w:rsidRPr="00AD5E90" w:rsidRDefault="000430A4" w:rsidP="002F32F0">
            <w:pPr>
              <w:spacing w:after="0" w:line="240" w:lineRule="auto"/>
              <w:jc w:val="center"/>
              <w:rPr>
                <w:rFonts w:ascii="Calibri" w:eastAsia="Times New Roman" w:hAnsi="Calibri" w:cs="Times New Roman"/>
                <w:color w:val="000000"/>
              </w:rPr>
            </w:pPr>
            <w:r w:rsidRPr="00AD5E90">
              <w:rPr>
                <w:rFonts w:ascii="Calibri" w:eastAsia="Times New Roman" w:hAnsi="Calibri" w:cs="Times New Roman"/>
                <w:color w:val="000000"/>
              </w:rPr>
              <w:t>2</w:t>
            </w:r>
            <w:r w:rsidR="00F257F8">
              <w:rPr>
                <w:rFonts w:ascii="Calibri" w:eastAsia="Times New Roman" w:hAnsi="Calibri" w:cs="Times New Roman"/>
                <w:color w:val="000000"/>
              </w:rPr>
              <w:t>,</w:t>
            </w:r>
            <w:r w:rsidRPr="00AD5E90">
              <w:rPr>
                <w:rFonts w:ascii="Calibri" w:eastAsia="Times New Roman" w:hAnsi="Calibri" w:cs="Times New Roman"/>
                <w:color w:val="000000"/>
              </w:rPr>
              <w:t>045</w:t>
            </w:r>
          </w:p>
        </w:tc>
      </w:tr>
      <w:tr w:rsidR="000430A4" w:rsidRPr="00AD5E90" w:rsidTr="002F32F0">
        <w:trPr>
          <w:trHeight w:val="224"/>
        </w:trPr>
        <w:tc>
          <w:tcPr>
            <w:tcW w:w="6069" w:type="dxa"/>
            <w:tcBorders>
              <w:top w:val="nil"/>
              <w:left w:val="single" w:sz="8" w:space="0" w:color="auto"/>
              <w:bottom w:val="nil"/>
              <w:right w:val="nil"/>
            </w:tcBorders>
            <w:shd w:val="clear" w:color="auto" w:fill="auto"/>
            <w:noWrap/>
            <w:vAlign w:val="bottom"/>
            <w:hideMark/>
          </w:tcPr>
          <w:p w:rsidR="000430A4" w:rsidRPr="00AD5E90" w:rsidRDefault="000430A4" w:rsidP="002F32F0">
            <w:pPr>
              <w:spacing w:after="0" w:line="240" w:lineRule="auto"/>
              <w:rPr>
                <w:rFonts w:ascii="Calibri" w:eastAsia="Times New Roman" w:hAnsi="Calibri" w:cs="Times New Roman"/>
                <w:color w:val="000000"/>
              </w:rPr>
            </w:pPr>
            <w:r w:rsidRPr="00AD5E90">
              <w:rPr>
                <w:rFonts w:ascii="Calibri" w:eastAsia="Times New Roman" w:hAnsi="Calibri" w:cs="Times New Roman"/>
                <w:color w:val="000000"/>
              </w:rPr>
              <w:t>Total number of completed requests</w:t>
            </w:r>
          </w:p>
        </w:tc>
        <w:tc>
          <w:tcPr>
            <w:tcW w:w="1212" w:type="dxa"/>
            <w:tcBorders>
              <w:top w:val="nil"/>
              <w:left w:val="nil"/>
              <w:bottom w:val="nil"/>
              <w:right w:val="nil"/>
            </w:tcBorders>
            <w:shd w:val="clear" w:color="auto" w:fill="auto"/>
            <w:noWrap/>
            <w:vAlign w:val="bottom"/>
            <w:hideMark/>
          </w:tcPr>
          <w:p w:rsidR="000430A4" w:rsidRPr="00AD5E90" w:rsidRDefault="000430A4" w:rsidP="002F32F0">
            <w:pPr>
              <w:spacing w:after="0" w:line="240" w:lineRule="auto"/>
              <w:jc w:val="center"/>
              <w:rPr>
                <w:rFonts w:ascii="Calibri" w:eastAsia="Times New Roman" w:hAnsi="Calibri" w:cs="Times New Roman"/>
                <w:color w:val="000000"/>
              </w:rPr>
            </w:pPr>
            <w:r w:rsidRPr="00AD5E90">
              <w:rPr>
                <w:rFonts w:ascii="Calibri" w:eastAsia="Times New Roman" w:hAnsi="Calibri" w:cs="Times New Roman"/>
                <w:color w:val="000000"/>
              </w:rPr>
              <w:t>1</w:t>
            </w:r>
            <w:r w:rsidR="00F257F8">
              <w:rPr>
                <w:rFonts w:ascii="Calibri" w:eastAsia="Times New Roman" w:hAnsi="Calibri" w:cs="Times New Roman"/>
                <w:color w:val="000000"/>
              </w:rPr>
              <w:t>,</w:t>
            </w:r>
            <w:r w:rsidRPr="00AD5E90">
              <w:rPr>
                <w:rFonts w:ascii="Calibri" w:eastAsia="Times New Roman" w:hAnsi="Calibri" w:cs="Times New Roman"/>
                <w:color w:val="000000"/>
              </w:rPr>
              <w:t>839</w:t>
            </w:r>
          </w:p>
        </w:tc>
        <w:tc>
          <w:tcPr>
            <w:tcW w:w="1212" w:type="dxa"/>
            <w:tcBorders>
              <w:top w:val="nil"/>
              <w:left w:val="nil"/>
              <w:bottom w:val="nil"/>
              <w:right w:val="nil"/>
            </w:tcBorders>
            <w:shd w:val="clear" w:color="auto" w:fill="auto"/>
            <w:noWrap/>
            <w:vAlign w:val="bottom"/>
            <w:hideMark/>
          </w:tcPr>
          <w:p w:rsidR="000430A4" w:rsidRPr="00AD5E90" w:rsidRDefault="000430A4" w:rsidP="002F32F0">
            <w:pPr>
              <w:spacing w:after="0" w:line="240" w:lineRule="auto"/>
              <w:jc w:val="center"/>
              <w:rPr>
                <w:rFonts w:ascii="Calibri" w:eastAsia="Times New Roman" w:hAnsi="Calibri" w:cs="Times New Roman"/>
                <w:color w:val="000000"/>
              </w:rPr>
            </w:pPr>
            <w:r w:rsidRPr="00AD5E90">
              <w:rPr>
                <w:rFonts w:ascii="Calibri" w:eastAsia="Times New Roman" w:hAnsi="Calibri" w:cs="Times New Roman"/>
                <w:color w:val="000000"/>
              </w:rPr>
              <w:t>2</w:t>
            </w:r>
            <w:r w:rsidR="00F257F8">
              <w:rPr>
                <w:rFonts w:ascii="Calibri" w:eastAsia="Times New Roman" w:hAnsi="Calibri" w:cs="Times New Roman"/>
                <w:color w:val="000000"/>
              </w:rPr>
              <w:t>,</w:t>
            </w:r>
            <w:r w:rsidRPr="00AD5E90">
              <w:rPr>
                <w:rFonts w:ascii="Calibri" w:eastAsia="Times New Roman" w:hAnsi="Calibri" w:cs="Times New Roman"/>
                <w:color w:val="000000"/>
              </w:rPr>
              <w:t>219</w:t>
            </w:r>
          </w:p>
        </w:tc>
        <w:tc>
          <w:tcPr>
            <w:tcW w:w="1337" w:type="dxa"/>
            <w:tcBorders>
              <w:top w:val="nil"/>
              <w:left w:val="nil"/>
              <w:bottom w:val="nil"/>
              <w:right w:val="single" w:sz="8" w:space="0" w:color="auto"/>
            </w:tcBorders>
            <w:shd w:val="clear" w:color="auto" w:fill="auto"/>
            <w:noWrap/>
            <w:vAlign w:val="bottom"/>
            <w:hideMark/>
          </w:tcPr>
          <w:p w:rsidR="000430A4" w:rsidRPr="00AD5E90" w:rsidRDefault="000430A4" w:rsidP="002F32F0">
            <w:pPr>
              <w:spacing w:after="0" w:line="240" w:lineRule="auto"/>
              <w:jc w:val="center"/>
              <w:rPr>
                <w:rFonts w:ascii="Calibri" w:eastAsia="Times New Roman" w:hAnsi="Calibri" w:cs="Times New Roman"/>
                <w:color w:val="000000"/>
              </w:rPr>
            </w:pPr>
            <w:r w:rsidRPr="00AD5E90">
              <w:rPr>
                <w:rFonts w:ascii="Calibri" w:eastAsia="Times New Roman" w:hAnsi="Calibri" w:cs="Times New Roman"/>
                <w:color w:val="000000"/>
              </w:rPr>
              <w:t>2</w:t>
            </w:r>
            <w:r w:rsidR="00F257F8">
              <w:rPr>
                <w:rFonts w:ascii="Calibri" w:eastAsia="Times New Roman" w:hAnsi="Calibri" w:cs="Times New Roman"/>
                <w:color w:val="000000"/>
              </w:rPr>
              <w:t>,</w:t>
            </w:r>
            <w:r w:rsidRPr="00AD5E90">
              <w:rPr>
                <w:rFonts w:ascii="Calibri" w:eastAsia="Times New Roman" w:hAnsi="Calibri" w:cs="Times New Roman"/>
                <w:color w:val="000000"/>
              </w:rPr>
              <w:t>015</w:t>
            </w:r>
          </w:p>
        </w:tc>
      </w:tr>
      <w:tr w:rsidR="000430A4" w:rsidRPr="00AD5E90" w:rsidTr="002F32F0">
        <w:trPr>
          <w:trHeight w:val="235"/>
        </w:trPr>
        <w:tc>
          <w:tcPr>
            <w:tcW w:w="6069" w:type="dxa"/>
            <w:tcBorders>
              <w:top w:val="nil"/>
              <w:left w:val="single" w:sz="8" w:space="0" w:color="auto"/>
              <w:bottom w:val="single" w:sz="8" w:space="0" w:color="auto"/>
              <w:right w:val="nil"/>
            </w:tcBorders>
            <w:shd w:val="clear" w:color="000000" w:fill="DBE5F1"/>
            <w:noWrap/>
            <w:vAlign w:val="bottom"/>
            <w:hideMark/>
          </w:tcPr>
          <w:p w:rsidR="000430A4" w:rsidRPr="00AD5E90" w:rsidRDefault="000430A4" w:rsidP="002F32F0">
            <w:pPr>
              <w:spacing w:after="0" w:line="240" w:lineRule="auto"/>
              <w:rPr>
                <w:rFonts w:ascii="Calibri" w:eastAsia="Times New Roman" w:hAnsi="Calibri" w:cs="Times New Roman"/>
                <w:color w:val="000000"/>
              </w:rPr>
            </w:pPr>
            <w:r w:rsidRPr="00AD5E90">
              <w:rPr>
                <w:rFonts w:ascii="Calibri" w:eastAsia="Times New Roman" w:hAnsi="Calibri" w:cs="Times New Roman"/>
                <w:color w:val="000000"/>
              </w:rPr>
              <w:t xml:space="preserve">Average number of exemptions per request </w:t>
            </w:r>
          </w:p>
        </w:tc>
        <w:tc>
          <w:tcPr>
            <w:tcW w:w="1212" w:type="dxa"/>
            <w:tcBorders>
              <w:top w:val="nil"/>
              <w:left w:val="nil"/>
              <w:bottom w:val="single" w:sz="8" w:space="0" w:color="auto"/>
              <w:right w:val="nil"/>
            </w:tcBorders>
            <w:shd w:val="clear" w:color="000000" w:fill="DBE5F1"/>
            <w:noWrap/>
            <w:vAlign w:val="bottom"/>
            <w:hideMark/>
          </w:tcPr>
          <w:p w:rsidR="000430A4" w:rsidRPr="00AD5E90" w:rsidRDefault="000430A4" w:rsidP="002F32F0">
            <w:pPr>
              <w:spacing w:after="0" w:line="240" w:lineRule="auto"/>
              <w:jc w:val="center"/>
              <w:rPr>
                <w:rFonts w:ascii="Calibri" w:eastAsia="Times New Roman" w:hAnsi="Calibri" w:cs="Times New Roman"/>
                <w:color w:val="000000"/>
              </w:rPr>
            </w:pPr>
            <w:r w:rsidRPr="00AD5E90">
              <w:rPr>
                <w:rFonts w:ascii="Calibri" w:eastAsia="Times New Roman" w:hAnsi="Calibri" w:cs="Times New Roman"/>
                <w:color w:val="000000"/>
              </w:rPr>
              <w:t>1.1</w:t>
            </w:r>
            <w:r>
              <w:rPr>
                <w:rFonts w:ascii="Calibri" w:eastAsia="Times New Roman" w:hAnsi="Calibri" w:cs="Times New Roman"/>
                <w:color w:val="000000"/>
              </w:rPr>
              <w:t>0</w:t>
            </w:r>
          </w:p>
        </w:tc>
        <w:tc>
          <w:tcPr>
            <w:tcW w:w="1212" w:type="dxa"/>
            <w:tcBorders>
              <w:top w:val="nil"/>
              <w:left w:val="nil"/>
              <w:bottom w:val="single" w:sz="8" w:space="0" w:color="auto"/>
              <w:right w:val="nil"/>
            </w:tcBorders>
            <w:shd w:val="clear" w:color="000000" w:fill="DBE5F1"/>
            <w:noWrap/>
            <w:vAlign w:val="bottom"/>
            <w:hideMark/>
          </w:tcPr>
          <w:p w:rsidR="000430A4" w:rsidRPr="00AD5E90"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1.29</w:t>
            </w:r>
          </w:p>
        </w:tc>
        <w:tc>
          <w:tcPr>
            <w:tcW w:w="1337" w:type="dxa"/>
            <w:tcBorders>
              <w:top w:val="nil"/>
              <w:left w:val="nil"/>
              <w:bottom w:val="single" w:sz="8" w:space="0" w:color="auto"/>
              <w:right w:val="single" w:sz="8" w:space="0" w:color="auto"/>
            </w:tcBorders>
            <w:shd w:val="clear" w:color="000000" w:fill="DBE5F1"/>
            <w:noWrap/>
            <w:vAlign w:val="bottom"/>
            <w:hideMark/>
          </w:tcPr>
          <w:p w:rsidR="000430A4" w:rsidRPr="00AD5E90" w:rsidRDefault="000430A4" w:rsidP="002F32F0">
            <w:pPr>
              <w:spacing w:after="0" w:line="240" w:lineRule="auto"/>
              <w:jc w:val="center"/>
              <w:rPr>
                <w:rFonts w:ascii="Calibri" w:eastAsia="Times New Roman" w:hAnsi="Calibri" w:cs="Times New Roman"/>
                <w:color w:val="000000"/>
              </w:rPr>
            </w:pPr>
            <w:r w:rsidRPr="00AD5E90">
              <w:rPr>
                <w:rFonts w:ascii="Calibri" w:eastAsia="Times New Roman" w:hAnsi="Calibri" w:cs="Times New Roman"/>
                <w:color w:val="000000"/>
              </w:rPr>
              <w:t>1.0</w:t>
            </w:r>
            <w:r>
              <w:rPr>
                <w:rFonts w:ascii="Calibri" w:eastAsia="Times New Roman" w:hAnsi="Calibri" w:cs="Times New Roman"/>
                <w:color w:val="000000"/>
              </w:rPr>
              <w:t>1</w:t>
            </w:r>
          </w:p>
        </w:tc>
      </w:tr>
    </w:tbl>
    <w:p w:rsidR="000430A4" w:rsidRPr="005D2B22" w:rsidRDefault="000430A4" w:rsidP="000430A4">
      <w:pPr>
        <w:pStyle w:val="Heading2"/>
        <w:spacing w:before="240"/>
      </w:pPr>
      <w:r w:rsidRPr="005D2B22">
        <w:t>Complaints at the OIC</w:t>
      </w:r>
    </w:p>
    <w:p w:rsidR="000430A4" w:rsidRDefault="000430A4" w:rsidP="000430A4">
      <w:pPr>
        <w:jc w:val="both"/>
      </w:pPr>
      <w:r w:rsidRPr="00E30D81">
        <w:t xml:space="preserve">The number of </w:t>
      </w:r>
      <w:r>
        <w:t>complaints received</w:t>
      </w:r>
      <w:r>
        <w:rPr>
          <w:rStyle w:val="FootnoteReference"/>
        </w:rPr>
        <w:footnoteReference w:id="23"/>
      </w:r>
      <w:r>
        <w:t xml:space="preserve"> against ND decreased </w:t>
      </w:r>
      <w:r w:rsidRPr="00E30D81">
        <w:t>from 119 in 2013-2014 to 117 in 2014-2015. The m</w:t>
      </w:r>
      <w:r w:rsidRPr="00EA691B">
        <w:t xml:space="preserve">ajority of complaints were refusals, accounting for 74.3% of all complaints. The number of administrative complaints decreased from 34.4% in 2013-2014 to 25.6% in this </w:t>
      </w:r>
      <w:r>
        <w:t>reporting period.</w:t>
      </w:r>
    </w:p>
    <w:p w:rsidR="000430A4" w:rsidRPr="005D2B22" w:rsidRDefault="000430A4" w:rsidP="000430A4">
      <w:pPr>
        <w:jc w:val="both"/>
      </w:pPr>
      <w:r w:rsidRPr="00EA691B">
        <w:lastRenderedPageBreak/>
        <w:t>There was an increase of 26 well-founded complaints compared to the previous year. There were 18 complaints that were not well-founded, 25 that were discontinued and 41 that were still pending resolution.</w:t>
      </w:r>
    </w:p>
    <w:p w:rsidR="000430A4" w:rsidRDefault="000430A4">
      <w:r>
        <w:br w:type="page"/>
      </w:r>
    </w:p>
    <w:p w:rsidR="000430A4" w:rsidRPr="00E7155A" w:rsidRDefault="000430A4" w:rsidP="000430A4">
      <w:pPr>
        <w:pStyle w:val="Heading1"/>
      </w:pPr>
      <w:r w:rsidRPr="00E7155A">
        <w:lastRenderedPageBreak/>
        <w:t xml:space="preserve">Health Canada </w:t>
      </w:r>
    </w:p>
    <w:p w:rsidR="000430A4" w:rsidRPr="00E7155A" w:rsidRDefault="000430A4" w:rsidP="000430A4">
      <w:pPr>
        <w:pStyle w:val="Heading1"/>
      </w:pPr>
      <w:r w:rsidRPr="00E7155A">
        <w:t>Overall performance</w:t>
      </w:r>
      <w:r>
        <w:rPr>
          <w:rStyle w:val="FootnoteReference"/>
        </w:rPr>
        <w:footnoteReference w:id="24"/>
      </w:r>
    </w:p>
    <w:p w:rsidR="000430A4" w:rsidRPr="00EC391C" w:rsidRDefault="000430A4" w:rsidP="000430A4">
      <w:pPr>
        <w:jc w:val="both"/>
      </w:pPr>
      <w:r w:rsidRPr="00EC391C">
        <w:t>Health Canada (HC) improved the percentage of requests completed within 30 days by 3.5%. This report provides comparative statistics for the last three periods (2012-2015).</w:t>
      </w:r>
    </w:p>
    <w:p w:rsidR="000430A4" w:rsidRPr="00E7155A" w:rsidRDefault="000430A4" w:rsidP="000430A4">
      <w:pPr>
        <w:pStyle w:val="Heading1"/>
      </w:pPr>
      <w:r w:rsidRPr="00E7155A">
        <w:t>Workload</w:t>
      </w:r>
    </w:p>
    <w:p w:rsidR="000430A4" w:rsidRDefault="00F257F8" w:rsidP="000430A4">
      <w:pPr>
        <w:jc w:val="both"/>
      </w:pPr>
      <w:r>
        <w:t>HC received 1,</w:t>
      </w:r>
      <w:r w:rsidR="000430A4" w:rsidRPr="00EC391C">
        <w:t xml:space="preserve">569 requests under the </w:t>
      </w:r>
      <w:r w:rsidR="000430A4" w:rsidRPr="00EC391C">
        <w:rPr>
          <w:i/>
        </w:rPr>
        <w:t>Access to Information Act</w:t>
      </w:r>
      <w:r w:rsidR="000430A4" w:rsidRPr="00EC391C">
        <w:t xml:space="preserve"> (the Act), representing 2.3% of total requests received across government in 2014-2015. In 2013-2014, HC received a</w:t>
      </w:r>
      <w:r>
        <w:t xml:space="preserve"> similar number of requests (1,</w:t>
      </w:r>
      <w:r w:rsidR="000430A4" w:rsidRPr="00EC391C">
        <w:t>563).</w:t>
      </w:r>
    </w:p>
    <w:p w:rsidR="000430A4" w:rsidRDefault="000430A4" w:rsidP="000430A4">
      <w:pPr>
        <w:jc w:val="both"/>
      </w:pPr>
      <w:r>
        <w:t>The majority of the request</w:t>
      </w:r>
      <w:r w:rsidRPr="00BF5B82">
        <w:t xml:space="preserve">s received </w:t>
      </w:r>
      <w:r>
        <w:t xml:space="preserve">by HC </w:t>
      </w:r>
      <w:r w:rsidRPr="00BF5B82">
        <w:t xml:space="preserve">were from </w:t>
      </w:r>
      <w:r>
        <w:t xml:space="preserve">the business sector (53.3%), followed by the </w:t>
      </w:r>
      <w:r w:rsidRPr="00BF5B82">
        <w:t>public (</w:t>
      </w:r>
      <w:r>
        <w:t>25.0%).</w:t>
      </w:r>
      <w:r w:rsidRPr="00BF5B82">
        <w:t xml:space="preserve"> </w:t>
      </w:r>
      <w:r>
        <w:t>A decrease of 18.0% was observed in requests from organizations compared to the last period.</w:t>
      </w:r>
    </w:p>
    <w:p w:rsidR="000430A4" w:rsidRDefault="000430A4" w:rsidP="000430A4">
      <w:pPr>
        <w:jc w:val="both"/>
      </w:pPr>
      <w:r w:rsidRPr="002158C8">
        <w:t xml:space="preserve">HC completed </w:t>
      </w:r>
      <w:r>
        <w:t>1,420</w:t>
      </w:r>
      <w:r w:rsidRPr="002158C8">
        <w:t xml:space="preserve"> requests this reporting period. The completion rate</w:t>
      </w:r>
      <w:r>
        <w:rPr>
          <w:rStyle w:val="FootnoteReference"/>
        </w:rPr>
        <w:footnoteReference w:id="25"/>
      </w:r>
      <w:r w:rsidRPr="002158C8">
        <w:t xml:space="preserve"> was </w:t>
      </w:r>
      <w:r>
        <w:t>62.5</w:t>
      </w:r>
      <w:r w:rsidRPr="002158C8">
        <w:t>%</w:t>
      </w:r>
      <w:r>
        <w:t xml:space="preserve">, which is lower than the government-wide rate of 85.1%. In </w:t>
      </w:r>
      <w:r w:rsidRPr="00EC391C">
        <w:t>2013-2014, the completion rate for HC was 67.3%</w:t>
      </w:r>
      <w:r>
        <w:t xml:space="preserve">. </w:t>
      </w:r>
      <w:r w:rsidRPr="00EC391C">
        <w:t xml:space="preserve">HC also received 314 informal requests and 27.3% of these were completed within 30 days. The number of consultations received by HC from other government institutions increased from 154 to 160, </w:t>
      </w:r>
      <w:r>
        <w:t>re</w:t>
      </w:r>
      <w:r w:rsidRPr="00EC391C">
        <w:t>presenting an increase of 3.9% compared to 2013-2014.</w:t>
      </w:r>
    </w:p>
    <w:p w:rsidR="000430A4" w:rsidRPr="00EC391C" w:rsidRDefault="000430A4" w:rsidP="000430A4">
      <w:pPr>
        <w:jc w:val="both"/>
      </w:pPr>
      <w:r>
        <w:t xml:space="preserve">In 2014-2015, HC processed 205,132 pages. The average </w:t>
      </w:r>
      <w:r w:rsidRPr="000652CD">
        <w:t xml:space="preserve">number of pages processed per completed </w:t>
      </w:r>
      <w:r w:rsidRPr="00EC391C">
        <w:t>request decreased only marginally from 167 in 2013-2014 to 165 in 2014-2015.</w:t>
      </w:r>
    </w:p>
    <w:p w:rsidR="000430A4" w:rsidRDefault="000430A4" w:rsidP="000430A4">
      <w:pPr>
        <w:contextualSpacing/>
        <w:jc w:val="both"/>
      </w:pPr>
      <w:r w:rsidRPr="00EC391C">
        <w:t>The information released by HC was mostly in paper format: 629 requests in paper format and 246 requests in electronic format.</w:t>
      </w:r>
      <w:r w:rsidRPr="000652CD">
        <w:t xml:space="preserve"> </w:t>
      </w:r>
      <w:r w:rsidRPr="00B05A5C">
        <w:t>This is similar compared to the last year (732 requests in paper format and 246 requests in electronic format).</w:t>
      </w:r>
    </w:p>
    <w:p w:rsidR="000430A4" w:rsidRPr="00E82A11" w:rsidRDefault="000430A4" w:rsidP="000430A4">
      <w:pPr>
        <w:pStyle w:val="Heading3"/>
      </w:pPr>
      <w:r w:rsidRPr="00E82A11">
        <w:t>Table 1: Workload</w:t>
      </w:r>
    </w:p>
    <w:tbl>
      <w:tblPr>
        <w:tblW w:w="9451" w:type="dxa"/>
        <w:tblInd w:w="98" w:type="dxa"/>
        <w:tblLook w:val="04A0"/>
      </w:tblPr>
      <w:tblGrid>
        <w:gridCol w:w="5434"/>
        <w:gridCol w:w="1339"/>
        <w:gridCol w:w="1339"/>
        <w:gridCol w:w="1339"/>
      </w:tblGrid>
      <w:tr w:rsidR="000430A4" w:rsidRPr="00291BFB" w:rsidTr="002F32F0">
        <w:trPr>
          <w:trHeight w:val="258"/>
        </w:trPr>
        <w:tc>
          <w:tcPr>
            <w:tcW w:w="5434" w:type="dxa"/>
            <w:tcBorders>
              <w:top w:val="single" w:sz="4" w:space="0" w:color="auto"/>
              <w:left w:val="single" w:sz="4" w:space="0" w:color="auto"/>
              <w:bottom w:val="single" w:sz="8" w:space="0" w:color="auto"/>
              <w:right w:val="nil"/>
            </w:tcBorders>
            <w:shd w:val="clear" w:color="auto" w:fill="auto"/>
            <w:noWrap/>
            <w:vAlign w:val="bottom"/>
            <w:hideMark/>
          </w:tcPr>
          <w:p w:rsidR="000430A4" w:rsidRPr="00291BFB" w:rsidRDefault="000430A4" w:rsidP="002F32F0">
            <w:pPr>
              <w:spacing w:after="0" w:line="240" w:lineRule="auto"/>
              <w:contextualSpacing/>
              <w:rPr>
                <w:rFonts w:ascii="Calibri" w:eastAsia="Times New Roman" w:hAnsi="Calibri" w:cs="Times New Roman"/>
                <w:color w:val="000000"/>
              </w:rPr>
            </w:pPr>
            <w:r w:rsidRPr="00291BFB">
              <w:rPr>
                <w:rFonts w:ascii="Calibri" w:eastAsia="Times New Roman" w:hAnsi="Calibri" w:cs="Times New Roman"/>
                <w:color w:val="000000"/>
              </w:rPr>
              <w:t xml:space="preserve">Measures </w:t>
            </w:r>
          </w:p>
        </w:tc>
        <w:tc>
          <w:tcPr>
            <w:tcW w:w="1339" w:type="dxa"/>
            <w:tcBorders>
              <w:top w:val="single" w:sz="4" w:space="0" w:color="auto"/>
              <w:left w:val="nil"/>
              <w:bottom w:val="single" w:sz="8" w:space="0" w:color="auto"/>
              <w:right w:val="nil"/>
            </w:tcBorders>
            <w:shd w:val="clear" w:color="auto" w:fill="auto"/>
            <w:noWrap/>
            <w:vAlign w:val="bottom"/>
            <w:hideMark/>
          </w:tcPr>
          <w:p w:rsidR="000430A4" w:rsidRPr="00291BFB" w:rsidRDefault="000430A4" w:rsidP="002F32F0">
            <w:pPr>
              <w:spacing w:after="0" w:line="240" w:lineRule="auto"/>
              <w:contextualSpacing/>
              <w:jc w:val="center"/>
              <w:rPr>
                <w:rFonts w:ascii="Calibri" w:eastAsia="Times New Roman" w:hAnsi="Calibri" w:cs="Times New Roman"/>
                <w:color w:val="000000"/>
              </w:rPr>
            </w:pPr>
            <w:r w:rsidRPr="00291BFB">
              <w:rPr>
                <w:rFonts w:ascii="Calibri" w:eastAsia="Times New Roman" w:hAnsi="Calibri" w:cs="Times New Roman"/>
                <w:color w:val="000000"/>
              </w:rPr>
              <w:t>2012-2013</w:t>
            </w:r>
          </w:p>
        </w:tc>
        <w:tc>
          <w:tcPr>
            <w:tcW w:w="1339" w:type="dxa"/>
            <w:tcBorders>
              <w:top w:val="single" w:sz="4" w:space="0" w:color="auto"/>
              <w:left w:val="nil"/>
              <w:bottom w:val="single" w:sz="8" w:space="0" w:color="auto"/>
              <w:right w:val="nil"/>
            </w:tcBorders>
            <w:shd w:val="clear" w:color="auto" w:fill="auto"/>
            <w:noWrap/>
            <w:vAlign w:val="bottom"/>
            <w:hideMark/>
          </w:tcPr>
          <w:p w:rsidR="000430A4" w:rsidRPr="00291BFB" w:rsidRDefault="000430A4" w:rsidP="002F32F0">
            <w:pPr>
              <w:spacing w:after="0" w:line="240" w:lineRule="auto"/>
              <w:contextualSpacing/>
              <w:jc w:val="center"/>
              <w:rPr>
                <w:rFonts w:ascii="Calibri" w:eastAsia="Times New Roman" w:hAnsi="Calibri" w:cs="Times New Roman"/>
                <w:color w:val="000000"/>
              </w:rPr>
            </w:pPr>
            <w:r w:rsidRPr="00291BFB">
              <w:rPr>
                <w:rFonts w:ascii="Calibri" w:eastAsia="Times New Roman" w:hAnsi="Calibri" w:cs="Times New Roman"/>
                <w:color w:val="000000"/>
              </w:rPr>
              <w:t>2013-2014</w:t>
            </w:r>
          </w:p>
        </w:tc>
        <w:tc>
          <w:tcPr>
            <w:tcW w:w="1339" w:type="dxa"/>
            <w:tcBorders>
              <w:top w:val="single" w:sz="4" w:space="0" w:color="auto"/>
              <w:left w:val="nil"/>
              <w:bottom w:val="single" w:sz="8" w:space="0" w:color="auto"/>
              <w:right w:val="single" w:sz="4" w:space="0" w:color="auto"/>
            </w:tcBorders>
            <w:shd w:val="clear" w:color="auto" w:fill="auto"/>
            <w:noWrap/>
            <w:vAlign w:val="bottom"/>
            <w:hideMark/>
          </w:tcPr>
          <w:p w:rsidR="000430A4" w:rsidRPr="00291BFB" w:rsidRDefault="000430A4" w:rsidP="002F32F0">
            <w:pPr>
              <w:spacing w:after="0" w:line="240" w:lineRule="auto"/>
              <w:contextualSpacing/>
              <w:jc w:val="center"/>
              <w:rPr>
                <w:rFonts w:ascii="Calibri" w:eastAsia="Times New Roman" w:hAnsi="Calibri" w:cs="Times New Roman"/>
                <w:color w:val="000000"/>
              </w:rPr>
            </w:pPr>
            <w:r w:rsidRPr="00291BFB">
              <w:rPr>
                <w:rFonts w:ascii="Calibri" w:eastAsia="Times New Roman" w:hAnsi="Calibri" w:cs="Times New Roman"/>
                <w:color w:val="000000"/>
              </w:rPr>
              <w:t>2014-2015</w:t>
            </w:r>
          </w:p>
        </w:tc>
      </w:tr>
      <w:tr w:rsidR="000430A4" w:rsidRPr="00291BFB" w:rsidTr="002F32F0">
        <w:trPr>
          <w:trHeight w:val="246"/>
        </w:trPr>
        <w:tc>
          <w:tcPr>
            <w:tcW w:w="5434" w:type="dxa"/>
            <w:tcBorders>
              <w:top w:val="nil"/>
              <w:left w:val="single" w:sz="4" w:space="0" w:color="auto"/>
              <w:bottom w:val="nil"/>
              <w:right w:val="nil"/>
            </w:tcBorders>
            <w:shd w:val="clear" w:color="000000" w:fill="DBE5F1"/>
            <w:noWrap/>
            <w:hideMark/>
          </w:tcPr>
          <w:p w:rsidR="000430A4" w:rsidRPr="00291BFB" w:rsidRDefault="000430A4" w:rsidP="002F32F0">
            <w:pPr>
              <w:spacing w:after="0" w:line="240" w:lineRule="auto"/>
              <w:contextualSpacing/>
              <w:rPr>
                <w:rFonts w:ascii="Calibri" w:eastAsia="Times New Roman" w:hAnsi="Calibri" w:cs="Times New Roman"/>
                <w:color w:val="000000"/>
              </w:rPr>
            </w:pPr>
            <w:r w:rsidRPr="00291BFB">
              <w:rPr>
                <w:rFonts w:ascii="Calibri" w:eastAsia="Times New Roman" w:hAnsi="Calibri" w:cs="Times New Roman"/>
                <w:color w:val="000000"/>
              </w:rPr>
              <w:t xml:space="preserve">Number of requests received </w:t>
            </w:r>
          </w:p>
        </w:tc>
        <w:tc>
          <w:tcPr>
            <w:tcW w:w="1339" w:type="dxa"/>
            <w:tcBorders>
              <w:top w:val="nil"/>
              <w:left w:val="nil"/>
              <w:bottom w:val="nil"/>
              <w:right w:val="nil"/>
            </w:tcBorders>
            <w:shd w:val="clear" w:color="000000" w:fill="DBE5F1"/>
            <w:noWrap/>
            <w:vAlign w:val="center"/>
            <w:hideMark/>
          </w:tcPr>
          <w:p w:rsidR="000430A4" w:rsidRPr="00291BFB" w:rsidRDefault="000430A4" w:rsidP="002F32F0">
            <w:pPr>
              <w:spacing w:after="0" w:line="240" w:lineRule="auto"/>
              <w:contextualSpacing/>
              <w:jc w:val="center"/>
              <w:rPr>
                <w:rFonts w:ascii="Calibri" w:eastAsia="Times New Roman" w:hAnsi="Calibri" w:cs="Times New Roman"/>
                <w:b/>
                <w:bCs/>
                <w:color w:val="000000"/>
              </w:rPr>
            </w:pPr>
            <w:r w:rsidRPr="00291B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291BFB">
              <w:rPr>
                <w:rFonts w:ascii="Calibri" w:eastAsia="Times New Roman" w:hAnsi="Calibri" w:cs="Times New Roman"/>
                <w:b/>
                <w:bCs/>
                <w:color w:val="000000"/>
              </w:rPr>
              <w:t>765</w:t>
            </w:r>
          </w:p>
        </w:tc>
        <w:tc>
          <w:tcPr>
            <w:tcW w:w="1339" w:type="dxa"/>
            <w:tcBorders>
              <w:top w:val="nil"/>
              <w:left w:val="nil"/>
              <w:bottom w:val="nil"/>
              <w:right w:val="nil"/>
            </w:tcBorders>
            <w:shd w:val="clear" w:color="000000" w:fill="DBE5F1"/>
            <w:noWrap/>
            <w:vAlign w:val="center"/>
            <w:hideMark/>
          </w:tcPr>
          <w:p w:rsidR="000430A4" w:rsidRPr="00291BFB" w:rsidRDefault="000430A4" w:rsidP="002F32F0">
            <w:pPr>
              <w:spacing w:after="0" w:line="240" w:lineRule="auto"/>
              <w:contextualSpacing/>
              <w:jc w:val="center"/>
              <w:rPr>
                <w:rFonts w:ascii="Calibri" w:eastAsia="Times New Roman" w:hAnsi="Calibri" w:cs="Times New Roman"/>
                <w:b/>
                <w:bCs/>
                <w:color w:val="000000"/>
              </w:rPr>
            </w:pPr>
            <w:r w:rsidRPr="00291B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291BFB">
              <w:rPr>
                <w:rFonts w:ascii="Calibri" w:eastAsia="Times New Roman" w:hAnsi="Calibri" w:cs="Times New Roman"/>
                <w:b/>
                <w:bCs/>
                <w:color w:val="000000"/>
              </w:rPr>
              <w:t>563</w:t>
            </w:r>
          </w:p>
        </w:tc>
        <w:tc>
          <w:tcPr>
            <w:tcW w:w="1339" w:type="dxa"/>
            <w:tcBorders>
              <w:top w:val="nil"/>
              <w:left w:val="nil"/>
              <w:bottom w:val="nil"/>
              <w:right w:val="single" w:sz="4" w:space="0" w:color="auto"/>
            </w:tcBorders>
            <w:shd w:val="clear" w:color="000000" w:fill="DBE5F1"/>
            <w:noWrap/>
            <w:vAlign w:val="center"/>
            <w:hideMark/>
          </w:tcPr>
          <w:p w:rsidR="000430A4" w:rsidRPr="00291BFB" w:rsidRDefault="000430A4" w:rsidP="002F32F0">
            <w:pPr>
              <w:spacing w:after="0" w:line="240" w:lineRule="auto"/>
              <w:contextualSpacing/>
              <w:jc w:val="center"/>
              <w:rPr>
                <w:rFonts w:ascii="Calibri" w:eastAsia="Times New Roman" w:hAnsi="Calibri" w:cs="Times New Roman"/>
                <w:b/>
                <w:bCs/>
                <w:color w:val="000000"/>
              </w:rPr>
            </w:pPr>
            <w:r w:rsidRPr="00291B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291BFB">
              <w:rPr>
                <w:rFonts w:ascii="Calibri" w:eastAsia="Times New Roman" w:hAnsi="Calibri" w:cs="Times New Roman"/>
                <w:b/>
                <w:bCs/>
                <w:color w:val="000000"/>
              </w:rPr>
              <w:t>569</w:t>
            </w:r>
          </w:p>
        </w:tc>
      </w:tr>
      <w:tr w:rsidR="000430A4" w:rsidRPr="00291BFB" w:rsidTr="002F32F0">
        <w:trPr>
          <w:trHeight w:val="246"/>
        </w:trPr>
        <w:tc>
          <w:tcPr>
            <w:tcW w:w="5434" w:type="dxa"/>
            <w:tcBorders>
              <w:top w:val="nil"/>
              <w:left w:val="single" w:sz="4" w:space="0" w:color="auto"/>
              <w:bottom w:val="nil"/>
              <w:right w:val="nil"/>
            </w:tcBorders>
            <w:shd w:val="clear" w:color="auto" w:fill="auto"/>
            <w:hideMark/>
          </w:tcPr>
          <w:p w:rsidR="000430A4" w:rsidRPr="00291BFB" w:rsidRDefault="000430A4" w:rsidP="002F32F0">
            <w:pPr>
              <w:spacing w:after="0" w:line="240" w:lineRule="auto"/>
              <w:rPr>
                <w:rFonts w:ascii="Calibri" w:eastAsia="Times New Roman" w:hAnsi="Calibri" w:cs="Times New Roman"/>
                <w:color w:val="000000"/>
              </w:rPr>
            </w:pPr>
            <w:r w:rsidRPr="00291BFB">
              <w:rPr>
                <w:rFonts w:ascii="Calibri" w:eastAsia="Times New Roman" w:hAnsi="Calibri" w:cs="Times New Roman"/>
                <w:color w:val="000000"/>
              </w:rPr>
              <w:t>Annual change (%)</w:t>
            </w:r>
          </w:p>
        </w:tc>
        <w:tc>
          <w:tcPr>
            <w:tcW w:w="1339" w:type="dxa"/>
            <w:tcBorders>
              <w:top w:val="nil"/>
              <w:left w:val="nil"/>
              <w:bottom w:val="nil"/>
              <w:right w:val="nil"/>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w:t>
            </w:r>
          </w:p>
        </w:tc>
        <w:tc>
          <w:tcPr>
            <w:tcW w:w="1339" w:type="dxa"/>
            <w:tcBorders>
              <w:top w:val="nil"/>
              <w:left w:val="nil"/>
              <w:bottom w:val="nil"/>
              <w:right w:val="nil"/>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-11.4%</w:t>
            </w:r>
          </w:p>
        </w:tc>
        <w:tc>
          <w:tcPr>
            <w:tcW w:w="1339" w:type="dxa"/>
            <w:tcBorders>
              <w:top w:val="nil"/>
              <w:left w:val="nil"/>
              <w:bottom w:val="nil"/>
              <w:right w:val="single" w:sz="4" w:space="0" w:color="auto"/>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0.4%</w:t>
            </w:r>
          </w:p>
        </w:tc>
      </w:tr>
      <w:tr w:rsidR="000430A4" w:rsidRPr="00291BFB" w:rsidTr="002F32F0">
        <w:trPr>
          <w:trHeight w:val="246"/>
        </w:trPr>
        <w:tc>
          <w:tcPr>
            <w:tcW w:w="5434" w:type="dxa"/>
            <w:tcBorders>
              <w:top w:val="nil"/>
              <w:left w:val="single" w:sz="4" w:space="0" w:color="auto"/>
              <w:right w:val="nil"/>
            </w:tcBorders>
            <w:shd w:val="clear" w:color="000000" w:fill="DBE5F1"/>
            <w:hideMark/>
          </w:tcPr>
          <w:p w:rsidR="000430A4" w:rsidRPr="00291BFB" w:rsidRDefault="000430A4" w:rsidP="002F32F0">
            <w:pPr>
              <w:spacing w:after="0" w:line="240" w:lineRule="auto"/>
              <w:rPr>
                <w:rFonts w:ascii="Calibri" w:eastAsia="Times New Roman" w:hAnsi="Calibri" w:cs="Times New Roman"/>
                <w:color w:val="000000"/>
              </w:rPr>
            </w:pPr>
            <w:r w:rsidRPr="00291BFB">
              <w:rPr>
                <w:rFonts w:ascii="Calibri" w:eastAsia="Times New Roman" w:hAnsi="Calibri" w:cs="Times New Roman"/>
                <w:color w:val="000000"/>
              </w:rPr>
              <w:t>Completed requests</w:t>
            </w:r>
          </w:p>
        </w:tc>
        <w:tc>
          <w:tcPr>
            <w:tcW w:w="1339" w:type="dxa"/>
            <w:tcBorders>
              <w:top w:val="nil"/>
              <w:left w:val="nil"/>
              <w:right w:val="nil"/>
            </w:tcBorders>
            <w:shd w:val="clear" w:color="000000" w:fill="DBE5F1"/>
            <w:noWrap/>
            <w:vAlign w:val="center"/>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291BFB">
              <w:rPr>
                <w:rFonts w:ascii="Calibri" w:eastAsia="Times New Roman" w:hAnsi="Calibri" w:cs="Times New Roman"/>
                <w:b/>
                <w:bCs/>
                <w:color w:val="000000"/>
              </w:rPr>
              <w:t>689</w:t>
            </w:r>
          </w:p>
        </w:tc>
        <w:tc>
          <w:tcPr>
            <w:tcW w:w="1339" w:type="dxa"/>
            <w:tcBorders>
              <w:top w:val="nil"/>
              <w:left w:val="nil"/>
              <w:right w:val="nil"/>
            </w:tcBorders>
            <w:shd w:val="clear" w:color="000000" w:fill="DBE5F1"/>
            <w:noWrap/>
            <w:vAlign w:val="center"/>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291BFB">
              <w:rPr>
                <w:rFonts w:ascii="Calibri" w:eastAsia="Times New Roman" w:hAnsi="Calibri" w:cs="Times New Roman"/>
                <w:b/>
                <w:bCs/>
                <w:color w:val="000000"/>
              </w:rPr>
              <w:t>446</w:t>
            </w:r>
          </w:p>
        </w:tc>
        <w:tc>
          <w:tcPr>
            <w:tcW w:w="1339" w:type="dxa"/>
            <w:tcBorders>
              <w:top w:val="nil"/>
              <w:left w:val="nil"/>
              <w:right w:val="single" w:sz="4" w:space="0" w:color="auto"/>
            </w:tcBorders>
            <w:shd w:val="clear" w:color="000000" w:fill="DBE5F1"/>
            <w:noWrap/>
            <w:vAlign w:val="center"/>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291BFB">
              <w:rPr>
                <w:rFonts w:ascii="Calibri" w:eastAsia="Times New Roman" w:hAnsi="Calibri" w:cs="Times New Roman"/>
                <w:b/>
                <w:bCs/>
                <w:color w:val="000000"/>
              </w:rPr>
              <w:t>420</w:t>
            </w:r>
          </w:p>
        </w:tc>
      </w:tr>
      <w:tr w:rsidR="000430A4" w:rsidRPr="00291BFB" w:rsidTr="002F32F0">
        <w:trPr>
          <w:trHeight w:val="258"/>
        </w:trPr>
        <w:tc>
          <w:tcPr>
            <w:tcW w:w="5434" w:type="dxa"/>
            <w:tcBorders>
              <w:top w:val="nil"/>
              <w:left w:val="single" w:sz="4" w:space="0" w:color="auto"/>
              <w:right w:val="nil"/>
            </w:tcBorders>
            <w:shd w:val="clear" w:color="auto" w:fill="auto"/>
            <w:hideMark/>
          </w:tcPr>
          <w:p w:rsidR="000430A4" w:rsidRPr="00291BFB" w:rsidRDefault="000430A4" w:rsidP="002F32F0">
            <w:pPr>
              <w:spacing w:after="0" w:line="240" w:lineRule="auto"/>
              <w:rPr>
                <w:rFonts w:ascii="Calibri" w:eastAsia="Times New Roman" w:hAnsi="Calibri" w:cs="Times New Roman"/>
                <w:color w:val="000000"/>
              </w:rPr>
            </w:pPr>
            <w:r w:rsidRPr="00291BFB">
              <w:rPr>
                <w:rFonts w:ascii="Calibri" w:eastAsia="Times New Roman" w:hAnsi="Calibri" w:cs="Times New Roman"/>
                <w:color w:val="000000"/>
              </w:rPr>
              <w:t>Annual change</w:t>
            </w:r>
          </w:p>
        </w:tc>
        <w:tc>
          <w:tcPr>
            <w:tcW w:w="1339" w:type="dxa"/>
            <w:tcBorders>
              <w:top w:val="nil"/>
              <w:left w:val="nil"/>
              <w:right w:val="nil"/>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w:t>
            </w:r>
          </w:p>
        </w:tc>
        <w:tc>
          <w:tcPr>
            <w:tcW w:w="1339" w:type="dxa"/>
            <w:tcBorders>
              <w:top w:val="nil"/>
              <w:left w:val="nil"/>
              <w:right w:val="nil"/>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-14.4%</w:t>
            </w:r>
          </w:p>
        </w:tc>
        <w:tc>
          <w:tcPr>
            <w:tcW w:w="1339" w:type="dxa"/>
            <w:tcBorders>
              <w:top w:val="nil"/>
              <w:left w:val="nil"/>
              <w:right w:val="single" w:sz="4" w:space="0" w:color="auto"/>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-1.8%</w:t>
            </w:r>
          </w:p>
        </w:tc>
      </w:tr>
      <w:tr w:rsidR="000430A4" w:rsidRPr="00291BFB" w:rsidTr="002F32F0">
        <w:trPr>
          <w:trHeight w:val="504"/>
        </w:trPr>
        <w:tc>
          <w:tcPr>
            <w:tcW w:w="5434" w:type="dxa"/>
            <w:tcBorders>
              <w:top w:val="nil"/>
              <w:left w:val="single" w:sz="4" w:space="0" w:color="auto"/>
              <w:right w:val="nil"/>
            </w:tcBorders>
            <w:shd w:val="clear" w:color="000000" w:fill="DBE5F1"/>
            <w:hideMark/>
          </w:tcPr>
          <w:p w:rsidR="000430A4" w:rsidRPr="00291BFB" w:rsidRDefault="000430A4" w:rsidP="002F32F0">
            <w:pPr>
              <w:spacing w:after="0" w:line="240" w:lineRule="auto"/>
              <w:rPr>
                <w:rFonts w:ascii="Calibri" w:eastAsia="Times New Roman" w:hAnsi="Calibri" w:cs="Times New Roman"/>
                <w:color w:val="000000"/>
              </w:rPr>
            </w:pPr>
            <w:r w:rsidRPr="00291BFB">
              <w:rPr>
                <w:rFonts w:ascii="Calibri" w:eastAsia="Times New Roman" w:hAnsi="Calibri" w:cs="Times New Roman"/>
                <w:color w:val="000000"/>
              </w:rPr>
              <w:t>Number of consultations received (from other government institutions)</w:t>
            </w:r>
          </w:p>
        </w:tc>
        <w:tc>
          <w:tcPr>
            <w:tcW w:w="1339" w:type="dxa"/>
            <w:tcBorders>
              <w:top w:val="nil"/>
              <w:left w:val="nil"/>
              <w:right w:val="nil"/>
            </w:tcBorders>
            <w:shd w:val="clear" w:color="000000" w:fill="DBE5F1"/>
            <w:noWrap/>
            <w:vAlign w:val="center"/>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186</w:t>
            </w:r>
          </w:p>
        </w:tc>
        <w:tc>
          <w:tcPr>
            <w:tcW w:w="1339" w:type="dxa"/>
            <w:tcBorders>
              <w:top w:val="nil"/>
              <w:left w:val="nil"/>
              <w:right w:val="nil"/>
            </w:tcBorders>
            <w:shd w:val="clear" w:color="000000" w:fill="DBE5F1"/>
            <w:noWrap/>
            <w:vAlign w:val="center"/>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154</w:t>
            </w:r>
          </w:p>
        </w:tc>
        <w:tc>
          <w:tcPr>
            <w:tcW w:w="1339" w:type="dxa"/>
            <w:tcBorders>
              <w:top w:val="nil"/>
              <w:left w:val="nil"/>
              <w:right w:val="single" w:sz="4" w:space="0" w:color="auto"/>
            </w:tcBorders>
            <w:shd w:val="clear" w:color="000000" w:fill="DBE5F1"/>
            <w:noWrap/>
            <w:vAlign w:val="center"/>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160</w:t>
            </w:r>
          </w:p>
        </w:tc>
      </w:tr>
      <w:tr w:rsidR="000430A4" w:rsidRPr="00291BFB" w:rsidTr="002F32F0">
        <w:trPr>
          <w:trHeight w:val="258"/>
        </w:trPr>
        <w:tc>
          <w:tcPr>
            <w:tcW w:w="5434" w:type="dxa"/>
            <w:tcBorders>
              <w:top w:val="nil"/>
              <w:left w:val="single" w:sz="4" w:space="0" w:color="auto"/>
              <w:right w:val="nil"/>
            </w:tcBorders>
            <w:shd w:val="clear" w:color="auto" w:fill="auto"/>
            <w:hideMark/>
          </w:tcPr>
          <w:p w:rsidR="000430A4" w:rsidRPr="00291BFB" w:rsidRDefault="000430A4" w:rsidP="002F32F0">
            <w:pPr>
              <w:spacing w:after="0" w:line="240" w:lineRule="auto"/>
              <w:rPr>
                <w:rFonts w:ascii="Calibri" w:eastAsia="Times New Roman" w:hAnsi="Calibri" w:cs="Times New Roman"/>
                <w:color w:val="000000"/>
              </w:rPr>
            </w:pPr>
            <w:r w:rsidRPr="00291BFB">
              <w:rPr>
                <w:rFonts w:ascii="Calibri" w:eastAsia="Times New Roman" w:hAnsi="Calibri" w:cs="Times New Roman"/>
                <w:color w:val="000000"/>
              </w:rPr>
              <w:t>Annual change (%)</w:t>
            </w:r>
          </w:p>
        </w:tc>
        <w:tc>
          <w:tcPr>
            <w:tcW w:w="1339" w:type="dxa"/>
            <w:tcBorders>
              <w:top w:val="nil"/>
              <w:left w:val="nil"/>
              <w:right w:val="nil"/>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w:t>
            </w:r>
          </w:p>
        </w:tc>
        <w:tc>
          <w:tcPr>
            <w:tcW w:w="1339" w:type="dxa"/>
            <w:tcBorders>
              <w:top w:val="nil"/>
              <w:left w:val="nil"/>
              <w:right w:val="nil"/>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-17.2%</w:t>
            </w:r>
          </w:p>
        </w:tc>
        <w:tc>
          <w:tcPr>
            <w:tcW w:w="1339" w:type="dxa"/>
            <w:tcBorders>
              <w:top w:val="nil"/>
              <w:left w:val="nil"/>
              <w:right w:val="single" w:sz="4" w:space="0" w:color="auto"/>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3.9%</w:t>
            </w:r>
          </w:p>
        </w:tc>
      </w:tr>
      <w:tr w:rsidR="000430A4" w:rsidRPr="00291BFB" w:rsidTr="002F32F0">
        <w:trPr>
          <w:trHeight w:val="504"/>
        </w:trPr>
        <w:tc>
          <w:tcPr>
            <w:tcW w:w="5434" w:type="dxa"/>
            <w:tcBorders>
              <w:left w:val="single" w:sz="4" w:space="0" w:color="auto"/>
              <w:bottom w:val="nil"/>
              <w:right w:val="nil"/>
            </w:tcBorders>
            <w:shd w:val="clear" w:color="000000" w:fill="DBE5F1"/>
            <w:hideMark/>
          </w:tcPr>
          <w:p w:rsidR="000430A4" w:rsidRPr="00291BFB" w:rsidRDefault="000430A4" w:rsidP="002F32F0">
            <w:pPr>
              <w:spacing w:after="0" w:line="240" w:lineRule="auto"/>
              <w:rPr>
                <w:rFonts w:ascii="Calibri" w:eastAsia="Times New Roman" w:hAnsi="Calibri" w:cs="Times New Roman"/>
                <w:color w:val="000000"/>
              </w:rPr>
            </w:pPr>
            <w:r w:rsidRPr="00291BFB">
              <w:rPr>
                <w:rFonts w:ascii="Calibri" w:eastAsia="Times New Roman" w:hAnsi="Calibri" w:cs="Times New Roman"/>
                <w:color w:val="000000"/>
              </w:rPr>
              <w:t>Average number of pages processed per request completed</w:t>
            </w:r>
          </w:p>
        </w:tc>
        <w:tc>
          <w:tcPr>
            <w:tcW w:w="1339" w:type="dxa"/>
            <w:tcBorders>
              <w:left w:val="nil"/>
              <w:bottom w:val="nil"/>
              <w:right w:val="nil"/>
            </w:tcBorders>
            <w:shd w:val="clear" w:color="000000" w:fill="DBE5F1"/>
            <w:noWrap/>
            <w:vAlign w:val="center"/>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274</w:t>
            </w:r>
          </w:p>
        </w:tc>
        <w:tc>
          <w:tcPr>
            <w:tcW w:w="1339" w:type="dxa"/>
            <w:tcBorders>
              <w:left w:val="nil"/>
              <w:bottom w:val="nil"/>
              <w:right w:val="nil"/>
            </w:tcBorders>
            <w:shd w:val="clear" w:color="000000" w:fill="DBE5F1"/>
            <w:noWrap/>
            <w:vAlign w:val="center"/>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167</w:t>
            </w:r>
          </w:p>
        </w:tc>
        <w:tc>
          <w:tcPr>
            <w:tcW w:w="1339" w:type="dxa"/>
            <w:tcBorders>
              <w:left w:val="nil"/>
              <w:bottom w:val="nil"/>
              <w:right w:val="single" w:sz="4" w:space="0" w:color="auto"/>
            </w:tcBorders>
            <w:shd w:val="clear" w:color="000000" w:fill="DBE5F1"/>
            <w:noWrap/>
            <w:vAlign w:val="center"/>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165</w:t>
            </w:r>
          </w:p>
        </w:tc>
      </w:tr>
      <w:tr w:rsidR="000430A4" w:rsidRPr="00291BFB" w:rsidTr="002F32F0">
        <w:trPr>
          <w:trHeight w:val="504"/>
        </w:trPr>
        <w:tc>
          <w:tcPr>
            <w:tcW w:w="5434" w:type="dxa"/>
            <w:tcBorders>
              <w:top w:val="nil"/>
              <w:left w:val="single" w:sz="4" w:space="0" w:color="auto"/>
              <w:bottom w:val="single" w:sz="4" w:space="0" w:color="auto"/>
              <w:right w:val="nil"/>
            </w:tcBorders>
            <w:shd w:val="clear" w:color="auto" w:fill="auto"/>
            <w:hideMark/>
          </w:tcPr>
          <w:p w:rsidR="000430A4" w:rsidRPr="00291BFB" w:rsidRDefault="000430A4" w:rsidP="002F32F0">
            <w:pPr>
              <w:spacing w:after="0" w:line="240" w:lineRule="auto"/>
              <w:rPr>
                <w:rFonts w:ascii="Calibri" w:eastAsia="Times New Roman" w:hAnsi="Calibri" w:cs="Times New Roman"/>
                <w:color w:val="000000"/>
              </w:rPr>
            </w:pPr>
            <w:r w:rsidRPr="00291BFB">
              <w:rPr>
                <w:rFonts w:ascii="Calibri" w:eastAsia="Times New Roman" w:hAnsi="Calibri" w:cs="Times New Roman"/>
                <w:color w:val="000000"/>
              </w:rPr>
              <w:lastRenderedPageBreak/>
              <w:t>% of requests for which more than 1</w:t>
            </w:r>
            <w:r w:rsidR="00F257F8">
              <w:rPr>
                <w:rFonts w:ascii="Calibri" w:eastAsia="Times New Roman" w:hAnsi="Calibri" w:cs="Times New Roman"/>
                <w:color w:val="000000"/>
              </w:rPr>
              <w:t>,</w:t>
            </w:r>
            <w:r w:rsidRPr="00291BFB">
              <w:rPr>
                <w:rFonts w:ascii="Calibri" w:eastAsia="Times New Roman" w:hAnsi="Calibri" w:cs="Times New Roman"/>
                <w:color w:val="000000"/>
              </w:rPr>
              <w:t>000 pages were processed</w:t>
            </w:r>
          </w:p>
        </w:tc>
        <w:tc>
          <w:tcPr>
            <w:tcW w:w="1339" w:type="dxa"/>
            <w:tcBorders>
              <w:top w:val="nil"/>
              <w:left w:val="nil"/>
              <w:bottom w:val="single" w:sz="4" w:space="0" w:color="auto"/>
              <w:right w:val="nil"/>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5.6%</w:t>
            </w:r>
          </w:p>
        </w:tc>
        <w:tc>
          <w:tcPr>
            <w:tcW w:w="1339" w:type="dxa"/>
            <w:tcBorders>
              <w:top w:val="nil"/>
              <w:left w:val="nil"/>
              <w:bottom w:val="single" w:sz="4" w:space="0" w:color="auto"/>
              <w:right w:val="nil"/>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3.6%</w:t>
            </w:r>
          </w:p>
        </w:tc>
        <w:tc>
          <w:tcPr>
            <w:tcW w:w="1339" w:type="dxa"/>
            <w:tcBorders>
              <w:top w:val="nil"/>
              <w:left w:val="nil"/>
              <w:bottom w:val="single" w:sz="4" w:space="0" w:color="auto"/>
              <w:right w:val="single" w:sz="4" w:space="0" w:color="auto"/>
            </w:tcBorders>
            <w:shd w:val="clear" w:color="auto" w:fill="auto"/>
            <w:noWrap/>
            <w:vAlign w:val="center"/>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3.7%</w:t>
            </w:r>
          </w:p>
        </w:tc>
      </w:tr>
    </w:tbl>
    <w:p w:rsidR="000430A4" w:rsidRPr="00E82A11" w:rsidRDefault="000430A4" w:rsidP="000430A4">
      <w:pPr>
        <w:pStyle w:val="Heading2"/>
        <w:spacing w:before="240"/>
      </w:pPr>
      <w:r w:rsidRPr="00E82A11">
        <w:t>Request completion time</w:t>
      </w:r>
    </w:p>
    <w:p w:rsidR="000430A4" w:rsidRPr="00E82A11" w:rsidRDefault="000430A4" w:rsidP="000430A4">
      <w:pPr>
        <w:pStyle w:val="Heading4"/>
      </w:pPr>
      <w:r w:rsidRPr="00E82A11">
        <w:t>Timeliness</w:t>
      </w:r>
    </w:p>
    <w:p w:rsidR="000430A4" w:rsidRPr="003A54A6" w:rsidRDefault="000430A4" w:rsidP="000430A4">
      <w:pPr>
        <w:jc w:val="both"/>
      </w:pPr>
      <w:r w:rsidRPr="00AF1787">
        <w:t xml:space="preserve">Figure 1 reveals that 52.0% of requests were completed within 30 days or less, which is an increase of 3.5% from 2013-2014. We note that the number of requests completed between </w:t>
      </w:r>
      <w:r>
        <w:t xml:space="preserve">61 and </w:t>
      </w:r>
      <w:r w:rsidRPr="00AF1787">
        <w:t>120 days increased by 3.1% while requests that took beyond 365 days to complete dropped by 5.9%.</w:t>
      </w:r>
    </w:p>
    <w:p w:rsidR="000430A4" w:rsidRPr="00893F95" w:rsidRDefault="000430A4" w:rsidP="000430A4">
      <w:pPr>
        <w:pStyle w:val="Heading3"/>
      </w:pPr>
      <w:r w:rsidRPr="00440A4C">
        <w:t>Figure 1: Request Completion Time</w:t>
      </w:r>
    </w:p>
    <w:p w:rsidR="000430A4" w:rsidRPr="00893F95" w:rsidRDefault="000430A4" w:rsidP="000430A4">
      <w:pPr>
        <w:spacing w:line="240" w:lineRule="auto"/>
        <w:rPr>
          <w:szCs w:val="24"/>
        </w:rPr>
      </w:pPr>
      <w:r w:rsidRPr="00C21885">
        <w:rPr>
          <w:noProof/>
          <w:color w:val="FF0000"/>
          <w:sz w:val="24"/>
          <w:szCs w:val="24"/>
        </w:rPr>
        <w:drawing>
          <wp:inline distT="0" distB="0" distL="0" distR="0">
            <wp:extent cx="5947576" cy="4214191"/>
            <wp:effectExtent l="0" t="0" r="15240" b="1524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430A4" w:rsidRPr="00E82A11" w:rsidRDefault="000430A4" w:rsidP="000430A4">
      <w:pPr>
        <w:pStyle w:val="Heading4"/>
      </w:pPr>
      <w:r w:rsidRPr="00E82A11">
        <w:t>Extensions</w:t>
      </w:r>
    </w:p>
    <w:p w:rsidR="000430A4" w:rsidRPr="00293B00" w:rsidRDefault="000430A4" w:rsidP="000430A4">
      <w:pPr>
        <w:jc w:val="both"/>
      </w:pPr>
      <w:r w:rsidRPr="00293B00">
        <w:t>HC took a total of 694 extensions in 2014-2015 compared to 719 in 2013-2014. The most common reason for taking an extension was third-party notice (49.6%), followed by interference with operations (26.8%), and consultations (23.6%).</w:t>
      </w:r>
    </w:p>
    <w:p w:rsidR="000430A4" w:rsidRPr="006315A5" w:rsidRDefault="000430A4" w:rsidP="000430A4">
      <w:pPr>
        <w:jc w:val="both"/>
      </w:pPr>
      <w:r w:rsidRPr="006315A5">
        <w:t xml:space="preserve">Figure 2 shows that </w:t>
      </w:r>
      <w:r>
        <w:t>13.3</w:t>
      </w:r>
      <w:r w:rsidRPr="006315A5">
        <w:t xml:space="preserve">% of </w:t>
      </w:r>
      <w:r>
        <w:t xml:space="preserve">the </w:t>
      </w:r>
      <w:r w:rsidRPr="006315A5">
        <w:t xml:space="preserve">extensions </w:t>
      </w:r>
      <w:r>
        <w:t xml:space="preserve">taken in 2014-2015 were for </w:t>
      </w:r>
      <w:r w:rsidRPr="006315A5">
        <w:t>30 days</w:t>
      </w:r>
      <w:r>
        <w:t xml:space="preserve"> or less, which </w:t>
      </w:r>
      <w:r w:rsidRPr="006315A5">
        <w:t xml:space="preserve">is </w:t>
      </w:r>
      <w:r>
        <w:t xml:space="preserve">marginally </w:t>
      </w:r>
      <w:r w:rsidRPr="006315A5">
        <w:t xml:space="preserve">higher </w:t>
      </w:r>
      <w:r>
        <w:t>(0.7</w:t>
      </w:r>
      <w:r w:rsidRPr="006315A5">
        <w:t>%</w:t>
      </w:r>
      <w:r>
        <w:t>)</w:t>
      </w:r>
      <w:r w:rsidRPr="006315A5">
        <w:t xml:space="preserve"> compared to 2013-2014. Figure 2 also</w:t>
      </w:r>
      <w:r>
        <w:t xml:space="preserve"> shows </w:t>
      </w:r>
      <w:r w:rsidRPr="006315A5">
        <w:t xml:space="preserve">that the </w:t>
      </w:r>
      <w:r>
        <w:t xml:space="preserve">number </w:t>
      </w:r>
      <w:r w:rsidRPr="006315A5">
        <w:t xml:space="preserve">of </w:t>
      </w:r>
      <w:r>
        <w:t>extensions taken</w:t>
      </w:r>
      <w:r w:rsidRPr="006315A5">
        <w:t xml:space="preserve"> between 31 and 60 days in increased by </w:t>
      </w:r>
      <w:r>
        <w:t>8.6</w:t>
      </w:r>
      <w:r w:rsidRPr="006315A5">
        <w:t xml:space="preserve">% compared to </w:t>
      </w:r>
      <w:r>
        <w:t>2013-2014</w:t>
      </w:r>
      <w:r w:rsidRPr="006315A5">
        <w:t xml:space="preserve">.  </w:t>
      </w:r>
      <w:r>
        <w:t xml:space="preserve">In all other categories, the </w:t>
      </w:r>
      <w:r>
        <w:lastRenderedPageBreak/>
        <w:t>lengths of extensions were reduced, with the exception of the 181 to 365 day category, where they remained the same.</w:t>
      </w:r>
    </w:p>
    <w:p w:rsidR="000430A4" w:rsidRDefault="000430A4" w:rsidP="000430A4">
      <w:r w:rsidRPr="00E82A11">
        <w:rPr>
          <w:rStyle w:val="Heading3Char"/>
        </w:rPr>
        <w:t>Figure 2: Length of Extensions</w:t>
      </w:r>
      <w:r w:rsidRPr="0087636D">
        <w:rPr>
          <w:noProof/>
        </w:rPr>
        <w:drawing>
          <wp:inline distT="0" distB="0" distL="0" distR="0">
            <wp:extent cx="5861713" cy="3507474"/>
            <wp:effectExtent l="0" t="0" r="5715"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430A4" w:rsidRPr="00D2368F" w:rsidRDefault="000430A4" w:rsidP="000430A4">
      <w:pPr>
        <w:pStyle w:val="Heading4"/>
      </w:pPr>
      <w:r>
        <w:t>Deemed refusals</w:t>
      </w:r>
    </w:p>
    <w:p w:rsidR="000430A4" w:rsidRPr="00293B00" w:rsidRDefault="000430A4" w:rsidP="000430A4">
      <w:pPr>
        <w:jc w:val="both"/>
      </w:pPr>
      <w:r w:rsidRPr="00293B00">
        <w:t>In 2014-2015, the number of requests closed past the statutory deadline was 207, which accounts for 14.5% of all completed requests. This rate represents a “C” grade.</w:t>
      </w:r>
      <w:r w:rsidRPr="00293B00">
        <w:rPr>
          <w:rStyle w:val="FootnoteReference"/>
        </w:rPr>
        <w:footnoteReference w:id="26"/>
      </w:r>
      <w:r w:rsidRPr="00293B00">
        <w:t xml:space="preserve">  The main reason for not meeting the statutory deadline was workload (72.2%), followed by other reasons (13.5%).</w:t>
      </w:r>
      <w:r w:rsidRPr="00293B00">
        <w:rPr>
          <w:rStyle w:val="FootnoteReference"/>
        </w:rPr>
        <w:footnoteReference w:id="27"/>
      </w:r>
    </w:p>
    <w:p w:rsidR="000430A4" w:rsidRPr="00293B00" w:rsidRDefault="000430A4" w:rsidP="000430A4">
      <w:pPr>
        <w:jc w:val="both"/>
      </w:pPr>
      <w:r w:rsidRPr="00293B00">
        <w:t>Although the number of overdue requests decreased by 41.0% compared to the previous period, 57.0% of overdue requests were late more than 180 days, and only 22.7% were late by 30 days and less                   (see Figure 3). Compared to 2013-2014, there is a marginal decrease of 1.1% in the number of overdue requests that were late for more than 180 days.</w:t>
      </w:r>
    </w:p>
    <w:p w:rsidR="000430A4" w:rsidRDefault="000430A4" w:rsidP="000430A4">
      <w:pPr>
        <w:rPr>
          <w:b/>
        </w:rPr>
      </w:pPr>
      <w:r>
        <w:br w:type="page"/>
      </w:r>
    </w:p>
    <w:p w:rsidR="000430A4" w:rsidRPr="00640303" w:rsidRDefault="000430A4" w:rsidP="000430A4">
      <w:pPr>
        <w:pStyle w:val="Heading3"/>
      </w:pPr>
      <w:r w:rsidRPr="00640303">
        <w:lastRenderedPageBreak/>
        <w:t>Figure 3: Lateness of Overdue R</w:t>
      </w:r>
      <w:r>
        <w:t>equests</w:t>
      </w:r>
    </w:p>
    <w:p w:rsidR="000430A4" w:rsidRDefault="000430A4" w:rsidP="000430A4">
      <w:r w:rsidRPr="0087636D">
        <w:rPr>
          <w:noProof/>
        </w:rPr>
        <w:drawing>
          <wp:inline distT="0" distB="0" distL="0" distR="0">
            <wp:extent cx="5947576" cy="3919993"/>
            <wp:effectExtent l="0" t="0" r="15240" b="4445"/>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430A4" w:rsidRPr="00E82A11" w:rsidRDefault="000430A4" w:rsidP="000430A4">
      <w:pPr>
        <w:pStyle w:val="Heading2"/>
      </w:pPr>
      <w:r w:rsidRPr="00E82A11">
        <w:t>Disclosure</w:t>
      </w:r>
    </w:p>
    <w:p w:rsidR="000430A4" w:rsidRPr="00D2368F" w:rsidRDefault="000430A4" w:rsidP="000430A4">
      <w:pPr>
        <w:pStyle w:val="Heading4"/>
      </w:pPr>
      <w:r w:rsidRPr="00D2368F">
        <w:t>Pe</w:t>
      </w:r>
      <w:r>
        <w:t>rcentage of requests for which information was disclosed</w:t>
      </w:r>
    </w:p>
    <w:p w:rsidR="000430A4" w:rsidRPr="00F61191" w:rsidRDefault="000430A4" w:rsidP="000430A4">
      <w:pPr>
        <w:jc w:val="both"/>
      </w:pPr>
      <w:r w:rsidRPr="00F61191">
        <w:t xml:space="preserve">In 2014-2015, </w:t>
      </w:r>
      <w:r>
        <w:t>11.3</w:t>
      </w:r>
      <w:r w:rsidRPr="00F61191">
        <w:t>% of requests</w:t>
      </w:r>
      <w:r>
        <w:t xml:space="preserve"> completed were entirely disclosed, which represents a decrease of 2.15</w:t>
      </w:r>
      <w:r w:rsidRPr="00F61191">
        <w:t xml:space="preserve">% </w:t>
      </w:r>
      <w:r>
        <w:t>from</w:t>
      </w:r>
      <w:r w:rsidRPr="00F61191">
        <w:t xml:space="preserve"> the previous period (see Figure 4</w:t>
      </w:r>
      <w:r w:rsidRPr="00AF1787">
        <w:t>). Figure 4 also shows that the rate for partially disclosed requests was 50</w:t>
      </w:r>
      <w:r>
        <w:t>.3</w:t>
      </w:r>
      <w:r w:rsidRPr="00AF1787">
        <w:t>% in 2014-2015, which is</w:t>
      </w:r>
      <w:r>
        <w:t xml:space="preserve"> 3.9</w:t>
      </w:r>
      <w:r w:rsidRPr="00AF1787">
        <w:t>% lower than the previous period.</w:t>
      </w:r>
    </w:p>
    <w:p w:rsidR="000430A4" w:rsidRDefault="000430A4" w:rsidP="000430A4">
      <w:pPr>
        <w:pStyle w:val="Heading3"/>
        <w:spacing w:after="200"/>
      </w:pPr>
      <w:r w:rsidRPr="00640303">
        <w:lastRenderedPageBreak/>
        <w:t>Figure 4: Level of Disclosure</w:t>
      </w:r>
      <w:r w:rsidRPr="0087636D">
        <w:rPr>
          <w:noProof/>
        </w:rPr>
        <w:drawing>
          <wp:inline distT="0" distB="0" distL="0" distR="0">
            <wp:extent cx="5947576" cy="3800723"/>
            <wp:effectExtent l="0" t="0" r="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430A4" w:rsidRPr="00D2368F" w:rsidRDefault="000430A4" w:rsidP="000430A4">
      <w:pPr>
        <w:pStyle w:val="Heading4"/>
      </w:pPr>
      <w:r>
        <w:t>Exemptions</w:t>
      </w:r>
    </w:p>
    <w:p w:rsidR="000430A4" w:rsidRDefault="000430A4" w:rsidP="000430A4">
      <w:pPr>
        <w:jc w:val="both"/>
      </w:pPr>
      <w:r w:rsidRPr="00EF6B67">
        <w:t>The average number of exemptions used per completed request decreased marginally from 1.2 in 2013-2014 to 1.1 in 2014-2015 (see Table 2).</w:t>
      </w:r>
      <w:r w:rsidRPr="00EF6B67">
        <w:rPr>
          <w:color w:val="C00000"/>
        </w:rPr>
        <w:t xml:space="preserve"> </w:t>
      </w:r>
      <w:r w:rsidRPr="00EF6B67">
        <w:t xml:space="preserve">The most used exemptions for this reporting period were section 19 (Personal Information) </w:t>
      </w:r>
      <w:r>
        <w:t>(41.5</w:t>
      </w:r>
      <w:r w:rsidRPr="00EF6B67">
        <w:t>%), followed by section</w:t>
      </w:r>
      <w:r>
        <w:t xml:space="preserve"> 20</w:t>
      </w:r>
      <w:r w:rsidRPr="00EF6B67">
        <w:t xml:space="preserve"> (Third-Party Information) (</w:t>
      </w:r>
      <w:r>
        <w:t>25.9</w:t>
      </w:r>
      <w:r w:rsidRPr="00EF6B67">
        <w:t>%) and section 21 (Operations of Government) (13</w:t>
      </w:r>
      <w:r>
        <w:t>.4</w:t>
      </w:r>
      <w:r w:rsidRPr="00EF6B67">
        <w:t>%) in 2014-2015.</w:t>
      </w:r>
    </w:p>
    <w:p w:rsidR="000430A4" w:rsidRDefault="000430A4" w:rsidP="000430A4">
      <w:pPr>
        <w:pStyle w:val="Heading3"/>
      </w:pPr>
      <w:r w:rsidRPr="00916BD0">
        <w:t xml:space="preserve">Table </w:t>
      </w:r>
      <w:r>
        <w:t>2</w:t>
      </w:r>
      <w:r w:rsidRPr="00916BD0">
        <w:t>: Exemptions</w:t>
      </w:r>
    </w:p>
    <w:tbl>
      <w:tblPr>
        <w:tblW w:w="9509" w:type="dxa"/>
        <w:tblInd w:w="98" w:type="dxa"/>
        <w:tblLook w:val="04A0"/>
      </w:tblPr>
      <w:tblGrid>
        <w:gridCol w:w="5468"/>
        <w:gridCol w:w="1347"/>
        <w:gridCol w:w="1347"/>
        <w:gridCol w:w="1347"/>
      </w:tblGrid>
      <w:tr w:rsidR="000430A4" w:rsidRPr="00291BFB" w:rsidTr="002F32F0">
        <w:trPr>
          <w:trHeight w:val="229"/>
        </w:trPr>
        <w:tc>
          <w:tcPr>
            <w:tcW w:w="5468"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291BFB" w:rsidRDefault="000430A4" w:rsidP="002F32F0">
            <w:pPr>
              <w:spacing w:after="0" w:line="240" w:lineRule="auto"/>
              <w:rPr>
                <w:rFonts w:ascii="Calibri" w:eastAsia="Times New Roman" w:hAnsi="Calibri" w:cs="Times New Roman"/>
                <w:color w:val="000000"/>
              </w:rPr>
            </w:pPr>
            <w:r w:rsidRPr="00291BFB">
              <w:rPr>
                <w:rFonts w:ascii="Calibri" w:eastAsia="Times New Roman" w:hAnsi="Calibri" w:cs="Times New Roman"/>
                <w:color w:val="000000"/>
              </w:rPr>
              <w:t xml:space="preserve">Exemptions </w:t>
            </w:r>
          </w:p>
        </w:tc>
        <w:tc>
          <w:tcPr>
            <w:tcW w:w="1347" w:type="dxa"/>
            <w:tcBorders>
              <w:top w:val="single" w:sz="8" w:space="0" w:color="auto"/>
              <w:left w:val="nil"/>
              <w:bottom w:val="single" w:sz="8" w:space="0" w:color="auto"/>
              <w:right w:val="nil"/>
            </w:tcBorders>
            <w:shd w:val="clear" w:color="000000" w:fill="DBE5F1"/>
            <w:noWrap/>
            <w:vAlign w:val="bottom"/>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2012-2013</w:t>
            </w:r>
          </w:p>
        </w:tc>
        <w:tc>
          <w:tcPr>
            <w:tcW w:w="1347" w:type="dxa"/>
            <w:tcBorders>
              <w:top w:val="single" w:sz="8" w:space="0" w:color="auto"/>
              <w:left w:val="nil"/>
              <w:bottom w:val="single" w:sz="8" w:space="0" w:color="auto"/>
              <w:right w:val="nil"/>
            </w:tcBorders>
            <w:shd w:val="clear" w:color="000000" w:fill="DBE5F1"/>
            <w:noWrap/>
            <w:vAlign w:val="bottom"/>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2013-2014</w:t>
            </w:r>
          </w:p>
        </w:tc>
        <w:tc>
          <w:tcPr>
            <w:tcW w:w="1347"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291BFB" w:rsidRDefault="000430A4" w:rsidP="002F32F0">
            <w:pPr>
              <w:spacing w:after="0" w:line="240" w:lineRule="auto"/>
              <w:jc w:val="center"/>
              <w:rPr>
                <w:rFonts w:ascii="Calibri" w:eastAsia="Times New Roman" w:hAnsi="Calibri" w:cs="Times New Roman"/>
                <w:b/>
                <w:bCs/>
                <w:color w:val="000000"/>
              </w:rPr>
            </w:pPr>
            <w:r w:rsidRPr="00291BFB">
              <w:rPr>
                <w:rFonts w:ascii="Calibri" w:eastAsia="Times New Roman" w:hAnsi="Calibri" w:cs="Times New Roman"/>
                <w:b/>
                <w:bCs/>
                <w:color w:val="000000"/>
              </w:rPr>
              <w:t>2014-2015</w:t>
            </w:r>
          </w:p>
        </w:tc>
      </w:tr>
      <w:tr w:rsidR="000430A4" w:rsidRPr="00291BFB" w:rsidTr="002F32F0">
        <w:trPr>
          <w:trHeight w:val="218"/>
        </w:trPr>
        <w:tc>
          <w:tcPr>
            <w:tcW w:w="5468" w:type="dxa"/>
            <w:tcBorders>
              <w:top w:val="nil"/>
              <w:left w:val="single" w:sz="8" w:space="0" w:color="auto"/>
              <w:bottom w:val="nil"/>
              <w:right w:val="nil"/>
            </w:tcBorders>
            <w:shd w:val="clear" w:color="auto" w:fill="auto"/>
            <w:noWrap/>
            <w:vAlign w:val="bottom"/>
            <w:hideMark/>
          </w:tcPr>
          <w:p w:rsidR="000430A4" w:rsidRPr="00291BFB"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291BFB">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291BFB">
              <w:rPr>
                <w:rFonts w:ascii="Calibri" w:eastAsia="Times New Roman" w:hAnsi="Calibri" w:cs="Times New Roman"/>
                <w:color w:val="000000"/>
              </w:rPr>
              <w:t xml:space="preserve"> </w:t>
            </w:r>
          </w:p>
        </w:tc>
        <w:tc>
          <w:tcPr>
            <w:tcW w:w="1347" w:type="dxa"/>
            <w:tcBorders>
              <w:top w:val="nil"/>
              <w:left w:val="nil"/>
              <w:bottom w:val="nil"/>
              <w:right w:val="nil"/>
            </w:tcBorders>
            <w:shd w:val="clear" w:color="auto" w:fill="auto"/>
            <w:noWrap/>
            <w:vAlign w:val="bottom"/>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2</w:t>
            </w:r>
            <w:r w:rsidR="00F257F8">
              <w:rPr>
                <w:rFonts w:ascii="Calibri" w:eastAsia="Times New Roman" w:hAnsi="Calibri" w:cs="Times New Roman"/>
                <w:color w:val="000000"/>
              </w:rPr>
              <w:t>,</w:t>
            </w:r>
            <w:r w:rsidRPr="00291BFB">
              <w:rPr>
                <w:rFonts w:ascii="Calibri" w:eastAsia="Times New Roman" w:hAnsi="Calibri" w:cs="Times New Roman"/>
                <w:color w:val="000000"/>
              </w:rPr>
              <w:t>148</w:t>
            </w:r>
          </w:p>
        </w:tc>
        <w:tc>
          <w:tcPr>
            <w:tcW w:w="1347" w:type="dxa"/>
            <w:tcBorders>
              <w:top w:val="nil"/>
              <w:left w:val="nil"/>
              <w:bottom w:val="nil"/>
              <w:right w:val="nil"/>
            </w:tcBorders>
            <w:shd w:val="clear" w:color="auto" w:fill="auto"/>
            <w:noWrap/>
            <w:vAlign w:val="bottom"/>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1</w:t>
            </w:r>
            <w:r w:rsidR="00F257F8">
              <w:rPr>
                <w:rFonts w:ascii="Calibri" w:eastAsia="Times New Roman" w:hAnsi="Calibri" w:cs="Times New Roman"/>
                <w:color w:val="000000"/>
              </w:rPr>
              <w:t>,</w:t>
            </w:r>
            <w:r w:rsidRPr="00291BFB">
              <w:rPr>
                <w:rFonts w:ascii="Calibri" w:eastAsia="Times New Roman" w:hAnsi="Calibri" w:cs="Times New Roman"/>
                <w:color w:val="000000"/>
              </w:rPr>
              <w:t>730</w:t>
            </w:r>
          </w:p>
        </w:tc>
        <w:tc>
          <w:tcPr>
            <w:tcW w:w="1347" w:type="dxa"/>
            <w:tcBorders>
              <w:top w:val="nil"/>
              <w:left w:val="nil"/>
              <w:bottom w:val="nil"/>
              <w:right w:val="single" w:sz="8" w:space="0" w:color="auto"/>
            </w:tcBorders>
            <w:shd w:val="clear" w:color="auto" w:fill="auto"/>
            <w:noWrap/>
            <w:vAlign w:val="bottom"/>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1</w:t>
            </w:r>
            <w:r w:rsidR="00F257F8">
              <w:rPr>
                <w:rFonts w:ascii="Calibri" w:eastAsia="Times New Roman" w:hAnsi="Calibri" w:cs="Times New Roman"/>
                <w:color w:val="000000"/>
              </w:rPr>
              <w:t>,</w:t>
            </w:r>
            <w:r>
              <w:rPr>
                <w:rFonts w:ascii="Calibri" w:eastAsia="Times New Roman" w:hAnsi="Calibri" w:cs="Times New Roman"/>
                <w:color w:val="000000"/>
              </w:rPr>
              <w:t>592</w:t>
            </w:r>
          </w:p>
        </w:tc>
      </w:tr>
      <w:tr w:rsidR="000430A4" w:rsidRPr="00291BFB" w:rsidTr="002F32F0">
        <w:trPr>
          <w:trHeight w:val="218"/>
        </w:trPr>
        <w:tc>
          <w:tcPr>
            <w:tcW w:w="5468" w:type="dxa"/>
            <w:tcBorders>
              <w:top w:val="nil"/>
              <w:left w:val="single" w:sz="8" w:space="0" w:color="auto"/>
              <w:bottom w:val="nil"/>
              <w:right w:val="nil"/>
            </w:tcBorders>
            <w:shd w:val="clear" w:color="auto" w:fill="auto"/>
            <w:noWrap/>
            <w:vAlign w:val="bottom"/>
            <w:hideMark/>
          </w:tcPr>
          <w:p w:rsidR="000430A4" w:rsidRPr="00291BFB" w:rsidRDefault="000430A4" w:rsidP="002F32F0">
            <w:pPr>
              <w:spacing w:after="0" w:line="240" w:lineRule="auto"/>
              <w:rPr>
                <w:rFonts w:ascii="Calibri" w:eastAsia="Times New Roman" w:hAnsi="Calibri" w:cs="Times New Roman"/>
                <w:color w:val="000000"/>
              </w:rPr>
            </w:pPr>
            <w:r w:rsidRPr="00291BFB">
              <w:rPr>
                <w:rFonts w:ascii="Calibri" w:eastAsia="Times New Roman" w:hAnsi="Calibri" w:cs="Times New Roman"/>
                <w:color w:val="000000"/>
              </w:rPr>
              <w:t>Total number of completed requests</w:t>
            </w:r>
          </w:p>
        </w:tc>
        <w:tc>
          <w:tcPr>
            <w:tcW w:w="1347" w:type="dxa"/>
            <w:tcBorders>
              <w:top w:val="nil"/>
              <w:left w:val="nil"/>
              <w:bottom w:val="nil"/>
              <w:right w:val="nil"/>
            </w:tcBorders>
            <w:shd w:val="clear" w:color="auto" w:fill="auto"/>
            <w:noWrap/>
            <w:vAlign w:val="bottom"/>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1</w:t>
            </w:r>
            <w:r w:rsidR="00F257F8">
              <w:rPr>
                <w:rFonts w:ascii="Calibri" w:eastAsia="Times New Roman" w:hAnsi="Calibri" w:cs="Times New Roman"/>
                <w:color w:val="000000"/>
              </w:rPr>
              <w:t>,</w:t>
            </w:r>
            <w:r w:rsidRPr="00291BFB">
              <w:rPr>
                <w:rFonts w:ascii="Calibri" w:eastAsia="Times New Roman" w:hAnsi="Calibri" w:cs="Times New Roman"/>
                <w:color w:val="000000"/>
              </w:rPr>
              <w:t>689</w:t>
            </w:r>
          </w:p>
        </w:tc>
        <w:tc>
          <w:tcPr>
            <w:tcW w:w="1347" w:type="dxa"/>
            <w:tcBorders>
              <w:top w:val="nil"/>
              <w:left w:val="nil"/>
              <w:bottom w:val="nil"/>
              <w:right w:val="nil"/>
            </w:tcBorders>
            <w:shd w:val="clear" w:color="auto" w:fill="auto"/>
            <w:noWrap/>
            <w:vAlign w:val="bottom"/>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1</w:t>
            </w:r>
            <w:r w:rsidR="00F257F8">
              <w:rPr>
                <w:rFonts w:ascii="Calibri" w:eastAsia="Times New Roman" w:hAnsi="Calibri" w:cs="Times New Roman"/>
                <w:color w:val="000000"/>
              </w:rPr>
              <w:t>,</w:t>
            </w:r>
            <w:r w:rsidRPr="00291BFB">
              <w:rPr>
                <w:rFonts w:ascii="Calibri" w:eastAsia="Times New Roman" w:hAnsi="Calibri" w:cs="Times New Roman"/>
                <w:color w:val="000000"/>
              </w:rPr>
              <w:t>446</w:t>
            </w:r>
          </w:p>
        </w:tc>
        <w:tc>
          <w:tcPr>
            <w:tcW w:w="1347" w:type="dxa"/>
            <w:tcBorders>
              <w:top w:val="nil"/>
              <w:left w:val="nil"/>
              <w:bottom w:val="nil"/>
              <w:right w:val="single" w:sz="8" w:space="0" w:color="auto"/>
            </w:tcBorders>
            <w:shd w:val="clear" w:color="auto" w:fill="auto"/>
            <w:noWrap/>
            <w:vAlign w:val="bottom"/>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1</w:t>
            </w:r>
            <w:r w:rsidR="00F257F8">
              <w:rPr>
                <w:rFonts w:ascii="Calibri" w:eastAsia="Times New Roman" w:hAnsi="Calibri" w:cs="Times New Roman"/>
                <w:color w:val="000000"/>
              </w:rPr>
              <w:t>,</w:t>
            </w:r>
            <w:r w:rsidRPr="00291BFB">
              <w:rPr>
                <w:rFonts w:ascii="Calibri" w:eastAsia="Times New Roman" w:hAnsi="Calibri" w:cs="Times New Roman"/>
                <w:color w:val="000000"/>
              </w:rPr>
              <w:t>420</w:t>
            </w:r>
          </w:p>
        </w:tc>
      </w:tr>
      <w:tr w:rsidR="000430A4" w:rsidRPr="00291BFB" w:rsidTr="002F32F0">
        <w:trPr>
          <w:trHeight w:val="229"/>
        </w:trPr>
        <w:tc>
          <w:tcPr>
            <w:tcW w:w="5468" w:type="dxa"/>
            <w:tcBorders>
              <w:top w:val="nil"/>
              <w:left w:val="single" w:sz="8" w:space="0" w:color="auto"/>
              <w:bottom w:val="single" w:sz="8" w:space="0" w:color="auto"/>
              <w:right w:val="nil"/>
            </w:tcBorders>
            <w:shd w:val="clear" w:color="000000" w:fill="DBE5F1"/>
            <w:noWrap/>
            <w:vAlign w:val="bottom"/>
            <w:hideMark/>
          </w:tcPr>
          <w:p w:rsidR="000430A4" w:rsidRPr="00291BFB" w:rsidRDefault="000430A4" w:rsidP="002F32F0">
            <w:pPr>
              <w:spacing w:after="0" w:line="240" w:lineRule="auto"/>
              <w:rPr>
                <w:rFonts w:ascii="Calibri" w:eastAsia="Times New Roman" w:hAnsi="Calibri" w:cs="Times New Roman"/>
                <w:color w:val="000000"/>
              </w:rPr>
            </w:pPr>
            <w:r w:rsidRPr="00291BFB">
              <w:rPr>
                <w:rFonts w:ascii="Calibri" w:eastAsia="Times New Roman" w:hAnsi="Calibri" w:cs="Times New Roman"/>
                <w:color w:val="000000"/>
              </w:rPr>
              <w:t xml:space="preserve">Average number of exemptions per request </w:t>
            </w:r>
          </w:p>
        </w:tc>
        <w:tc>
          <w:tcPr>
            <w:tcW w:w="1347" w:type="dxa"/>
            <w:tcBorders>
              <w:top w:val="nil"/>
              <w:left w:val="nil"/>
              <w:bottom w:val="single" w:sz="8" w:space="0" w:color="auto"/>
              <w:right w:val="nil"/>
            </w:tcBorders>
            <w:shd w:val="clear" w:color="000000" w:fill="DBE5F1"/>
            <w:noWrap/>
            <w:vAlign w:val="bottom"/>
            <w:hideMark/>
          </w:tcPr>
          <w:p w:rsidR="000430A4" w:rsidRPr="00291BFB"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1.27</w:t>
            </w:r>
          </w:p>
        </w:tc>
        <w:tc>
          <w:tcPr>
            <w:tcW w:w="1347" w:type="dxa"/>
            <w:tcBorders>
              <w:top w:val="nil"/>
              <w:left w:val="nil"/>
              <w:bottom w:val="single" w:sz="8" w:space="0" w:color="auto"/>
              <w:right w:val="nil"/>
            </w:tcBorders>
            <w:shd w:val="clear" w:color="000000" w:fill="DBE5F1"/>
            <w:noWrap/>
            <w:vAlign w:val="bottom"/>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1.2</w:t>
            </w:r>
            <w:r>
              <w:rPr>
                <w:rFonts w:ascii="Calibri" w:eastAsia="Times New Roman" w:hAnsi="Calibri" w:cs="Times New Roman"/>
                <w:color w:val="000000"/>
              </w:rPr>
              <w:t>0</w:t>
            </w:r>
          </w:p>
        </w:tc>
        <w:tc>
          <w:tcPr>
            <w:tcW w:w="1347" w:type="dxa"/>
            <w:tcBorders>
              <w:top w:val="nil"/>
              <w:left w:val="nil"/>
              <w:bottom w:val="single" w:sz="8" w:space="0" w:color="auto"/>
              <w:right w:val="single" w:sz="8" w:space="0" w:color="auto"/>
            </w:tcBorders>
            <w:shd w:val="clear" w:color="000000" w:fill="DBE5F1"/>
            <w:noWrap/>
            <w:vAlign w:val="bottom"/>
            <w:hideMark/>
          </w:tcPr>
          <w:p w:rsidR="000430A4" w:rsidRPr="00291BFB" w:rsidRDefault="000430A4" w:rsidP="002F32F0">
            <w:pPr>
              <w:spacing w:after="0" w:line="240" w:lineRule="auto"/>
              <w:jc w:val="center"/>
              <w:rPr>
                <w:rFonts w:ascii="Calibri" w:eastAsia="Times New Roman" w:hAnsi="Calibri" w:cs="Times New Roman"/>
                <w:color w:val="000000"/>
              </w:rPr>
            </w:pPr>
            <w:r w:rsidRPr="00291BFB">
              <w:rPr>
                <w:rFonts w:ascii="Calibri" w:eastAsia="Times New Roman" w:hAnsi="Calibri" w:cs="Times New Roman"/>
                <w:color w:val="000000"/>
              </w:rPr>
              <w:t>1.1</w:t>
            </w:r>
            <w:r>
              <w:rPr>
                <w:rFonts w:ascii="Calibri" w:eastAsia="Times New Roman" w:hAnsi="Calibri" w:cs="Times New Roman"/>
                <w:color w:val="000000"/>
              </w:rPr>
              <w:t>2</w:t>
            </w:r>
          </w:p>
        </w:tc>
      </w:tr>
    </w:tbl>
    <w:p w:rsidR="000430A4" w:rsidRPr="00E82A11" w:rsidRDefault="000430A4" w:rsidP="000430A4">
      <w:pPr>
        <w:pStyle w:val="Heading2"/>
        <w:spacing w:before="240"/>
      </w:pPr>
      <w:r w:rsidRPr="00E82A11">
        <w:t>Complaints at the OIC</w:t>
      </w:r>
    </w:p>
    <w:p w:rsidR="000430A4" w:rsidRPr="00212730" w:rsidRDefault="000430A4" w:rsidP="000430A4">
      <w:pPr>
        <w:jc w:val="both"/>
        <w:rPr>
          <w:sz w:val="24"/>
          <w:szCs w:val="24"/>
        </w:rPr>
      </w:pPr>
      <w:r w:rsidRPr="00EF6B67">
        <w:t>The number of complaints received</w:t>
      </w:r>
      <w:r>
        <w:rPr>
          <w:rStyle w:val="FootnoteReference"/>
        </w:rPr>
        <w:footnoteReference w:id="28"/>
      </w:r>
      <w:r w:rsidRPr="00EF6B67">
        <w:t xml:space="preserve"> against HC increased from 48 in 2013-2014 to 65 in 2014-2015. The number of administrative complaints was 26, which is similar to 2013-2014, while the number of refusal complaints increased from 22 to 39. In 2014-2015, 24 complaints were well-founded resolved, 16 were discontinued and 23 were pending resolution.</w:t>
      </w:r>
    </w:p>
    <w:p w:rsidR="000430A4" w:rsidRPr="008F4A1A" w:rsidRDefault="000430A4" w:rsidP="000430A4">
      <w:pPr>
        <w:pStyle w:val="Heading1"/>
      </w:pPr>
      <w:r w:rsidRPr="008F4A1A">
        <w:lastRenderedPageBreak/>
        <w:t>Environment and Climate Change Canada</w:t>
      </w:r>
    </w:p>
    <w:p w:rsidR="000430A4" w:rsidRPr="008F4A1A" w:rsidRDefault="000430A4" w:rsidP="000430A4">
      <w:pPr>
        <w:pStyle w:val="Heading2"/>
      </w:pPr>
      <w:r w:rsidRPr="008F4A1A">
        <w:t>Overall performance</w:t>
      </w:r>
      <w:r>
        <w:rPr>
          <w:rStyle w:val="FootnoteReference"/>
        </w:rPr>
        <w:footnoteReference w:id="29"/>
      </w:r>
    </w:p>
    <w:p w:rsidR="000430A4" w:rsidRDefault="000430A4" w:rsidP="000430A4">
      <w:pPr>
        <w:jc w:val="both"/>
      </w:pPr>
      <w:r>
        <w:t xml:space="preserve">In 2014-2015, </w:t>
      </w:r>
      <w:r w:rsidRPr="00DE05D2">
        <w:t xml:space="preserve">Environment and Climate Change Canada (ECCC) </w:t>
      </w:r>
      <w:r>
        <w:t xml:space="preserve">reported receiving </w:t>
      </w:r>
      <w:r w:rsidRPr="00DE05D2">
        <w:t>more requests than the last reporting period and also showed a slight decrease in performance. This report provides comparative statistics for the last three periods (2012-2015).</w:t>
      </w:r>
      <w:r w:rsidRPr="00DE05D2">
        <w:rPr>
          <w:rStyle w:val="FootnoteReference"/>
        </w:rPr>
        <w:footnoteReference w:id="30"/>
      </w:r>
    </w:p>
    <w:p w:rsidR="000430A4" w:rsidRPr="008F4A1A" w:rsidRDefault="000430A4" w:rsidP="000430A4">
      <w:pPr>
        <w:pStyle w:val="Heading2"/>
      </w:pPr>
      <w:r w:rsidRPr="008F4A1A">
        <w:t>Workload</w:t>
      </w:r>
    </w:p>
    <w:p w:rsidR="000430A4" w:rsidRDefault="000430A4" w:rsidP="000430A4">
      <w:pPr>
        <w:jc w:val="both"/>
      </w:pPr>
      <w:r w:rsidRPr="00E40752">
        <w:t>EC</w:t>
      </w:r>
      <w:r>
        <w:t>CC</w:t>
      </w:r>
      <w:r w:rsidRPr="00E40752">
        <w:t xml:space="preserve"> </w:t>
      </w:r>
      <w:r>
        <w:t xml:space="preserve">received a total of 1,488 requests under the </w:t>
      </w:r>
      <w:r w:rsidRPr="00212031">
        <w:rPr>
          <w:i/>
        </w:rPr>
        <w:t>Access to Information Act</w:t>
      </w:r>
      <w:r>
        <w:t xml:space="preserve"> (the Act), </w:t>
      </w:r>
      <w:r w:rsidRPr="00E40752">
        <w:t xml:space="preserve">representing </w:t>
      </w:r>
      <w:r>
        <w:t>2.2</w:t>
      </w:r>
      <w:r w:rsidRPr="00E40752">
        <w:t xml:space="preserve">% of total requests received </w:t>
      </w:r>
      <w:r>
        <w:t>across government</w:t>
      </w:r>
      <w:r w:rsidRPr="00E40752">
        <w:t xml:space="preserve"> in 2014-2015. </w:t>
      </w:r>
      <w:r>
        <w:t>In 2013-2014, ECCC received 1,459 requests.</w:t>
      </w:r>
    </w:p>
    <w:p w:rsidR="000430A4" w:rsidRPr="003277CF" w:rsidRDefault="000430A4" w:rsidP="000430A4">
      <w:pPr>
        <w:pStyle w:val="FootnoteText"/>
        <w:spacing w:after="200" w:line="276" w:lineRule="auto"/>
        <w:jc w:val="both"/>
        <w:rPr>
          <w:sz w:val="22"/>
          <w:szCs w:val="22"/>
        </w:rPr>
      </w:pPr>
      <w:r w:rsidRPr="003277CF">
        <w:rPr>
          <w:sz w:val="22"/>
          <w:szCs w:val="22"/>
        </w:rPr>
        <w:t xml:space="preserve">The majority of requests received were from the business sector (71.1%), followed by the media (12.7%). </w:t>
      </w:r>
      <w:r>
        <w:rPr>
          <w:sz w:val="22"/>
          <w:szCs w:val="22"/>
        </w:rPr>
        <w:t xml:space="preserve">The number of requests from </w:t>
      </w:r>
      <w:r w:rsidRPr="003277CF">
        <w:rPr>
          <w:sz w:val="22"/>
          <w:szCs w:val="22"/>
        </w:rPr>
        <w:t xml:space="preserve">business increased by </w:t>
      </w:r>
      <w:r>
        <w:rPr>
          <w:sz w:val="22"/>
          <w:szCs w:val="22"/>
        </w:rPr>
        <w:t>20.8%, while a decrease</w:t>
      </w:r>
      <w:r w:rsidRPr="003277CF">
        <w:rPr>
          <w:sz w:val="22"/>
          <w:szCs w:val="22"/>
        </w:rPr>
        <w:t xml:space="preserve"> </w:t>
      </w:r>
      <w:r>
        <w:rPr>
          <w:sz w:val="22"/>
          <w:szCs w:val="22"/>
        </w:rPr>
        <w:t>of</w:t>
      </w:r>
      <w:r w:rsidRPr="003277CF">
        <w:rPr>
          <w:sz w:val="22"/>
          <w:szCs w:val="22"/>
        </w:rPr>
        <w:t xml:space="preserve"> </w:t>
      </w:r>
      <w:r>
        <w:rPr>
          <w:sz w:val="22"/>
          <w:szCs w:val="22"/>
        </w:rPr>
        <w:t>53.8% and 37.5</w:t>
      </w:r>
      <w:r w:rsidRPr="003277CF">
        <w:rPr>
          <w:sz w:val="22"/>
          <w:szCs w:val="22"/>
        </w:rPr>
        <w:t>%</w:t>
      </w:r>
      <w:r>
        <w:rPr>
          <w:sz w:val="22"/>
          <w:szCs w:val="22"/>
        </w:rPr>
        <w:t xml:space="preserve"> was observed in the number of requests received from organizations and the public,</w:t>
      </w:r>
      <w:r w:rsidRPr="003277CF">
        <w:rPr>
          <w:sz w:val="22"/>
          <w:szCs w:val="22"/>
        </w:rPr>
        <w:t xml:space="preserve"> respectively</w:t>
      </w:r>
      <w:r>
        <w:rPr>
          <w:sz w:val="22"/>
          <w:szCs w:val="22"/>
        </w:rPr>
        <w:t>.</w:t>
      </w:r>
    </w:p>
    <w:p w:rsidR="000430A4" w:rsidRDefault="000430A4" w:rsidP="000430A4">
      <w:pPr>
        <w:jc w:val="both"/>
      </w:pPr>
      <w:r w:rsidRPr="00D46F50">
        <w:t>EC</w:t>
      </w:r>
      <w:r w:rsidRPr="00DE05D2">
        <w:t>CC completed 1,452 requests this reporting period. The institution’s completion rate</w:t>
      </w:r>
      <w:r w:rsidRPr="00DE05D2">
        <w:rPr>
          <w:rStyle w:val="FootnoteReference"/>
        </w:rPr>
        <w:footnoteReference w:id="31"/>
      </w:r>
      <w:r w:rsidRPr="00DE05D2">
        <w:t xml:space="preserve"> was 84.5%, which is approximate to the government-wide rate of 85.1% for 2014-2015. In 2013-2014, the completion rate for ECCC was 86.4%. ECCC also </w:t>
      </w:r>
      <w:r>
        <w:t>completed</w:t>
      </w:r>
      <w:r w:rsidRPr="00DE05D2">
        <w:t xml:space="preserve"> 69 informal requests</w:t>
      </w:r>
      <w:r>
        <w:rPr>
          <w:rStyle w:val="FootnoteReference"/>
        </w:rPr>
        <w:footnoteReference w:id="32"/>
      </w:r>
      <w:r w:rsidRPr="00DE05D2">
        <w:t xml:space="preserve"> </w:t>
      </w:r>
      <w:r>
        <w:t>in 2014-2015,</w:t>
      </w:r>
      <w:r w:rsidRPr="00DE05D2">
        <w:t xml:space="preserve"> </w:t>
      </w:r>
      <w:r>
        <w:t>94.2</w:t>
      </w:r>
      <w:r w:rsidRPr="00DE05D2">
        <w:t>% of these within 30 days. The numbe</w:t>
      </w:r>
      <w:r>
        <w:t>r of consultations received by ECC</w:t>
      </w:r>
      <w:r w:rsidRPr="00DE05D2">
        <w:t>C from other government institutions increased from 175 to 200, presenting an increase of 14.3% compared to 2013-2014.</w:t>
      </w:r>
    </w:p>
    <w:p w:rsidR="000430A4" w:rsidRDefault="000430A4" w:rsidP="000430A4">
      <w:pPr>
        <w:jc w:val="both"/>
      </w:pPr>
      <w:r>
        <w:t xml:space="preserve">In 2014-2015, ECCC processed 110,557 pages. </w:t>
      </w:r>
      <w:r w:rsidRPr="00E855B7">
        <w:t>The average number of pages process</w:t>
      </w:r>
      <w:r>
        <w:t>ed per completed request decreased</w:t>
      </w:r>
      <w:r w:rsidRPr="00E855B7">
        <w:t xml:space="preserve"> from </w:t>
      </w:r>
      <w:r>
        <w:t>295</w:t>
      </w:r>
      <w:r w:rsidRPr="00E855B7">
        <w:t xml:space="preserve"> in 2013-2014 to </w:t>
      </w:r>
      <w:r>
        <w:t xml:space="preserve">192 </w:t>
      </w:r>
      <w:r w:rsidRPr="00E855B7">
        <w:t>in 2014-2015.</w:t>
      </w:r>
    </w:p>
    <w:p w:rsidR="000430A4" w:rsidRDefault="000430A4" w:rsidP="000430A4">
      <w:pPr>
        <w:jc w:val="both"/>
      </w:pPr>
      <w:r w:rsidRPr="00E855B7">
        <w:t>The information released by EC</w:t>
      </w:r>
      <w:r>
        <w:t>CC</w:t>
      </w:r>
      <w:r w:rsidRPr="00E855B7">
        <w:t xml:space="preserve"> was mostly in </w:t>
      </w:r>
      <w:r>
        <w:t>paper</w:t>
      </w:r>
      <w:r w:rsidRPr="00E855B7">
        <w:t xml:space="preserve"> format</w:t>
      </w:r>
      <w:r>
        <w:t>: 353 requests in paper</w:t>
      </w:r>
      <w:r w:rsidRPr="00E855B7">
        <w:t xml:space="preserve"> compared to </w:t>
      </w:r>
      <w:r>
        <w:t>110</w:t>
      </w:r>
      <w:r w:rsidRPr="00E855B7">
        <w:t xml:space="preserve"> </w:t>
      </w:r>
      <w:r>
        <w:t>in electronic</w:t>
      </w:r>
      <w:r w:rsidRPr="00E855B7">
        <w:t xml:space="preserve"> format. </w:t>
      </w:r>
      <w:r>
        <w:t>This is similar to the previous year (329 requests in paper format compared to 89 in electronic format).</w:t>
      </w:r>
    </w:p>
    <w:p w:rsidR="000430A4" w:rsidRPr="008F4A1A" w:rsidRDefault="000430A4" w:rsidP="000430A4">
      <w:pPr>
        <w:pStyle w:val="Heading3"/>
      </w:pPr>
      <w:r w:rsidRPr="008F4A1A">
        <w:t>Table 1: Workload</w:t>
      </w:r>
    </w:p>
    <w:tbl>
      <w:tblPr>
        <w:tblW w:w="9550" w:type="dxa"/>
        <w:tblInd w:w="98" w:type="dxa"/>
        <w:tblLook w:val="04A0"/>
      </w:tblPr>
      <w:tblGrid>
        <w:gridCol w:w="4447"/>
        <w:gridCol w:w="1439"/>
        <w:gridCol w:w="1732"/>
        <w:gridCol w:w="1932"/>
      </w:tblGrid>
      <w:tr w:rsidR="000430A4" w:rsidRPr="008D55FB" w:rsidTr="002F32F0">
        <w:trPr>
          <w:trHeight w:val="233"/>
        </w:trPr>
        <w:tc>
          <w:tcPr>
            <w:tcW w:w="4447" w:type="dxa"/>
            <w:tcBorders>
              <w:top w:val="single" w:sz="4" w:space="0" w:color="auto"/>
              <w:left w:val="single" w:sz="4" w:space="0" w:color="auto"/>
              <w:bottom w:val="single" w:sz="8" w:space="0" w:color="auto"/>
              <w:right w:val="nil"/>
            </w:tcBorders>
            <w:shd w:val="clear" w:color="auto" w:fill="auto"/>
            <w:noWrap/>
            <w:vAlign w:val="bottom"/>
            <w:hideMark/>
          </w:tcPr>
          <w:p w:rsidR="000430A4" w:rsidRPr="008D55FB" w:rsidRDefault="000430A4" w:rsidP="002F32F0">
            <w:pPr>
              <w:spacing w:after="0" w:line="240" w:lineRule="auto"/>
              <w:rPr>
                <w:rFonts w:ascii="Calibri" w:eastAsia="Times New Roman" w:hAnsi="Calibri" w:cs="Times New Roman"/>
                <w:color w:val="000000"/>
              </w:rPr>
            </w:pPr>
            <w:r w:rsidRPr="008D55FB">
              <w:rPr>
                <w:rFonts w:ascii="Calibri" w:eastAsia="Times New Roman" w:hAnsi="Calibri" w:cs="Times New Roman"/>
                <w:color w:val="000000"/>
              </w:rPr>
              <w:t xml:space="preserve">Measures </w:t>
            </w:r>
          </w:p>
        </w:tc>
        <w:tc>
          <w:tcPr>
            <w:tcW w:w="1439" w:type="dxa"/>
            <w:tcBorders>
              <w:top w:val="single" w:sz="4" w:space="0" w:color="auto"/>
              <w:left w:val="nil"/>
              <w:bottom w:val="single" w:sz="8" w:space="0" w:color="auto"/>
              <w:right w:val="nil"/>
            </w:tcBorders>
            <w:shd w:val="clear" w:color="auto" w:fill="auto"/>
            <w:noWrap/>
            <w:vAlign w:val="bottom"/>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2012-2013</w:t>
            </w:r>
          </w:p>
        </w:tc>
        <w:tc>
          <w:tcPr>
            <w:tcW w:w="1732" w:type="dxa"/>
            <w:tcBorders>
              <w:top w:val="single" w:sz="4" w:space="0" w:color="auto"/>
              <w:left w:val="nil"/>
              <w:bottom w:val="single" w:sz="8" w:space="0" w:color="auto"/>
              <w:right w:val="nil"/>
            </w:tcBorders>
            <w:shd w:val="clear" w:color="auto" w:fill="auto"/>
            <w:noWrap/>
            <w:vAlign w:val="bottom"/>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2013-2014</w:t>
            </w:r>
          </w:p>
        </w:tc>
        <w:tc>
          <w:tcPr>
            <w:tcW w:w="1932" w:type="dxa"/>
            <w:tcBorders>
              <w:top w:val="single" w:sz="4" w:space="0" w:color="auto"/>
              <w:left w:val="nil"/>
              <w:bottom w:val="single" w:sz="8" w:space="0" w:color="auto"/>
              <w:right w:val="single" w:sz="4" w:space="0" w:color="auto"/>
            </w:tcBorders>
            <w:shd w:val="clear" w:color="auto" w:fill="auto"/>
            <w:noWrap/>
            <w:vAlign w:val="bottom"/>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2014-2015</w:t>
            </w:r>
          </w:p>
        </w:tc>
      </w:tr>
      <w:tr w:rsidR="000430A4" w:rsidRPr="008D55FB" w:rsidTr="002F32F0">
        <w:trPr>
          <w:trHeight w:val="222"/>
        </w:trPr>
        <w:tc>
          <w:tcPr>
            <w:tcW w:w="4447" w:type="dxa"/>
            <w:tcBorders>
              <w:top w:val="nil"/>
              <w:left w:val="single" w:sz="4" w:space="0" w:color="auto"/>
              <w:bottom w:val="nil"/>
              <w:right w:val="nil"/>
            </w:tcBorders>
            <w:shd w:val="clear" w:color="000000" w:fill="DBE5F1"/>
            <w:noWrap/>
            <w:hideMark/>
          </w:tcPr>
          <w:p w:rsidR="000430A4" w:rsidRPr="008D55FB" w:rsidRDefault="000430A4" w:rsidP="002F32F0">
            <w:pPr>
              <w:spacing w:after="0" w:line="240" w:lineRule="auto"/>
              <w:rPr>
                <w:rFonts w:ascii="Calibri" w:eastAsia="Times New Roman" w:hAnsi="Calibri" w:cs="Times New Roman"/>
                <w:color w:val="000000"/>
              </w:rPr>
            </w:pPr>
            <w:r w:rsidRPr="008D55FB">
              <w:rPr>
                <w:rFonts w:ascii="Calibri" w:eastAsia="Times New Roman" w:hAnsi="Calibri" w:cs="Times New Roman"/>
                <w:color w:val="000000"/>
              </w:rPr>
              <w:t xml:space="preserve">Number of requests received </w:t>
            </w:r>
          </w:p>
        </w:tc>
        <w:tc>
          <w:tcPr>
            <w:tcW w:w="1439" w:type="dxa"/>
            <w:tcBorders>
              <w:top w:val="nil"/>
              <w:left w:val="nil"/>
              <w:bottom w:val="nil"/>
              <w:right w:val="nil"/>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8D55FB">
              <w:rPr>
                <w:rFonts w:ascii="Calibri" w:eastAsia="Times New Roman" w:hAnsi="Calibri" w:cs="Times New Roman"/>
                <w:b/>
                <w:bCs/>
                <w:color w:val="000000"/>
              </w:rPr>
              <w:t>827</w:t>
            </w:r>
          </w:p>
        </w:tc>
        <w:tc>
          <w:tcPr>
            <w:tcW w:w="1732" w:type="dxa"/>
            <w:tcBorders>
              <w:top w:val="nil"/>
              <w:left w:val="nil"/>
              <w:bottom w:val="nil"/>
              <w:right w:val="nil"/>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8D55FB">
              <w:rPr>
                <w:rFonts w:ascii="Calibri" w:eastAsia="Times New Roman" w:hAnsi="Calibri" w:cs="Times New Roman"/>
                <w:b/>
                <w:bCs/>
                <w:color w:val="000000"/>
              </w:rPr>
              <w:t>459</w:t>
            </w:r>
          </w:p>
        </w:tc>
        <w:tc>
          <w:tcPr>
            <w:tcW w:w="1932" w:type="dxa"/>
            <w:tcBorders>
              <w:top w:val="nil"/>
              <w:left w:val="nil"/>
              <w:bottom w:val="nil"/>
              <w:right w:val="single" w:sz="4" w:space="0" w:color="auto"/>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8D55FB">
              <w:rPr>
                <w:rFonts w:ascii="Calibri" w:eastAsia="Times New Roman" w:hAnsi="Calibri" w:cs="Times New Roman"/>
                <w:b/>
                <w:bCs/>
                <w:color w:val="000000"/>
              </w:rPr>
              <w:t>488</w:t>
            </w:r>
          </w:p>
        </w:tc>
      </w:tr>
      <w:tr w:rsidR="000430A4" w:rsidRPr="008D55FB" w:rsidTr="002F32F0">
        <w:trPr>
          <w:trHeight w:val="222"/>
        </w:trPr>
        <w:tc>
          <w:tcPr>
            <w:tcW w:w="4447" w:type="dxa"/>
            <w:tcBorders>
              <w:top w:val="nil"/>
              <w:left w:val="single" w:sz="4" w:space="0" w:color="auto"/>
              <w:bottom w:val="nil"/>
              <w:right w:val="nil"/>
            </w:tcBorders>
            <w:shd w:val="clear" w:color="auto" w:fill="auto"/>
            <w:hideMark/>
          </w:tcPr>
          <w:p w:rsidR="000430A4" w:rsidRPr="008D55FB" w:rsidRDefault="000430A4" w:rsidP="002F32F0">
            <w:pPr>
              <w:spacing w:after="0" w:line="240" w:lineRule="auto"/>
              <w:rPr>
                <w:rFonts w:ascii="Calibri" w:eastAsia="Times New Roman" w:hAnsi="Calibri" w:cs="Times New Roman"/>
                <w:color w:val="000000"/>
              </w:rPr>
            </w:pPr>
            <w:r w:rsidRPr="008D55FB">
              <w:rPr>
                <w:rFonts w:ascii="Calibri" w:eastAsia="Times New Roman" w:hAnsi="Calibri" w:cs="Times New Roman"/>
                <w:color w:val="000000"/>
              </w:rPr>
              <w:t>Annual change (%)</w:t>
            </w:r>
          </w:p>
        </w:tc>
        <w:tc>
          <w:tcPr>
            <w:tcW w:w="1439" w:type="dxa"/>
            <w:tcBorders>
              <w:top w:val="nil"/>
              <w:left w:val="nil"/>
              <w:bottom w:val="nil"/>
              <w:right w:val="nil"/>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w:t>
            </w:r>
          </w:p>
        </w:tc>
        <w:tc>
          <w:tcPr>
            <w:tcW w:w="1732" w:type="dxa"/>
            <w:tcBorders>
              <w:top w:val="nil"/>
              <w:left w:val="nil"/>
              <w:bottom w:val="nil"/>
              <w:right w:val="nil"/>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-20.1%</w:t>
            </w:r>
          </w:p>
        </w:tc>
        <w:tc>
          <w:tcPr>
            <w:tcW w:w="1932" w:type="dxa"/>
            <w:tcBorders>
              <w:top w:val="nil"/>
              <w:left w:val="nil"/>
              <w:bottom w:val="nil"/>
              <w:right w:val="single" w:sz="4" w:space="0" w:color="auto"/>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2.0%</w:t>
            </w:r>
          </w:p>
        </w:tc>
      </w:tr>
      <w:tr w:rsidR="000430A4" w:rsidRPr="008D55FB" w:rsidTr="002F32F0">
        <w:trPr>
          <w:trHeight w:val="222"/>
        </w:trPr>
        <w:tc>
          <w:tcPr>
            <w:tcW w:w="4447" w:type="dxa"/>
            <w:tcBorders>
              <w:top w:val="nil"/>
              <w:left w:val="single" w:sz="4" w:space="0" w:color="auto"/>
              <w:right w:val="nil"/>
            </w:tcBorders>
            <w:shd w:val="clear" w:color="000000" w:fill="DBE5F1"/>
            <w:hideMark/>
          </w:tcPr>
          <w:p w:rsidR="000430A4" w:rsidRPr="008D55FB" w:rsidRDefault="000430A4" w:rsidP="002F32F0">
            <w:pPr>
              <w:spacing w:after="0" w:line="240" w:lineRule="auto"/>
              <w:rPr>
                <w:rFonts w:ascii="Calibri" w:eastAsia="Times New Roman" w:hAnsi="Calibri" w:cs="Times New Roman"/>
                <w:color w:val="000000"/>
              </w:rPr>
            </w:pPr>
            <w:r w:rsidRPr="008D55FB">
              <w:rPr>
                <w:rFonts w:ascii="Calibri" w:eastAsia="Times New Roman" w:hAnsi="Calibri" w:cs="Times New Roman"/>
                <w:color w:val="000000"/>
              </w:rPr>
              <w:t>Completed requests</w:t>
            </w:r>
          </w:p>
        </w:tc>
        <w:tc>
          <w:tcPr>
            <w:tcW w:w="1439" w:type="dxa"/>
            <w:tcBorders>
              <w:top w:val="nil"/>
              <w:left w:val="nil"/>
              <w:right w:val="nil"/>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8D55FB">
              <w:rPr>
                <w:rFonts w:ascii="Calibri" w:eastAsia="Times New Roman" w:hAnsi="Calibri" w:cs="Times New Roman"/>
                <w:b/>
                <w:bCs/>
                <w:color w:val="000000"/>
              </w:rPr>
              <w:t>810</w:t>
            </w:r>
          </w:p>
        </w:tc>
        <w:tc>
          <w:tcPr>
            <w:tcW w:w="1732" w:type="dxa"/>
            <w:tcBorders>
              <w:top w:val="nil"/>
              <w:left w:val="nil"/>
              <w:right w:val="nil"/>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8D55FB">
              <w:rPr>
                <w:rFonts w:ascii="Calibri" w:eastAsia="Times New Roman" w:hAnsi="Calibri" w:cs="Times New Roman"/>
                <w:b/>
                <w:bCs/>
                <w:color w:val="000000"/>
              </w:rPr>
              <w:t>424</w:t>
            </w:r>
          </w:p>
        </w:tc>
        <w:tc>
          <w:tcPr>
            <w:tcW w:w="1932" w:type="dxa"/>
            <w:tcBorders>
              <w:top w:val="nil"/>
              <w:left w:val="nil"/>
              <w:right w:val="single" w:sz="4" w:space="0" w:color="auto"/>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1</w:t>
            </w:r>
            <w:r w:rsidR="00F257F8">
              <w:rPr>
                <w:rFonts w:ascii="Calibri" w:eastAsia="Times New Roman" w:hAnsi="Calibri" w:cs="Times New Roman"/>
                <w:b/>
                <w:bCs/>
                <w:color w:val="000000"/>
              </w:rPr>
              <w:t>,</w:t>
            </w:r>
            <w:r w:rsidRPr="008D55FB">
              <w:rPr>
                <w:rFonts w:ascii="Calibri" w:eastAsia="Times New Roman" w:hAnsi="Calibri" w:cs="Times New Roman"/>
                <w:b/>
                <w:bCs/>
                <w:color w:val="000000"/>
              </w:rPr>
              <w:t>452</w:t>
            </w:r>
          </w:p>
        </w:tc>
      </w:tr>
      <w:tr w:rsidR="000430A4" w:rsidRPr="008D55FB" w:rsidTr="002F32F0">
        <w:trPr>
          <w:trHeight w:val="233"/>
        </w:trPr>
        <w:tc>
          <w:tcPr>
            <w:tcW w:w="4447" w:type="dxa"/>
            <w:tcBorders>
              <w:top w:val="nil"/>
              <w:left w:val="single" w:sz="4" w:space="0" w:color="auto"/>
              <w:right w:val="nil"/>
            </w:tcBorders>
            <w:shd w:val="clear" w:color="auto" w:fill="auto"/>
            <w:hideMark/>
          </w:tcPr>
          <w:p w:rsidR="000430A4" w:rsidRPr="008D55FB" w:rsidRDefault="000430A4" w:rsidP="002F32F0">
            <w:pPr>
              <w:spacing w:after="0" w:line="240" w:lineRule="auto"/>
              <w:rPr>
                <w:rFonts w:ascii="Calibri" w:eastAsia="Times New Roman" w:hAnsi="Calibri" w:cs="Times New Roman"/>
                <w:color w:val="000000"/>
              </w:rPr>
            </w:pPr>
            <w:r w:rsidRPr="008D55FB">
              <w:rPr>
                <w:rFonts w:ascii="Calibri" w:eastAsia="Times New Roman" w:hAnsi="Calibri" w:cs="Times New Roman"/>
                <w:color w:val="000000"/>
              </w:rPr>
              <w:t>Annual change</w:t>
            </w:r>
            <w:r>
              <w:rPr>
                <w:rFonts w:ascii="Calibri" w:eastAsia="Times New Roman" w:hAnsi="Calibri" w:cs="Times New Roman"/>
                <w:color w:val="000000"/>
              </w:rPr>
              <w:t xml:space="preserve"> (%)</w:t>
            </w:r>
          </w:p>
        </w:tc>
        <w:tc>
          <w:tcPr>
            <w:tcW w:w="1439" w:type="dxa"/>
            <w:tcBorders>
              <w:top w:val="nil"/>
              <w:left w:val="nil"/>
              <w:right w:val="nil"/>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w:t>
            </w:r>
          </w:p>
        </w:tc>
        <w:tc>
          <w:tcPr>
            <w:tcW w:w="1732" w:type="dxa"/>
            <w:tcBorders>
              <w:top w:val="nil"/>
              <w:left w:val="nil"/>
              <w:right w:val="nil"/>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-21.3%</w:t>
            </w:r>
          </w:p>
        </w:tc>
        <w:tc>
          <w:tcPr>
            <w:tcW w:w="1932" w:type="dxa"/>
            <w:tcBorders>
              <w:top w:val="nil"/>
              <w:left w:val="nil"/>
              <w:right w:val="single" w:sz="4" w:space="0" w:color="auto"/>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2.0%</w:t>
            </w:r>
          </w:p>
        </w:tc>
      </w:tr>
      <w:tr w:rsidR="000430A4" w:rsidRPr="008D55FB" w:rsidTr="002F32F0">
        <w:trPr>
          <w:trHeight w:val="352"/>
        </w:trPr>
        <w:tc>
          <w:tcPr>
            <w:tcW w:w="4447" w:type="dxa"/>
            <w:tcBorders>
              <w:top w:val="nil"/>
              <w:left w:val="single" w:sz="4" w:space="0" w:color="auto"/>
              <w:right w:val="nil"/>
            </w:tcBorders>
            <w:shd w:val="clear" w:color="000000" w:fill="DBE5F1"/>
            <w:hideMark/>
          </w:tcPr>
          <w:p w:rsidR="000430A4" w:rsidRPr="008D55FB" w:rsidRDefault="000430A4" w:rsidP="002F32F0">
            <w:pPr>
              <w:spacing w:after="0" w:line="240" w:lineRule="auto"/>
              <w:rPr>
                <w:rFonts w:ascii="Calibri" w:eastAsia="Times New Roman" w:hAnsi="Calibri" w:cs="Times New Roman"/>
                <w:color w:val="000000"/>
              </w:rPr>
            </w:pPr>
            <w:r w:rsidRPr="008D55FB">
              <w:rPr>
                <w:rFonts w:ascii="Calibri" w:eastAsia="Times New Roman" w:hAnsi="Calibri" w:cs="Times New Roman"/>
                <w:color w:val="000000"/>
              </w:rPr>
              <w:t>Number of consultations received (from other government institutions)</w:t>
            </w:r>
          </w:p>
        </w:tc>
        <w:tc>
          <w:tcPr>
            <w:tcW w:w="1439" w:type="dxa"/>
            <w:tcBorders>
              <w:top w:val="nil"/>
              <w:left w:val="nil"/>
              <w:right w:val="nil"/>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248</w:t>
            </w:r>
          </w:p>
        </w:tc>
        <w:tc>
          <w:tcPr>
            <w:tcW w:w="1732" w:type="dxa"/>
            <w:tcBorders>
              <w:top w:val="nil"/>
              <w:left w:val="nil"/>
              <w:right w:val="nil"/>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175</w:t>
            </w:r>
          </w:p>
        </w:tc>
        <w:tc>
          <w:tcPr>
            <w:tcW w:w="1932" w:type="dxa"/>
            <w:tcBorders>
              <w:top w:val="nil"/>
              <w:left w:val="nil"/>
              <w:right w:val="single" w:sz="4" w:space="0" w:color="auto"/>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200</w:t>
            </w:r>
          </w:p>
        </w:tc>
      </w:tr>
      <w:tr w:rsidR="000430A4" w:rsidRPr="008D55FB" w:rsidTr="002F32F0">
        <w:trPr>
          <w:trHeight w:val="252"/>
        </w:trPr>
        <w:tc>
          <w:tcPr>
            <w:tcW w:w="4447" w:type="dxa"/>
            <w:tcBorders>
              <w:top w:val="nil"/>
              <w:left w:val="single" w:sz="4" w:space="0" w:color="auto"/>
              <w:bottom w:val="single" w:sz="4" w:space="0" w:color="auto"/>
              <w:right w:val="nil"/>
            </w:tcBorders>
            <w:shd w:val="clear" w:color="auto" w:fill="auto"/>
            <w:hideMark/>
          </w:tcPr>
          <w:p w:rsidR="000430A4" w:rsidRPr="008D55FB" w:rsidRDefault="000430A4" w:rsidP="002F32F0">
            <w:pPr>
              <w:spacing w:after="0" w:line="240" w:lineRule="auto"/>
              <w:rPr>
                <w:rFonts w:ascii="Calibri" w:eastAsia="Times New Roman" w:hAnsi="Calibri" w:cs="Times New Roman"/>
                <w:color w:val="000000"/>
              </w:rPr>
            </w:pPr>
            <w:r w:rsidRPr="008D55FB">
              <w:rPr>
                <w:rFonts w:ascii="Calibri" w:eastAsia="Times New Roman" w:hAnsi="Calibri" w:cs="Times New Roman"/>
                <w:color w:val="000000"/>
              </w:rPr>
              <w:t>Annual change (%)</w:t>
            </w:r>
          </w:p>
        </w:tc>
        <w:tc>
          <w:tcPr>
            <w:tcW w:w="1439" w:type="dxa"/>
            <w:tcBorders>
              <w:top w:val="nil"/>
              <w:left w:val="nil"/>
              <w:bottom w:val="single" w:sz="4" w:space="0" w:color="auto"/>
              <w:right w:val="nil"/>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w:t>
            </w:r>
          </w:p>
        </w:tc>
        <w:tc>
          <w:tcPr>
            <w:tcW w:w="1732" w:type="dxa"/>
            <w:tcBorders>
              <w:top w:val="nil"/>
              <w:left w:val="nil"/>
              <w:bottom w:val="single" w:sz="4" w:space="0" w:color="auto"/>
              <w:right w:val="nil"/>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-29.4%</w:t>
            </w:r>
          </w:p>
        </w:tc>
        <w:tc>
          <w:tcPr>
            <w:tcW w:w="1932" w:type="dxa"/>
            <w:tcBorders>
              <w:top w:val="nil"/>
              <w:left w:val="nil"/>
              <w:bottom w:val="single" w:sz="4" w:space="0" w:color="auto"/>
              <w:right w:val="single" w:sz="4" w:space="0" w:color="auto"/>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14.3%</w:t>
            </w:r>
          </w:p>
        </w:tc>
      </w:tr>
      <w:tr w:rsidR="000430A4" w:rsidRPr="008D55FB" w:rsidTr="002F32F0">
        <w:trPr>
          <w:trHeight w:val="461"/>
        </w:trPr>
        <w:tc>
          <w:tcPr>
            <w:tcW w:w="4447" w:type="dxa"/>
            <w:tcBorders>
              <w:top w:val="single" w:sz="4" w:space="0" w:color="auto"/>
              <w:left w:val="single" w:sz="4" w:space="0" w:color="auto"/>
              <w:bottom w:val="nil"/>
              <w:right w:val="nil"/>
            </w:tcBorders>
            <w:shd w:val="clear" w:color="000000" w:fill="DBE5F1"/>
            <w:hideMark/>
          </w:tcPr>
          <w:p w:rsidR="000430A4" w:rsidRPr="008D55FB" w:rsidRDefault="000430A4" w:rsidP="002F32F0">
            <w:pPr>
              <w:spacing w:after="0" w:line="240" w:lineRule="auto"/>
              <w:rPr>
                <w:rFonts w:ascii="Calibri" w:eastAsia="Times New Roman" w:hAnsi="Calibri" w:cs="Times New Roman"/>
                <w:color w:val="000000"/>
              </w:rPr>
            </w:pPr>
            <w:r w:rsidRPr="008D55FB">
              <w:rPr>
                <w:rFonts w:ascii="Calibri" w:eastAsia="Times New Roman" w:hAnsi="Calibri" w:cs="Times New Roman"/>
                <w:color w:val="000000"/>
              </w:rPr>
              <w:lastRenderedPageBreak/>
              <w:t>Average number of pages processed per request completed</w:t>
            </w:r>
          </w:p>
        </w:tc>
        <w:tc>
          <w:tcPr>
            <w:tcW w:w="1439" w:type="dxa"/>
            <w:tcBorders>
              <w:top w:val="single" w:sz="4" w:space="0" w:color="auto"/>
              <w:left w:val="nil"/>
              <w:bottom w:val="nil"/>
              <w:right w:val="nil"/>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153</w:t>
            </w:r>
          </w:p>
        </w:tc>
        <w:tc>
          <w:tcPr>
            <w:tcW w:w="1732" w:type="dxa"/>
            <w:tcBorders>
              <w:top w:val="single" w:sz="4" w:space="0" w:color="auto"/>
              <w:left w:val="nil"/>
              <w:bottom w:val="nil"/>
              <w:right w:val="nil"/>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295</w:t>
            </w:r>
          </w:p>
        </w:tc>
        <w:tc>
          <w:tcPr>
            <w:tcW w:w="1932" w:type="dxa"/>
            <w:tcBorders>
              <w:top w:val="single" w:sz="4" w:space="0" w:color="auto"/>
              <w:left w:val="nil"/>
              <w:bottom w:val="nil"/>
              <w:right w:val="single" w:sz="4" w:space="0" w:color="auto"/>
            </w:tcBorders>
            <w:shd w:val="clear" w:color="000000" w:fill="DBE5F1"/>
            <w:noWrap/>
            <w:vAlign w:val="center"/>
            <w:hideMark/>
          </w:tcPr>
          <w:p w:rsidR="000430A4" w:rsidRPr="008D55FB" w:rsidRDefault="000430A4" w:rsidP="002F32F0">
            <w:pPr>
              <w:spacing w:after="0" w:line="240" w:lineRule="auto"/>
              <w:jc w:val="center"/>
              <w:rPr>
                <w:rFonts w:ascii="Calibri" w:eastAsia="Times New Roman" w:hAnsi="Calibri" w:cs="Times New Roman"/>
                <w:b/>
                <w:bCs/>
                <w:color w:val="000000"/>
              </w:rPr>
            </w:pPr>
            <w:r w:rsidRPr="008D55FB">
              <w:rPr>
                <w:rFonts w:ascii="Calibri" w:eastAsia="Times New Roman" w:hAnsi="Calibri" w:cs="Times New Roman"/>
                <w:b/>
                <w:bCs/>
                <w:color w:val="000000"/>
              </w:rPr>
              <w:t>192</w:t>
            </w:r>
          </w:p>
        </w:tc>
      </w:tr>
      <w:tr w:rsidR="000430A4" w:rsidRPr="008D55FB" w:rsidTr="002F32F0">
        <w:trPr>
          <w:trHeight w:val="377"/>
        </w:trPr>
        <w:tc>
          <w:tcPr>
            <w:tcW w:w="4447" w:type="dxa"/>
            <w:tcBorders>
              <w:top w:val="nil"/>
              <w:left w:val="single" w:sz="4" w:space="0" w:color="auto"/>
              <w:bottom w:val="single" w:sz="4" w:space="0" w:color="auto"/>
              <w:right w:val="nil"/>
            </w:tcBorders>
            <w:shd w:val="clear" w:color="auto" w:fill="auto"/>
            <w:hideMark/>
          </w:tcPr>
          <w:p w:rsidR="000430A4" w:rsidRPr="008D55FB" w:rsidRDefault="000430A4" w:rsidP="002F32F0">
            <w:pPr>
              <w:spacing w:after="0" w:line="240" w:lineRule="auto"/>
              <w:rPr>
                <w:rFonts w:ascii="Calibri" w:eastAsia="Times New Roman" w:hAnsi="Calibri" w:cs="Times New Roman"/>
                <w:color w:val="000000"/>
              </w:rPr>
            </w:pPr>
            <w:r w:rsidRPr="008D55FB">
              <w:rPr>
                <w:rFonts w:ascii="Calibri" w:eastAsia="Times New Roman" w:hAnsi="Calibri" w:cs="Times New Roman"/>
                <w:color w:val="000000"/>
              </w:rPr>
              <w:t>% of requests for which more than 1000 pages were processed</w:t>
            </w:r>
          </w:p>
        </w:tc>
        <w:tc>
          <w:tcPr>
            <w:tcW w:w="1439" w:type="dxa"/>
            <w:tcBorders>
              <w:top w:val="nil"/>
              <w:left w:val="nil"/>
              <w:bottom w:val="single" w:sz="4" w:space="0" w:color="auto"/>
              <w:right w:val="nil"/>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3.3%</w:t>
            </w:r>
          </w:p>
        </w:tc>
        <w:tc>
          <w:tcPr>
            <w:tcW w:w="1732" w:type="dxa"/>
            <w:tcBorders>
              <w:top w:val="nil"/>
              <w:left w:val="nil"/>
              <w:bottom w:val="single" w:sz="4" w:space="0" w:color="auto"/>
              <w:right w:val="nil"/>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3.2%</w:t>
            </w:r>
          </w:p>
        </w:tc>
        <w:tc>
          <w:tcPr>
            <w:tcW w:w="1932" w:type="dxa"/>
            <w:tcBorders>
              <w:top w:val="nil"/>
              <w:left w:val="nil"/>
              <w:bottom w:val="single" w:sz="4" w:space="0" w:color="auto"/>
              <w:right w:val="single" w:sz="4" w:space="0" w:color="auto"/>
            </w:tcBorders>
            <w:shd w:val="clear" w:color="auto" w:fill="auto"/>
            <w:noWrap/>
            <w:vAlign w:val="center"/>
            <w:hideMark/>
          </w:tcPr>
          <w:p w:rsidR="000430A4" w:rsidRPr="008D55FB" w:rsidRDefault="000430A4" w:rsidP="002F32F0">
            <w:pPr>
              <w:spacing w:after="0" w:line="240" w:lineRule="auto"/>
              <w:jc w:val="center"/>
              <w:rPr>
                <w:rFonts w:ascii="Calibri" w:eastAsia="Times New Roman" w:hAnsi="Calibri" w:cs="Times New Roman"/>
                <w:color w:val="000000"/>
              </w:rPr>
            </w:pPr>
            <w:r w:rsidRPr="008D55FB">
              <w:rPr>
                <w:rFonts w:ascii="Calibri" w:eastAsia="Times New Roman" w:hAnsi="Calibri" w:cs="Times New Roman"/>
                <w:color w:val="000000"/>
              </w:rPr>
              <w:t>4.0%</w:t>
            </w:r>
          </w:p>
        </w:tc>
      </w:tr>
    </w:tbl>
    <w:p w:rsidR="000430A4" w:rsidRPr="008F4A1A" w:rsidRDefault="000430A4" w:rsidP="000430A4">
      <w:pPr>
        <w:pStyle w:val="Heading2"/>
        <w:spacing w:before="240"/>
      </w:pPr>
      <w:r w:rsidRPr="008F4A1A">
        <w:t>Request completion time</w:t>
      </w:r>
    </w:p>
    <w:p w:rsidR="000430A4" w:rsidRPr="008F4A1A" w:rsidRDefault="000430A4" w:rsidP="000430A4">
      <w:pPr>
        <w:pStyle w:val="Heading4"/>
      </w:pPr>
      <w:r w:rsidRPr="008F4A1A">
        <w:t>Timeliness</w:t>
      </w:r>
    </w:p>
    <w:p w:rsidR="000430A4" w:rsidRPr="00D2368F" w:rsidRDefault="000430A4" w:rsidP="000430A4">
      <w:pPr>
        <w:jc w:val="both"/>
      </w:pPr>
      <w:r w:rsidRPr="00D2368F">
        <w:t xml:space="preserve">Figure 1 reveals that </w:t>
      </w:r>
      <w:r>
        <w:t>72.1</w:t>
      </w:r>
      <w:r w:rsidRPr="00D2368F">
        <w:t>%</w:t>
      </w:r>
      <w:r>
        <w:t xml:space="preserve"> of requests were completed with</w:t>
      </w:r>
      <w:r w:rsidRPr="00D2368F">
        <w:t>in 30 days or less</w:t>
      </w:r>
      <w:r>
        <w:t>. This</w:t>
      </w:r>
      <w:r w:rsidRPr="00D2368F">
        <w:t xml:space="preserve"> is slightly </w:t>
      </w:r>
      <w:r>
        <w:t xml:space="preserve">lower </w:t>
      </w:r>
      <w:r w:rsidRPr="00D2368F">
        <w:t>than the results observed in 2013-2014</w:t>
      </w:r>
      <w:r>
        <w:t>, which was 75.4</w:t>
      </w:r>
      <w:r w:rsidRPr="00D2368F">
        <w:t>%.</w:t>
      </w:r>
      <w:r>
        <w:t xml:space="preserve"> The proportion of requests completed in 31 to 60 days almost doubled from 5% in 2013-2014 to 9.2% in 2014-2015. There is also a marginal reduction in the number of requests that took more than 365 days to complete.</w:t>
      </w:r>
    </w:p>
    <w:p w:rsidR="000430A4" w:rsidRPr="00CD539A" w:rsidRDefault="000430A4" w:rsidP="000430A4">
      <w:pPr>
        <w:spacing w:line="240" w:lineRule="auto"/>
        <w:rPr>
          <w:sz w:val="24"/>
          <w:szCs w:val="24"/>
        </w:rPr>
      </w:pPr>
      <w:r w:rsidRPr="00EE7658">
        <w:rPr>
          <w:rStyle w:val="Heading3Char"/>
        </w:rPr>
        <w:t>Figure 1: Request completion time</w:t>
      </w:r>
      <w:r w:rsidRPr="00FC1CB3">
        <w:rPr>
          <w:noProof/>
          <w:color w:val="FF0000"/>
          <w:sz w:val="24"/>
          <w:szCs w:val="24"/>
        </w:rPr>
        <w:drawing>
          <wp:inline distT="0" distB="0" distL="0" distR="0">
            <wp:extent cx="5947576" cy="3904090"/>
            <wp:effectExtent l="0" t="0" r="0" b="1270"/>
            <wp:docPr id="2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430A4" w:rsidRPr="00D2368F" w:rsidRDefault="000430A4" w:rsidP="000430A4">
      <w:pPr>
        <w:pStyle w:val="Heading4"/>
      </w:pPr>
      <w:r w:rsidRPr="00D2368F">
        <w:t>Extensions</w:t>
      </w:r>
    </w:p>
    <w:p w:rsidR="000430A4" w:rsidRPr="008B749F" w:rsidRDefault="000430A4" w:rsidP="000430A4">
      <w:pPr>
        <w:jc w:val="both"/>
      </w:pPr>
      <w:r w:rsidRPr="008B749F">
        <w:t>ECCC took a total of 541 extensions in 2014-2015, compared to 476 in 2013-2014. The most common reason for taking an extension was interference with operations (39.9%), followed by consultations (30.6%), and third-party notice (29.3%).</w:t>
      </w:r>
    </w:p>
    <w:p w:rsidR="000430A4" w:rsidRDefault="000430A4" w:rsidP="000430A4">
      <w:pPr>
        <w:jc w:val="both"/>
      </w:pPr>
      <w:r w:rsidRPr="00D2368F">
        <w:t xml:space="preserve">Figure 2 shows that </w:t>
      </w:r>
      <w:r>
        <w:t>37.5</w:t>
      </w:r>
      <w:r w:rsidRPr="00D2368F">
        <w:t xml:space="preserve">% of </w:t>
      </w:r>
      <w:r>
        <w:t xml:space="preserve">the </w:t>
      </w:r>
      <w:r w:rsidRPr="00D2368F">
        <w:t xml:space="preserve">extensions </w:t>
      </w:r>
      <w:r>
        <w:t>taken in 2014-2015 were for 30 days or less. This is a slight reduction of 1.5% from</w:t>
      </w:r>
      <w:r w:rsidRPr="00D2368F">
        <w:t xml:space="preserve"> 2013-2014.</w:t>
      </w:r>
      <w:r w:rsidRPr="00D2368F">
        <w:rPr>
          <w:color w:val="FF0000"/>
        </w:rPr>
        <w:t xml:space="preserve"> </w:t>
      </w:r>
      <w:r w:rsidRPr="00D2368F">
        <w:t xml:space="preserve">Figure 2 </w:t>
      </w:r>
      <w:r>
        <w:t>also shows</w:t>
      </w:r>
      <w:r w:rsidRPr="00D2368F">
        <w:t xml:space="preserve"> that the </w:t>
      </w:r>
      <w:r>
        <w:t>proportion</w:t>
      </w:r>
      <w:r w:rsidRPr="00D2368F">
        <w:t xml:space="preserve"> of </w:t>
      </w:r>
      <w:r>
        <w:t xml:space="preserve">extensions taken </w:t>
      </w:r>
      <w:r w:rsidRPr="00D2368F">
        <w:t xml:space="preserve">between 31 and 60 days in 2014-2015 </w:t>
      </w:r>
      <w:r>
        <w:t>increased by 11.8</w:t>
      </w:r>
      <w:r w:rsidRPr="00D2368F">
        <w:t xml:space="preserve">% compared </w:t>
      </w:r>
      <w:r>
        <w:t xml:space="preserve">to 2013-2014. No extensions of more than </w:t>
      </w:r>
      <w:r>
        <w:lastRenderedPageBreak/>
        <w:t>120 days were taken, as opposed to the previous period, where two extensions were taken between 181 and 365 days.</w:t>
      </w:r>
    </w:p>
    <w:p w:rsidR="000430A4" w:rsidRPr="00970FD1" w:rsidRDefault="000430A4" w:rsidP="000430A4">
      <w:pPr>
        <w:pStyle w:val="Heading3"/>
      </w:pPr>
      <w:r w:rsidRPr="00970FD1">
        <w:t>Figure 2: Length of e</w:t>
      </w:r>
      <w:r>
        <w:t>xtensions</w:t>
      </w:r>
    </w:p>
    <w:p w:rsidR="000430A4" w:rsidRDefault="000430A4" w:rsidP="000430A4">
      <w:pPr>
        <w:spacing w:line="360" w:lineRule="auto"/>
        <w:jc w:val="both"/>
      </w:pPr>
      <w:r w:rsidRPr="00FC1CB3">
        <w:rPr>
          <w:noProof/>
        </w:rPr>
        <w:drawing>
          <wp:inline distT="0" distB="0" distL="0" distR="0">
            <wp:extent cx="6035040" cy="4412974"/>
            <wp:effectExtent l="0" t="0" r="22860" b="26035"/>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430A4" w:rsidRPr="00D2368F" w:rsidRDefault="000430A4" w:rsidP="000430A4">
      <w:pPr>
        <w:pStyle w:val="Heading4"/>
      </w:pPr>
      <w:r>
        <w:t>Deemed refusals</w:t>
      </w:r>
    </w:p>
    <w:p w:rsidR="000430A4" w:rsidRPr="008B749F" w:rsidRDefault="000430A4" w:rsidP="000430A4">
      <w:pPr>
        <w:jc w:val="both"/>
      </w:pPr>
      <w:r w:rsidRPr="008B749F">
        <w:t>In 2014-2015, the number of requests closed past the statutory deadline was 163, which accounts for 11.2 % of completed requests. This rate represents a “C” grade.</w:t>
      </w:r>
      <w:r w:rsidRPr="008B749F">
        <w:rPr>
          <w:rStyle w:val="FootnoteReference"/>
        </w:rPr>
        <w:footnoteReference w:id="33"/>
      </w:r>
      <w:r w:rsidRPr="008B749F">
        <w:t xml:space="preserve"> The most common reason for overdue requests was workload (41.1%), followed by external consultations (33.7%).</w:t>
      </w:r>
    </w:p>
    <w:p w:rsidR="000430A4" w:rsidRDefault="000430A4" w:rsidP="000430A4">
      <w:pPr>
        <w:jc w:val="both"/>
      </w:pPr>
      <w:r>
        <w:t>Figure 3 shows that 25.2% of overdue requests were late by 30 days or less and that 35.0</w:t>
      </w:r>
      <w:r w:rsidRPr="00D2368F">
        <w:t>%</w:t>
      </w:r>
      <w:r>
        <w:t xml:space="preserve"> </w:t>
      </w:r>
      <w:r w:rsidRPr="00D2368F">
        <w:t xml:space="preserve">were late </w:t>
      </w:r>
      <w:r>
        <w:t>by more than 120 days. These percentages are comparable to the previous period.</w:t>
      </w:r>
    </w:p>
    <w:p w:rsidR="000430A4" w:rsidRDefault="000430A4" w:rsidP="000430A4">
      <w:pPr>
        <w:rPr>
          <w:b/>
        </w:rPr>
      </w:pPr>
      <w:r>
        <w:br w:type="page"/>
      </w:r>
    </w:p>
    <w:p w:rsidR="000430A4" w:rsidRPr="00970FD1" w:rsidRDefault="000430A4" w:rsidP="000430A4">
      <w:pPr>
        <w:pStyle w:val="Heading3"/>
      </w:pPr>
      <w:r w:rsidRPr="00970FD1">
        <w:lastRenderedPageBreak/>
        <w:t>Figure 3: Lateness of overdue requests</w:t>
      </w:r>
    </w:p>
    <w:p w:rsidR="000430A4" w:rsidRPr="008B749F" w:rsidRDefault="000430A4" w:rsidP="000430A4">
      <w:pPr>
        <w:rPr>
          <w:sz w:val="24"/>
          <w:szCs w:val="24"/>
        </w:rPr>
      </w:pPr>
      <w:r w:rsidRPr="00FC1CB3">
        <w:rPr>
          <w:noProof/>
          <w:color w:val="FF0000"/>
          <w:sz w:val="24"/>
          <w:szCs w:val="24"/>
        </w:rPr>
        <w:drawing>
          <wp:inline distT="0" distB="0" distL="0" distR="0">
            <wp:extent cx="5883965" cy="4301656"/>
            <wp:effectExtent l="0" t="0" r="2540" b="381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430A4" w:rsidRPr="00EE7658" w:rsidRDefault="000430A4" w:rsidP="000430A4">
      <w:pPr>
        <w:pStyle w:val="Heading2"/>
      </w:pPr>
      <w:r w:rsidRPr="00EE7658">
        <w:t>Disclosure</w:t>
      </w:r>
    </w:p>
    <w:p w:rsidR="000430A4" w:rsidRPr="00D2368F" w:rsidRDefault="000430A4" w:rsidP="000430A4">
      <w:pPr>
        <w:pStyle w:val="Heading4"/>
      </w:pPr>
      <w:r w:rsidRPr="00D2368F">
        <w:t>Percentage of requests for which information was disclosed</w:t>
      </w:r>
    </w:p>
    <w:p w:rsidR="000430A4" w:rsidRPr="00D2368F" w:rsidRDefault="000430A4" w:rsidP="000430A4">
      <w:pPr>
        <w:jc w:val="both"/>
      </w:pPr>
      <w:r w:rsidRPr="00D2368F">
        <w:t xml:space="preserve">In 2014-2015, </w:t>
      </w:r>
      <w:r>
        <w:t>8.3</w:t>
      </w:r>
      <w:r w:rsidRPr="00D2368F">
        <w:t>% of completed requests were entirely disclosed</w:t>
      </w:r>
      <w:r>
        <w:t xml:space="preserve">. This is </w:t>
      </w:r>
      <w:r w:rsidRPr="00D2368F">
        <w:t xml:space="preserve">the </w:t>
      </w:r>
      <w:r>
        <w:t xml:space="preserve">lowest </w:t>
      </w:r>
      <w:r w:rsidRPr="00D2368F">
        <w:t xml:space="preserve">disclosure rate since 2012 (see Figure </w:t>
      </w:r>
      <w:r>
        <w:t>4</w:t>
      </w:r>
      <w:r w:rsidRPr="00D2368F">
        <w:t xml:space="preserve">). Figure </w:t>
      </w:r>
      <w:r>
        <w:t>4</w:t>
      </w:r>
      <w:r w:rsidRPr="00D2368F">
        <w:t xml:space="preserve"> </w:t>
      </w:r>
      <w:r>
        <w:t xml:space="preserve">also </w:t>
      </w:r>
      <w:r w:rsidRPr="00D2368F">
        <w:t xml:space="preserve">shows that the rate for partially disclosed requests was </w:t>
      </w:r>
      <w:r>
        <w:t>23.6</w:t>
      </w:r>
      <w:r w:rsidRPr="00D2368F">
        <w:t xml:space="preserve">% in 2014-2015, which is </w:t>
      </w:r>
      <w:r>
        <w:t>an increase of 3.3</w:t>
      </w:r>
      <w:r w:rsidRPr="00D2368F">
        <w:t>% from the previous period.</w:t>
      </w:r>
    </w:p>
    <w:p w:rsidR="000430A4" w:rsidRDefault="000430A4" w:rsidP="000430A4">
      <w:pPr>
        <w:pStyle w:val="Heading3"/>
        <w:spacing w:after="200"/>
      </w:pPr>
      <w:r w:rsidRPr="00970FD1">
        <w:lastRenderedPageBreak/>
        <w:t>Figure 4: Level of disclosure</w:t>
      </w:r>
      <w:r w:rsidRPr="00FC1CB3">
        <w:rPr>
          <w:noProof/>
        </w:rPr>
        <w:drawing>
          <wp:inline distT="0" distB="0" distL="0" distR="0">
            <wp:extent cx="5947576" cy="3792772"/>
            <wp:effectExtent l="0" t="0" r="0" b="0"/>
            <wp:docPr id="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430A4" w:rsidRPr="00D2368F" w:rsidRDefault="000430A4" w:rsidP="000430A4">
      <w:pPr>
        <w:pStyle w:val="Heading4"/>
      </w:pPr>
      <w:r>
        <w:t>Exemptions</w:t>
      </w:r>
    </w:p>
    <w:p w:rsidR="000430A4" w:rsidRPr="001C6D27" w:rsidRDefault="000430A4" w:rsidP="000430A4">
      <w:pPr>
        <w:jc w:val="both"/>
      </w:pPr>
      <w:r w:rsidRPr="001C6D27">
        <w:t>In 2014-2015, a total of 886 exemptions were used compared to 801 the previous period. We note that on average, the number of exemptions used per completed request (0.61) was approximately the same this reporting period as in 2013-2014 (see Table 2).</w:t>
      </w:r>
    </w:p>
    <w:p w:rsidR="000430A4" w:rsidRPr="001C6D27" w:rsidRDefault="000430A4" w:rsidP="000430A4">
      <w:pPr>
        <w:jc w:val="both"/>
      </w:pPr>
      <w:r w:rsidRPr="001C6D27">
        <w:t>The most common exemptions in 2014-2015 were section 19 (Personal Information) (33.4%), section 21 (Operations of Government) (28.6%) and section 20 (Third-Party Information) (19.4%).</w:t>
      </w:r>
    </w:p>
    <w:p w:rsidR="000430A4" w:rsidRPr="00916BD0" w:rsidRDefault="000430A4" w:rsidP="000430A4">
      <w:pPr>
        <w:pStyle w:val="Heading3"/>
      </w:pPr>
      <w:r w:rsidRPr="00916BD0">
        <w:t xml:space="preserve">Table </w:t>
      </w:r>
      <w:r>
        <w:t>2</w:t>
      </w:r>
      <w:r w:rsidRPr="00916BD0">
        <w:t>: Exemptions</w:t>
      </w:r>
    </w:p>
    <w:tbl>
      <w:tblPr>
        <w:tblW w:w="9489" w:type="dxa"/>
        <w:tblInd w:w="98" w:type="dxa"/>
        <w:tblLook w:val="04A0"/>
      </w:tblPr>
      <w:tblGrid>
        <w:gridCol w:w="4588"/>
        <w:gridCol w:w="1462"/>
        <w:gridCol w:w="1626"/>
        <w:gridCol w:w="1813"/>
      </w:tblGrid>
      <w:tr w:rsidR="000430A4" w:rsidRPr="007A6A7B" w:rsidTr="002F32F0">
        <w:trPr>
          <w:trHeight w:val="320"/>
        </w:trPr>
        <w:tc>
          <w:tcPr>
            <w:tcW w:w="4588"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7A6A7B" w:rsidRDefault="000430A4" w:rsidP="002F32F0">
            <w:pPr>
              <w:spacing w:after="0" w:line="240" w:lineRule="auto"/>
              <w:rPr>
                <w:rFonts w:ascii="Calibri" w:eastAsia="Times New Roman" w:hAnsi="Calibri" w:cs="Times New Roman"/>
                <w:color w:val="000000"/>
              </w:rPr>
            </w:pPr>
            <w:r w:rsidRPr="007A6A7B">
              <w:rPr>
                <w:rFonts w:ascii="Calibri" w:eastAsia="Times New Roman" w:hAnsi="Calibri" w:cs="Times New Roman"/>
                <w:color w:val="000000"/>
              </w:rPr>
              <w:t xml:space="preserve">Exemptions </w:t>
            </w:r>
          </w:p>
        </w:tc>
        <w:tc>
          <w:tcPr>
            <w:tcW w:w="1462" w:type="dxa"/>
            <w:tcBorders>
              <w:top w:val="single" w:sz="8" w:space="0" w:color="auto"/>
              <w:left w:val="nil"/>
              <w:bottom w:val="single" w:sz="8" w:space="0" w:color="auto"/>
              <w:right w:val="nil"/>
            </w:tcBorders>
            <w:shd w:val="clear" w:color="000000" w:fill="DBE5F1"/>
            <w:noWrap/>
            <w:vAlign w:val="bottom"/>
            <w:hideMark/>
          </w:tcPr>
          <w:p w:rsidR="000430A4" w:rsidRPr="007A6A7B" w:rsidRDefault="000430A4" w:rsidP="002F32F0">
            <w:pPr>
              <w:spacing w:after="0" w:line="240" w:lineRule="auto"/>
              <w:jc w:val="center"/>
              <w:rPr>
                <w:rFonts w:ascii="Calibri" w:eastAsia="Times New Roman" w:hAnsi="Calibri" w:cs="Times New Roman"/>
                <w:b/>
                <w:bCs/>
                <w:color w:val="000000"/>
              </w:rPr>
            </w:pPr>
            <w:r w:rsidRPr="007A6A7B">
              <w:rPr>
                <w:rFonts w:ascii="Calibri" w:eastAsia="Times New Roman" w:hAnsi="Calibri" w:cs="Times New Roman"/>
                <w:b/>
                <w:bCs/>
                <w:color w:val="000000"/>
              </w:rPr>
              <w:t>2012-2013</w:t>
            </w:r>
          </w:p>
        </w:tc>
        <w:tc>
          <w:tcPr>
            <w:tcW w:w="1626" w:type="dxa"/>
            <w:tcBorders>
              <w:top w:val="single" w:sz="8" w:space="0" w:color="auto"/>
              <w:left w:val="nil"/>
              <w:bottom w:val="single" w:sz="8" w:space="0" w:color="auto"/>
              <w:right w:val="nil"/>
            </w:tcBorders>
            <w:shd w:val="clear" w:color="000000" w:fill="DBE5F1"/>
            <w:noWrap/>
            <w:vAlign w:val="bottom"/>
            <w:hideMark/>
          </w:tcPr>
          <w:p w:rsidR="000430A4" w:rsidRPr="007A6A7B" w:rsidRDefault="000430A4" w:rsidP="002F32F0">
            <w:pPr>
              <w:spacing w:after="0" w:line="240" w:lineRule="auto"/>
              <w:jc w:val="center"/>
              <w:rPr>
                <w:rFonts w:ascii="Calibri" w:eastAsia="Times New Roman" w:hAnsi="Calibri" w:cs="Times New Roman"/>
                <w:b/>
                <w:bCs/>
                <w:color w:val="000000"/>
              </w:rPr>
            </w:pPr>
            <w:r w:rsidRPr="007A6A7B">
              <w:rPr>
                <w:rFonts w:ascii="Calibri" w:eastAsia="Times New Roman" w:hAnsi="Calibri" w:cs="Times New Roman"/>
                <w:b/>
                <w:bCs/>
                <w:color w:val="000000"/>
              </w:rPr>
              <w:t>2013-2014</w:t>
            </w:r>
          </w:p>
        </w:tc>
        <w:tc>
          <w:tcPr>
            <w:tcW w:w="1813"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7A6A7B" w:rsidRDefault="000430A4" w:rsidP="002F32F0">
            <w:pPr>
              <w:spacing w:after="0" w:line="240" w:lineRule="auto"/>
              <w:jc w:val="center"/>
              <w:rPr>
                <w:rFonts w:ascii="Calibri" w:eastAsia="Times New Roman" w:hAnsi="Calibri" w:cs="Times New Roman"/>
                <w:b/>
                <w:bCs/>
                <w:color w:val="000000"/>
              </w:rPr>
            </w:pPr>
            <w:r w:rsidRPr="007A6A7B">
              <w:rPr>
                <w:rFonts w:ascii="Calibri" w:eastAsia="Times New Roman" w:hAnsi="Calibri" w:cs="Times New Roman"/>
                <w:b/>
                <w:bCs/>
                <w:color w:val="000000"/>
              </w:rPr>
              <w:t>2014-2015</w:t>
            </w:r>
          </w:p>
        </w:tc>
      </w:tr>
      <w:tr w:rsidR="000430A4" w:rsidRPr="007A6A7B" w:rsidTr="002F32F0">
        <w:trPr>
          <w:trHeight w:val="306"/>
        </w:trPr>
        <w:tc>
          <w:tcPr>
            <w:tcW w:w="4588" w:type="dxa"/>
            <w:tcBorders>
              <w:top w:val="nil"/>
              <w:left w:val="single" w:sz="8" w:space="0" w:color="auto"/>
              <w:bottom w:val="nil"/>
              <w:right w:val="nil"/>
            </w:tcBorders>
            <w:shd w:val="clear" w:color="auto" w:fill="auto"/>
            <w:noWrap/>
            <w:vAlign w:val="bottom"/>
            <w:hideMark/>
          </w:tcPr>
          <w:p w:rsidR="000430A4" w:rsidRPr="007A6A7B"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7A6A7B">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7A6A7B">
              <w:rPr>
                <w:rFonts w:ascii="Calibri" w:eastAsia="Times New Roman" w:hAnsi="Calibri" w:cs="Times New Roman"/>
                <w:color w:val="000000"/>
              </w:rPr>
              <w:t xml:space="preserve"> </w:t>
            </w:r>
          </w:p>
        </w:tc>
        <w:tc>
          <w:tcPr>
            <w:tcW w:w="1462" w:type="dxa"/>
            <w:tcBorders>
              <w:top w:val="nil"/>
              <w:left w:val="nil"/>
              <w:bottom w:val="nil"/>
              <w:right w:val="nil"/>
            </w:tcBorders>
            <w:shd w:val="clear" w:color="auto" w:fill="auto"/>
            <w:noWrap/>
            <w:vAlign w:val="bottom"/>
            <w:hideMark/>
          </w:tcPr>
          <w:p w:rsidR="000430A4" w:rsidRPr="007A6A7B" w:rsidRDefault="000430A4" w:rsidP="002F32F0">
            <w:pPr>
              <w:spacing w:after="0" w:line="240" w:lineRule="auto"/>
              <w:jc w:val="center"/>
              <w:rPr>
                <w:rFonts w:ascii="Calibri" w:eastAsia="Times New Roman" w:hAnsi="Calibri" w:cs="Times New Roman"/>
                <w:color w:val="000000"/>
              </w:rPr>
            </w:pPr>
            <w:r w:rsidRPr="007A6A7B">
              <w:rPr>
                <w:rFonts w:ascii="Calibri" w:eastAsia="Times New Roman" w:hAnsi="Calibri" w:cs="Times New Roman"/>
                <w:color w:val="000000"/>
              </w:rPr>
              <w:t>1</w:t>
            </w:r>
            <w:r w:rsidR="00BE49B4">
              <w:rPr>
                <w:rFonts w:ascii="Calibri" w:eastAsia="Times New Roman" w:hAnsi="Calibri" w:cs="Times New Roman"/>
                <w:color w:val="000000"/>
              </w:rPr>
              <w:t>,</w:t>
            </w:r>
            <w:r w:rsidRPr="007A6A7B">
              <w:rPr>
                <w:rFonts w:ascii="Calibri" w:eastAsia="Times New Roman" w:hAnsi="Calibri" w:cs="Times New Roman"/>
                <w:color w:val="000000"/>
              </w:rPr>
              <w:t>181</w:t>
            </w:r>
          </w:p>
        </w:tc>
        <w:tc>
          <w:tcPr>
            <w:tcW w:w="1626" w:type="dxa"/>
            <w:tcBorders>
              <w:top w:val="nil"/>
              <w:left w:val="nil"/>
              <w:bottom w:val="nil"/>
              <w:right w:val="nil"/>
            </w:tcBorders>
            <w:shd w:val="clear" w:color="auto" w:fill="auto"/>
            <w:noWrap/>
            <w:vAlign w:val="bottom"/>
            <w:hideMark/>
          </w:tcPr>
          <w:p w:rsidR="000430A4" w:rsidRPr="007A6A7B" w:rsidRDefault="000430A4" w:rsidP="002F32F0">
            <w:pPr>
              <w:spacing w:after="0" w:line="240" w:lineRule="auto"/>
              <w:jc w:val="center"/>
              <w:rPr>
                <w:rFonts w:ascii="Calibri" w:eastAsia="Times New Roman" w:hAnsi="Calibri" w:cs="Times New Roman"/>
                <w:color w:val="000000"/>
              </w:rPr>
            </w:pPr>
            <w:r w:rsidRPr="007A6A7B">
              <w:rPr>
                <w:rFonts w:ascii="Calibri" w:eastAsia="Times New Roman" w:hAnsi="Calibri" w:cs="Times New Roman"/>
                <w:color w:val="000000"/>
              </w:rPr>
              <w:t>801</w:t>
            </w:r>
          </w:p>
        </w:tc>
        <w:tc>
          <w:tcPr>
            <w:tcW w:w="1813" w:type="dxa"/>
            <w:tcBorders>
              <w:top w:val="nil"/>
              <w:left w:val="nil"/>
              <w:bottom w:val="nil"/>
              <w:right w:val="single" w:sz="8" w:space="0" w:color="auto"/>
            </w:tcBorders>
            <w:shd w:val="clear" w:color="auto" w:fill="auto"/>
            <w:noWrap/>
            <w:vAlign w:val="bottom"/>
            <w:hideMark/>
          </w:tcPr>
          <w:p w:rsidR="000430A4" w:rsidRPr="007A6A7B" w:rsidRDefault="000430A4" w:rsidP="002F32F0">
            <w:pPr>
              <w:spacing w:after="0" w:line="240" w:lineRule="auto"/>
              <w:jc w:val="center"/>
              <w:rPr>
                <w:rFonts w:ascii="Calibri" w:eastAsia="Times New Roman" w:hAnsi="Calibri" w:cs="Times New Roman"/>
                <w:color w:val="000000"/>
              </w:rPr>
            </w:pPr>
            <w:r w:rsidRPr="007A6A7B">
              <w:rPr>
                <w:rFonts w:ascii="Calibri" w:eastAsia="Times New Roman" w:hAnsi="Calibri" w:cs="Times New Roman"/>
                <w:color w:val="000000"/>
              </w:rPr>
              <w:t>886</w:t>
            </w:r>
          </w:p>
        </w:tc>
      </w:tr>
      <w:tr w:rsidR="000430A4" w:rsidRPr="007A6A7B" w:rsidTr="002F32F0">
        <w:trPr>
          <w:trHeight w:val="306"/>
        </w:trPr>
        <w:tc>
          <w:tcPr>
            <w:tcW w:w="4588" w:type="dxa"/>
            <w:tcBorders>
              <w:top w:val="nil"/>
              <w:left w:val="single" w:sz="8" w:space="0" w:color="auto"/>
              <w:bottom w:val="nil"/>
              <w:right w:val="nil"/>
            </w:tcBorders>
            <w:shd w:val="clear" w:color="auto" w:fill="auto"/>
            <w:noWrap/>
            <w:vAlign w:val="bottom"/>
            <w:hideMark/>
          </w:tcPr>
          <w:p w:rsidR="000430A4" w:rsidRPr="007A6A7B" w:rsidRDefault="000430A4" w:rsidP="002F32F0">
            <w:pPr>
              <w:spacing w:after="0" w:line="240" w:lineRule="auto"/>
              <w:rPr>
                <w:rFonts w:ascii="Calibri" w:eastAsia="Times New Roman" w:hAnsi="Calibri" w:cs="Times New Roman"/>
                <w:color w:val="000000"/>
              </w:rPr>
            </w:pPr>
            <w:r w:rsidRPr="007A6A7B">
              <w:rPr>
                <w:rFonts w:ascii="Calibri" w:eastAsia="Times New Roman" w:hAnsi="Calibri" w:cs="Times New Roman"/>
                <w:color w:val="000000"/>
              </w:rPr>
              <w:t>Total number of completed requests</w:t>
            </w:r>
          </w:p>
        </w:tc>
        <w:tc>
          <w:tcPr>
            <w:tcW w:w="1462" w:type="dxa"/>
            <w:tcBorders>
              <w:top w:val="nil"/>
              <w:left w:val="nil"/>
              <w:bottom w:val="nil"/>
              <w:right w:val="nil"/>
            </w:tcBorders>
            <w:shd w:val="clear" w:color="auto" w:fill="auto"/>
            <w:noWrap/>
            <w:vAlign w:val="bottom"/>
            <w:hideMark/>
          </w:tcPr>
          <w:p w:rsidR="000430A4" w:rsidRPr="007A6A7B" w:rsidRDefault="000430A4" w:rsidP="002F32F0">
            <w:pPr>
              <w:spacing w:after="0" w:line="240" w:lineRule="auto"/>
              <w:jc w:val="center"/>
              <w:rPr>
                <w:rFonts w:ascii="Calibri" w:eastAsia="Times New Roman" w:hAnsi="Calibri" w:cs="Times New Roman"/>
                <w:color w:val="000000"/>
              </w:rPr>
            </w:pPr>
            <w:r w:rsidRPr="007A6A7B">
              <w:rPr>
                <w:rFonts w:ascii="Calibri" w:eastAsia="Times New Roman" w:hAnsi="Calibri" w:cs="Times New Roman"/>
                <w:color w:val="000000"/>
              </w:rPr>
              <w:t>1</w:t>
            </w:r>
            <w:r w:rsidR="00BE49B4">
              <w:rPr>
                <w:rFonts w:ascii="Calibri" w:eastAsia="Times New Roman" w:hAnsi="Calibri" w:cs="Times New Roman"/>
                <w:color w:val="000000"/>
              </w:rPr>
              <w:t>,</w:t>
            </w:r>
            <w:r w:rsidRPr="007A6A7B">
              <w:rPr>
                <w:rFonts w:ascii="Calibri" w:eastAsia="Times New Roman" w:hAnsi="Calibri" w:cs="Times New Roman"/>
                <w:color w:val="000000"/>
              </w:rPr>
              <w:t>810</w:t>
            </w:r>
          </w:p>
        </w:tc>
        <w:tc>
          <w:tcPr>
            <w:tcW w:w="1626" w:type="dxa"/>
            <w:tcBorders>
              <w:top w:val="nil"/>
              <w:left w:val="nil"/>
              <w:bottom w:val="nil"/>
              <w:right w:val="nil"/>
            </w:tcBorders>
            <w:shd w:val="clear" w:color="auto" w:fill="auto"/>
            <w:noWrap/>
            <w:vAlign w:val="bottom"/>
            <w:hideMark/>
          </w:tcPr>
          <w:p w:rsidR="000430A4" w:rsidRPr="007A6A7B" w:rsidRDefault="000430A4" w:rsidP="002F32F0">
            <w:pPr>
              <w:spacing w:after="0" w:line="240" w:lineRule="auto"/>
              <w:jc w:val="center"/>
              <w:rPr>
                <w:rFonts w:ascii="Calibri" w:eastAsia="Times New Roman" w:hAnsi="Calibri" w:cs="Times New Roman"/>
                <w:color w:val="000000"/>
              </w:rPr>
            </w:pPr>
            <w:r w:rsidRPr="007A6A7B">
              <w:rPr>
                <w:rFonts w:ascii="Calibri" w:eastAsia="Times New Roman" w:hAnsi="Calibri" w:cs="Times New Roman"/>
                <w:color w:val="000000"/>
              </w:rPr>
              <w:t>1</w:t>
            </w:r>
            <w:r w:rsidR="00BE49B4">
              <w:rPr>
                <w:rFonts w:ascii="Calibri" w:eastAsia="Times New Roman" w:hAnsi="Calibri" w:cs="Times New Roman"/>
                <w:color w:val="000000"/>
              </w:rPr>
              <w:t>,</w:t>
            </w:r>
            <w:r w:rsidRPr="007A6A7B">
              <w:rPr>
                <w:rFonts w:ascii="Calibri" w:eastAsia="Times New Roman" w:hAnsi="Calibri" w:cs="Times New Roman"/>
                <w:color w:val="000000"/>
              </w:rPr>
              <w:t>424</w:t>
            </w:r>
          </w:p>
        </w:tc>
        <w:tc>
          <w:tcPr>
            <w:tcW w:w="1813" w:type="dxa"/>
            <w:tcBorders>
              <w:top w:val="nil"/>
              <w:left w:val="nil"/>
              <w:bottom w:val="nil"/>
              <w:right w:val="single" w:sz="8" w:space="0" w:color="auto"/>
            </w:tcBorders>
            <w:shd w:val="clear" w:color="auto" w:fill="auto"/>
            <w:noWrap/>
            <w:vAlign w:val="bottom"/>
            <w:hideMark/>
          </w:tcPr>
          <w:p w:rsidR="000430A4" w:rsidRPr="007A6A7B" w:rsidRDefault="000430A4" w:rsidP="002F32F0">
            <w:pPr>
              <w:spacing w:after="0" w:line="240" w:lineRule="auto"/>
              <w:jc w:val="center"/>
              <w:rPr>
                <w:rFonts w:ascii="Calibri" w:eastAsia="Times New Roman" w:hAnsi="Calibri" w:cs="Times New Roman"/>
                <w:color w:val="000000"/>
              </w:rPr>
            </w:pPr>
            <w:r w:rsidRPr="007A6A7B">
              <w:rPr>
                <w:rFonts w:ascii="Calibri" w:eastAsia="Times New Roman" w:hAnsi="Calibri" w:cs="Times New Roman"/>
                <w:color w:val="000000"/>
              </w:rPr>
              <w:t>1</w:t>
            </w:r>
            <w:r w:rsidR="00BE49B4">
              <w:rPr>
                <w:rFonts w:ascii="Calibri" w:eastAsia="Times New Roman" w:hAnsi="Calibri" w:cs="Times New Roman"/>
                <w:color w:val="000000"/>
              </w:rPr>
              <w:t>,</w:t>
            </w:r>
            <w:r w:rsidRPr="007A6A7B">
              <w:rPr>
                <w:rFonts w:ascii="Calibri" w:eastAsia="Times New Roman" w:hAnsi="Calibri" w:cs="Times New Roman"/>
                <w:color w:val="000000"/>
              </w:rPr>
              <w:t>452</w:t>
            </w:r>
          </w:p>
        </w:tc>
      </w:tr>
      <w:tr w:rsidR="000430A4" w:rsidRPr="007A6A7B" w:rsidTr="002F32F0">
        <w:trPr>
          <w:trHeight w:val="320"/>
        </w:trPr>
        <w:tc>
          <w:tcPr>
            <w:tcW w:w="4588" w:type="dxa"/>
            <w:tcBorders>
              <w:top w:val="nil"/>
              <w:left w:val="single" w:sz="8" w:space="0" w:color="auto"/>
              <w:bottom w:val="single" w:sz="8" w:space="0" w:color="auto"/>
              <w:right w:val="nil"/>
            </w:tcBorders>
            <w:shd w:val="clear" w:color="000000" w:fill="DBE5F1"/>
            <w:noWrap/>
            <w:vAlign w:val="bottom"/>
            <w:hideMark/>
          </w:tcPr>
          <w:p w:rsidR="000430A4" w:rsidRPr="007A6A7B" w:rsidRDefault="000430A4" w:rsidP="002F32F0">
            <w:pPr>
              <w:spacing w:after="0" w:line="240" w:lineRule="auto"/>
              <w:rPr>
                <w:rFonts w:ascii="Calibri" w:eastAsia="Times New Roman" w:hAnsi="Calibri" w:cs="Times New Roman"/>
                <w:color w:val="000000"/>
              </w:rPr>
            </w:pPr>
            <w:r w:rsidRPr="007A6A7B">
              <w:rPr>
                <w:rFonts w:ascii="Calibri" w:eastAsia="Times New Roman" w:hAnsi="Calibri" w:cs="Times New Roman"/>
                <w:color w:val="000000"/>
              </w:rPr>
              <w:t xml:space="preserve">Average number of exemptions per request </w:t>
            </w:r>
          </w:p>
        </w:tc>
        <w:tc>
          <w:tcPr>
            <w:tcW w:w="1462" w:type="dxa"/>
            <w:tcBorders>
              <w:top w:val="nil"/>
              <w:left w:val="nil"/>
              <w:bottom w:val="single" w:sz="8" w:space="0" w:color="auto"/>
              <w:right w:val="nil"/>
            </w:tcBorders>
            <w:shd w:val="clear" w:color="000000" w:fill="DBE5F1"/>
            <w:noWrap/>
            <w:vAlign w:val="bottom"/>
            <w:hideMark/>
          </w:tcPr>
          <w:p w:rsidR="000430A4" w:rsidRPr="007A6A7B" w:rsidRDefault="000430A4" w:rsidP="002F32F0">
            <w:pPr>
              <w:spacing w:after="0" w:line="240" w:lineRule="auto"/>
              <w:jc w:val="center"/>
              <w:rPr>
                <w:rFonts w:ascii="Calibri" w:eastAsia="Times New Roman" w:hAnsi="Calibri" w:cs="Times New Roman"/>
                <w:color w:val="000000"/>
              </w:rPr>
            </w:pPr>
            <w:r w:rsidRPr="007A6A7B">
              <w:rPr>
                <w:rFonts w:ascii="Calibri" w:eastAsia="Times New Roman" w:hAnsi="Calibri" w:cs="Times New Roman"/>
                <w:color w:val="000000"/>
              </w:rPr>
              <w:t>0.</w:t>
            </w:r>
            <w:r>
              <w:rPr>
                <w:rFonts w:ascii="Calibri" w:eastAsia="Times New Roman" w:hAnsi="Calibri" w:cs="Times New Roman"/>
                <w:color w:val="000000"/>
              </w:rPr>
              <w:t>65</w:t>
            </w:r>
          </w:p>
        </w:tc>
        <w:tc>
          <w:tcPr>
            <w:tcW w:w="1626" w:type="dxa"/>
            <w:tcBorders>
              <w:top w:val="nil"/>
              <w:left w:val="nil"/>
              <w:bottom w:val="single" w:sz="8" w:space="0" w:color="auto"/>
              <w:right w:val="nil"/>
            </w:tcBorders>
            <w:shd w:val="clear" w:color="000000" w:fill="DBE5F1"/>
            <w:noWrap/>
            <w:vAlign w:val="bottom"/>
            <w:hideMark/>
          </w:tcPr>
          <w:p w:rsidR="000430A4" w:rsidRPr="007A6A7B" w:rsidRDefault="000430A4" w:rsidP="002F32F0">
            <w:pPr>
              <w:spacing w:after="0" w:line="240" w:lineRule="auto"/>
              <w:jc w:val="center"/>
              <w:rPr>
                <w:rFonts w:ascii="Calibri" w:eastAsia="Times New Roman" w:hAnsi="Calibri" w:cs="Times New Roman"/>
                <w:color w:val="000000"/>
              </w:rPr>
            </w:pPr>
            <w:r w:rsidRPr="007A6A7B">
              <w:rPr>
                <w:rFonts w:ascii="Calibri" w:eastAsia="Times New Roman" w:hAnsi="Calibri" w:cs="Times New Roman"/>
                <w:color w:val="000000"/>
              </w:rPr>
              <w:t>0.</w:t>
            </w:r>
            <w:r>
              <w:rPr>
                <w:rFonts w:ascii="Calibri" w:eastAsia="Times New Roman" w:hAnsi="Calibri" w:cs="Times New Roman"/>
                <w:color w:val="000000"/>
              </w:rPr>
              <w:t>56</w:t>
            </w:r>
          </w:p>
        </w:tc>
        <w:tc>
          <w:tcPr>
            <w:tcW w:w="1813" w:type="dxa"/>
            <w:tcBorders>
              <w:top w:val="nil"/>
              <w:left w:val="nil"/>
              <w:bottom w:val="single" w:sz="8" w:space="0" w:color="auto"/>
              <w:right w:val="single" w:sz="8" w:space="0" w:color="auto"/>
            </w:tcBorders>
            <w:shd w:val="clear" w:color="000000" w:fill="DBE5F1"/>
            <w:noWrap/>
            <w:vAlign w:val="bottom"/>
            <w:hideMark/>
          </w:tcPr>
          <w:p w:rsidR="000430A4" w:rsidRPr="007A6A7B" w:rsidRDefault="000430A4" w:rsidP="002F32F0">
            <w:pPr>
              <w:spacing w:after="0" w:line="240" w:lineRule="auto"/>
              <w:jc w:val="center"/>
              <w:rPr>
                <w:rFonts w:ascii="Calibri" w:eastAsia="Times New Roman" w:hAnsi="Calibri" w:cs="Times New Roman"/>
                <w:color w:val="000000"/>
              </w:rPr>
            </w:pPr>
            <w:r w:rsidRPr="007A6A7B">
              <w:rPr>
                <w:rFonts w:ascii="Calibri" w:eastAsia="Times New Roman" w:hAnsi="Calibri" w:cs="Times New Roman"/>
                <w:color w:val="000000"/>
              </w:rPr>
              <w:t>0.</w:t>
            </w:r>
            <w:r>
              <w:rPr>
                <w:rFonts w:ascii="Calibri" w:eastAsia="Times New Roman" w:hAnsi="Calibri" w:cs="Times New Roman"/>
                <w:color w:val="000000"/>
              </w:rPr>
              <w:t>61</w:t>
            </w:r>
          </w:p>
        </w:tc>
      </w:tr>
    </w:tbl>
    <w:p w:rsidR="000430A4" w:rsidRPr="00EE7658" w:rsidRDefault="000430A4" w:rsidP="000430A4">
      <w:pPr>
        <w:pStyle w:val="Heading2"/>
        <w:spacing w:before="240"/>
      </w:pPr>
      <w:r w:rsidRPr="00EE7658">
        <w:t>Complaints at the OIC</w:t>
      </w:r>
    </w:p>
    <w:p w:rsidR="000430A4" w:rsidRDefault="000430A4" w:rsidP="000430A4">
      <w:pPr>
        <w:jc w:val="both"/>
      </w:pPr>
      <w:r w:rsidRPr="001B642F">
        <w:t>The number of complaints received</w:t>
      </w:r>
      <w:r>
        <w:rPr>
          <w:rStyle w:val="FootnoteReference"/>
        </w:rPr>
        <w:footnoteReference w:id="34"/>
      </w:r>
      <w:r w:rsidRPr="001B642F">
        <w:t xml:space="preserve"> by the OIC against ECCC was 26 this reporting period, which is three less than in 2013-2014. The majority of complaints received were administrative (4 refusals and 22 </w:t>
      </w:r>
      <w:r w:rsidRPr="001B642F">
        <w:lastRenderedPageBreak/>
        <w:t>administrative), whereas the majority for the previous period were refusals (19 refusals</w:t>
      </w:r>
      <w:r>
        <w:t xml:space="preserve"> and 10 administrative).</w:t>
      </w:r>
    </w:p>
    <w:p w:rsidR="000430A4" w:rsidRDefault="000430A4" w:rsidP="000430A4">
      <w:pPr>
        <w:jc w:val="both"/>
      </w:pPr>
      <w:r>
        <w:t>From those received in 2014-2015, 16</w:t>
      </w:r>
      <w:r w:rsidRPr="001B642F">
        <w:t xml:space="preserve"> were well-founded and resolved, 2 were not well-founded, 7 were discontinued and 1 was settled.</w:t>
      </w:r>
    </w:p>
    <w:p w:rsidR="000430A4" w:rsidRDefault="000430A4">
      <w:r>
        <w:br w:type="page"/>
      </w:r>
    </w:p>
    <w:p w:rsidR="000430A4" w:rsidRPr="00EF7181" w:rsidRDefault="000430A4" w:rsidP="000430A4">
      <w:pPr>
        <w:pStyle w:val="Heading1"/>
      </w:pPr>
      <w:r w:rsidRPr="00387854">
        <w:lastRenderedPageBreak/>
        <w:t>Employment</w:t>
      </w:r>
      <w:r w:rsidRPr="00EF7181">
        <w:t xml:space="preserve"> and Social Development Canada</w:t>
      </w:r>
    </w:p>
    <w:p w:rsidR="000430A4" w:rsidRPr="00387854" w:rsidRDefault="000430A4" w:rsidP="000430A4">
      <w:pPr>
        <w:jc w:val="both"/>
        <w:rPr>
          <w:b/>
        </w:rPr>
      </w:pPr>
      <w:r w:rsidRPr="00387854">
        <w:rPr>
          <w:rStyle w:val="Heading2Char"/>
        </w:rPr>
        <w:t>Overall performance</w:t>
      </w:r>
      <w:r>
        <w:rPr>
          <w:rStyle w:val="FootnoteReference"/>
          <w:b/>
        </w:rPr>
        <w:footnoteReference w:id="35"/>
      </w:r>
      <w:r w:rsidRPr="00387854">
        <w:rPr>
          <w:b/>
        </w:rPr>
        <w:t xml:space="preserve"> </w:t>
      </w:r>
    </w:p>
    <w:p w:rsidR="000430A4" w:rsidRPr="00F9276B" w:rsidRDefault="000430A4" w:rsidP="000430A4">
      <w:pPr>
        <w:jc w:val="both"/>
      </w:pPr>
      <w:r w:rsidRPr="00F9276B">
        <w:t>Employment and Social Development Canada’s (ESDC) percentage of requests completed within 30 days or less decreased by 5.6%. However, the institution saw a significant increase of 34.7% in the number of requests received. This report provides comparative statistics for the last three periods (2012-2015).</w:t>
      </w:r>
    </w:p>
    <w:p w:rsidR="000430A4" w:rsidRPr="00387854" w:rsidRDefault="000430A4" w:rsidP="000430A4">
      <w:pPr>
        <w:pStyle w:val="Heading2"/>
      </w:pPr>
      <w:r w:rsidRPr="00387854">
        <w:t>Workload</w:t>
      </w:r>
    </w:p>
    <w:p w:rsidR="000430A4" w:rsidRPr="00946292" w:rsidRDefault="000430A4" w:rsidP="000430A4">
      <w:pPr>
        <w:jc w:val="both"/>
      </w:pPr>
      <w:r w:rsidRPr="00F9276B">
        <w:t xml:space="preserve">ESDC received 1,160 requests under the </w:t>
      </w:r>
      <w:r w:rsidRPr="00F9276B">
        <w:rPr>
          <w:i/>
        </w:rPr>
        <w:t>Access to</w:t>
      </w:r>
      <w:r w:rsidRPr="00F9276B">
        <w:t xml:space="preserve"> </w:t>
      </w:r>
      <w:r w:rsidRPr="00F9276B">
        <w:rPr>
          <w:i/>
        </w:rPr>
        <w:t>Information Act</w:t>
      </w:r>
      <w:r w:rsidRPr="00F9276B">
        <w:t xml:space="preserve"> (the Act), which is a 34.7% increase compared to the previous period. The majority of requests received by ESDC were from the business sector (37.6%), followed by the public (24.7%). While the number of requests from the business sector doubled during this reporting period, we noted an 8</w:t>
      </w:r>
      <w:r>
        <w:t>.3</w:t>
      </w:r>
      <w:r w:rsidRPr="00F9276B">
        <w:t>% decline in requests from the public.</w:t>
      </w:r>
    </w:p>
    <w:p w:rsidR="000430A4" w:rsidRPr="00F9276B" w:rsidRDefault="000430A4" w:rsidP="000430A4">
      <w:pPr>
        <w:jc w:val="both"/>
      </w:pPr>
      <w:r w:rsidRPr="00307911">
        <w:t xml:space="preserve">ESDC completed </w:t>
      </w:r>
      <w:r>
        <w:t>1,055</w:t>
      </w:r>
      <w:r w:rsidRPr="00307911">
        <w:t xml:space="preserve"> requests this reporting period</w:t>
      </w:r>
      <w:r>
        <w:t>. The completion rate</w:t>
      </w:r>
      <w:r>
        <w:rPr>
          <w:rStyle w:val="FootnoteReference"/>
        </w:rPr>
        <w:footnoteReference w:id="36"/>
      </w:r>
      <w:r>
        <w:t xml:space="preserve"> was 80.1%, which is lower than the </w:t>
      </w:r>
      <w:r w:rsidRPr="00F9276B">
        <w:t xml:space="preserve">government-wide rate of 85.1%. In 2013-2014, the completion rate for ESDC was 85.6%. ESDC also received 612 informal requests in 2014-2015 and 72.2% were completed within 30 days. The number of consultations received by ESDC from other federal government institutions decreased from 185 to 155, representing a decrease </w:t>
      </w:r>
      <w:r>
        <w:t>of 16.2% compared to 2013-2014.</w:t>
      </w:r>
    </w:p>
    <w:p w:rsidR="000430A4" w:rsidRPr="00307911" w:rsidRDefault="000430A4" w:rsidP="000430A4">
      <w:pPr>
        <w:jc w:val="both"/>
      </w:pPr>
      <w:r w:rsidRPr="00F9276B">
        <w:t>ESDC processed 139,549 pages in 2014-2015, compared to 101,577 in 2013-2014. There was also an increase in the average number of pages processed per completed request increasing from 128 in 2013-2014 to 157 in 2014-2015 (see Table 1).</w:t>
      </w:r>
    </w:p>
    <w:p w:rsidR="000430A4" w:rsidRPr="002B3DC2" w:rsidRDefault="000430A4" w:rsidP="000430A4">
      <w:pPr>
        <w:jc w:val="both"/>
      </w:pPr>
      <w:r w:rsidRPr="002B3DC2">
        <w:t>The information released by ESDC was mostly in paper format</w:t>
      </w:r>
      <w:r>
        <w:t>: 596 requests in paper</w:t>
      </w:r>
      <w:r w:rsidRPr="002B3DC2">
        <w:t xml:space="preserve"> compared to </w:t>
      </w:r>
      <w:r>
        <w:t>140</w:t>
      </w:r>
      <w:r w:rsidRPr="002B3DC2">
        <w:t xml:space="preserve"> requests in electronic format. </w:t>
      </w:r>
      <w:r>
        <w:t>The number</w:t>
      </w:r>
      <w:r w:rsidRPr="002B3DC2">
        <w:t xml:space="preserve"> of requests disclosed in </w:t>
      </w:r>
      <w:r>
        <w:t>paper</w:t>
      </w:r>
      <w:r w:rsidRPr="002B3DC2">
        <w:t xml:space="preserve"> format</w:t>
      </w:r>
      <w:r>
        <w:t xml:space="preserve"> was similar to the results observed in the previous period </w:t>
      </w:r>
      <w:r w:rsidRPr="002B3DC2">
        <w:t>(</w:t>
      </w:r>
      <w:r>
        <w:t>564</w:t>
      </w:r>
      <w:r w:rsidRPr="002B3DC2">
        <w:t xml:space="preserve"> in paper and </w:t>
      </w:r>
      <w:r>
        <w:t>152 in electronic format).</w:t>
      </w:r>
    </w:p>
    <w:p w:rsidR="000430A4" w:rsidRPr="00764816" w:rsidRDefault="000430A4" w:rsidP="000430A4">
      <w:pPr>
        <w:pStyle w:val="Heading3"/>
      </w:pPr>
      <w:r w:rsidRPr="00764816">
        <w:t>Table 1: Workload</w:t>
      </w:r>
    </w:p>
    <w:tbl>
      <w:tblPr>
        <w:tblW w:w="9674" w:type="dxa"/>
        <w:tblInd w:w="98" w:type="dxa"/>
        <w:tblBorders>
          <w:top w:val="single" w:sz="4" w:space="0" w:color="auto"/>
          <w:left w:val="single" w:sz="4" w:space="0" w:color="auto"/>
          <w:bottom w:val="single" w:sz="4" w:space="0" w:color="auto"/>
          <w:right w:val="single" w:sz="4" w:space="0" w:color="auto"/>
        </w:tblBorders>
        <w:tblLook w:val="04A0"/>
      </w:tblPr>
      <w:tblGrid>
        <w:gridCol w:w="5397"/>
        <w:gridCol w:w="1207"/>
        <w:gridCol w:w="1661"/>
        <w:gridCol w:w="1409"/>
      </w:tblGrid>
      <w:tr w:rsidR="000430A4" w:rsidRPr="00EA2DB4" w:rsidTr="002F32F0">
        <w:trPr>
          <w:trHeight w:val="298"/>
        </w:trPr>
        <w:tc>
          <w:tcPr>
            <w:tcW w:w="5397" w:type="dxa"/>
            <w:tcBorders>
              <w:top w:val="single" w:sz="4" w:space="0" w:color="auto"/>
              <w:bottom w:val="single" w:sz="4" w:space="0" w:color="auto"/>
            </w:tcBorders>
            <w:shd w:val="clear" w:color="auto" w:fill="auto"/>
            <w:noWrap/>
            <w:vAlign w:val="bottom"/>
            <w:hideMark/>
          </w:tcPr>
          <w:p w:rsidR="000430A4" w:rsidRPr="00EA2DB4" w:rsidRDefault="000430A4" w:rsidP="002F32F0">
            <w:pPr>
              <w:spacing w:after="0" w:line="240" w:lineRule="auto"/>
              <w:rPr>
                <w:rFonts w:ascii="Calibri" w:eastAsia="Times New Roman" w:hAnsi="Calibri" w:cs="Times New Roman"/>
                <w:color w:val="000000"/>
              </w:rPr>
            </w:pPr>
            <w:r w:rsidRPr="00EA2DB4">
              <w:rPr>
                <w:rFonts w:ascii="Calibri" w:eastAsia="Times New Roman" w:hAnsi="Calibri" w:cs="Times New Roman"/>
                <w:color w:val="000000"/>
              </w:rPr>
              <w:t xml:space="preserve">Measures </w:t>
            </w:r>
          </w:p>
        </w:tc>
        <w:tc>
          <w:tcPr>
            <w:tcW w:w="1207" w:type="dxa"/>
            <w:tcBorders>
              <w:top w:val="single" w:sz="4" w:space="0" w:color="auto"/>
              <w:bottom w:val="single" w:sz="4" w:space="0" w:color="auto"/>
            </w:tcBorders>
            <w:shd w:val="clear" w:color="auto" w:fill="auto"/>
            <w:noWrap/>
            <w:vAlign w:val="bottom"/>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2012-2013</w:t>
            </w:r>
          </w:p>
        </w:tc>
        <w:tc>
          <w:tcPr>
            <w:tcW w:w="1661" w:type="dxa"/>
            <w:tcBorders>
              <w:top w:val="single" w:sz="4" w:space="0" w:color="auto"/>
              <w:bottom w:val="single" w:sz="4" w:space="0" w:color="auto"/>
            </w:tcBorders>
            <w:shd w:val="clear" w:color="auto" w:fill="auto"/>
            <w:noWrap/>
            <w:vAlign w:val="bottom"/>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2013-2014</w:t>
            </w:r>
          </w:p>
        </w:tc>
        <w:tc>
          <w:tcPr>
            <w:tcW w:w="1409" w:type="dxa"/>
            <w:tcBorders>
              <w:top w:val="single" w:sz="4" w:space="0" w:color="auto"/>
              <w:bottom w:val="single" w:sz="4" w:space="0" w:color="auto"/>
            </w:tcBorders>
            <w:shd w:val="clear" w:color="auto" w:fill="auto"/>
            <w:noWrap/>
            <w:vAlign w:val="bottom"/>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2014-2015</w:t>
            </w:r>
          </w:p>
        </w:tc>
      </w:tr>
      <w:tr w:rsidR="000430A4" w:rsidRPr="00EA2DB4" w:rsidTr="002F32F0">
        <w:trPr>
          <w:trHeight w:val="284"/>
        </w:trPr>
        <w:tc>
          <w:tcPr>
            <w:tcW w:w="5397" w:type="dxa"/>
            <w:tcBorders>
              <w:top w:val="single" w:sz="4" w:space="0" w:color="auto"/>
            </w:tcBorders>
            <w:shd w:val="clear" w:color="000000" w:fill="DBE5F1"/>
            <w:noWrap/>
            <w:hideMark/>
          </w:tcPr>
          <w:p w:rsidR="000430A4" w:rsidRPr="00EA2DB4" w:rsidRDefault="000430A4" w:rsidP="002F32F0">
            <w:pPr>
              <w:spacing w:after="0" w:line="240" w:lineRule="auto"/>
              <w:rPr>
                <w:rFonts w:ascii="Calibri" w:eastAsia="Times New Roman" w:hAnsi="Calibri" w:cs="Times New Roman"/>
                <w:color w:val="000000"/>
              </w:rPr>
            </w:pPr>
            <w:r w:rsidRPr="00EA2DB4">
              <w:rPr>
                <w:rFonts w:ascii="Calibri" w:eastAsia="Times New Roman" w:hAnsi="Calibri" w:cs="Times New Roman"/>
                <w:color w:val="000000"/>
              </w:rPr>
              <w:t xml:space="preserve">Number of requests received </w:t>
            </w:r>
          </w:p>
        </w:tc>
        <w:tc>
          <w:tcPr>
            <w:tcW w:w="1207" w:type="dxa"/>
            <w:tcBorders>
              <w:top w:val="single" w:sz="4" w:space="0" w:color="auto"/>
            </w:tcBorders>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746</w:t>
            </w:r>
          </w:p>
        </w:tc>
        <w:tc>
          <w:tcPr>
            <w:tcW w:w="1661" w:type="dxa"/>
            <w:tcBorders>
              <w:top w:val="single" w:sz="4" w:space="0" w:color="auto"/>
            </w:tcBorders>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861</w:t>
            </w:r>
          </w:p>
        </w:tc>
        <w:tc>
          <w:tcPr>
            <w:tcW w:w="1409" w:type="dxa"/>
            <w:tcBorders>
              <w:top w:val="single" w:sz="4" w:space="0" w:color="auto"/>
            </w:tcBorders>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1</w:t>
            </w:r>
            <w:r w:rsidR="00BE49B4">
              <w:rPr>
                <w:rFonts w:ascii="Calibri" w:eastAsia="Times New Roman" w:hAnsi="Calibri" w:cs="Times New Roman"/>
                <w:b/>
                <w:bCs/>
                <w:color w:val="000000"/>
              </w:rPr>
              <w:t>,</w:t>
            </w:r>
            <w:r w:rsidRPr="00EA2DB4">
              <w:rPr>
                <w:rFonts w:ascii="Calibri" w:eastAsia="Times New Roman" w:hAnsi="Calibri" w:cs="Times New Roman"/>
                <w:b/>
                <w:bCs/>
                <w:color w:val="000000"/>
              </w:rPr>
              <w:t>160</w:t>
            </w:r>
          </w:p>
        </w:tc>
      </w:tr>
      <w:tr w:rsidR="000430A4" w:rsidRPr="00EA2DB4" w:rsidTr="002F32F0">
        <w:trPr>
          <w:trHeight w:val="284"/>
        </w:trPr>
        <w:tc>
          <w:tcPr>
            <w:tcW w:w="5397" w:type="dxa"/>
            <w:shd w:val="clear" w:color="auto" w:fill="auto"/>
            <w:hideMark/>
          </w:tcPr>
          <w:p w:rsidR="000430A4" w:rsidRPr="00EA2DB4" w:rsidRDefault="000430A4" w:rsidP="002F32F0">
            <w:pPr>
              <w:spacing w:after="0" w:line="240" w:lineRule="auto"/>
              <w:rPr>
                <w:rFonts w:ascii="Calibri" w:eastAsia="Times New Roman" w:hAnsi="Calibri" w:cs="Times New Roman"/>
                <w:color w:val="000000"/>
              </w:rPr>
            </w:pPr>
            <w:r w:rsidRPr="00EA2DB4">
              <w:rPr>
                <w:rFonts w:ascii="Calibri" w:eastAsia="Times New Roman" w:hAnsi="Calibri" w:cs="Times New Roman"/>
                <w:color w:val="000000"/>
              </w:rPr>
              <w:t>Annual change (%)</w:t>
            </w:r>
          </w:p>
        </w:tc>
        <w:tc>
          <w:tcPr>
            <w:tcW w:w="1207" w:type="dxa"/>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w:t>
            </w:r>
          </w:p>
        </w:tc>
        <w:tc>
          <w:tcPr>
            <w:tcW w:w="1661" w:type="dxa"/>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15.4%</w:t>
            </w:r>
          </w:p>
        </w:tc>
        <w:tc>
          <w:tcPr>
            <w:tcW w:w="1409" w:type="dxa"/>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34.7%</w:t>
            </w:r>
          </w:p>
        </w:tc>
      </w:tr>
      <w:tr w:rsidR="000430A4" w:rsidRPr="00EA2DB4" w:rsidTr="002F32F0">
        <w:trPr>
          <w:trHeight w:val="284"/>
        </w:trPr>
        <w:tc>
          <w:tcPr>
            <w:tcW w:w="5397" w:type="dxa"/>
            <w:shd w:val="clear" w:color="000000" w:fill="DBE5F1"/>
            <w:hideMark/>
          </w:tcPr>
          <w:p w:rsidR="000430A4" w:rsidRPr="00EA2DB4" w:rsidRDefault="000430A4" w:rsidP="002F32F0">
            <w:pPr>
              <w:spacing w:after="0" w:line="240" w:lineRule="auto"/>
              <w:rPr>
                <w:rFonts w:ascii="Calibri" w:eastAsia="Times New Roman" w:hAnsi="Calibri" w:cs="Times New Roman"/>
                <w:color w:val="000000"/>
              </w:rPr>
            </w:pPr>
            <w:r w:rsidRPr="00EA2DB4">
              <w:rPr>
                <w:rFonts w:ascii="Calibri" w:eastAsia="Times New Roman" w:hAnsi="Calibri" w:cs="Times New Roman"/>
                <w:color w:val="000000"/>
              </w:rPr>
              <w:t>Completed requests</w:t>
            </w:r>
          </w:p>
        </w:tc>
        <w:tc>
          <w:tcPr>
            <w:tcW w:w="1207" w:type="dxa"/>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630</w:t>
            </w:r>
          </w:p>
        </w:tc>
        <w:tc>
          <w:tcPr>
            <w:tcW w:w="1661" w:type="dxa"/>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932</w:t>
            </w:r>
          </w:p>
        </w:tc>
        <w:tc>
          <w:tcPr>
            <w:tcW w:w="1409" w:type="dxa"/>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1</w:t>
            </w:r>
            <w:r w:rsidR="00BE49B4">
              <w:rPr>
                <w:rFonts w:ascii="Calibri" w:eastAsia="Times New Roman" w:hAnsi="Calibri" w:cs="Times New Roman"/>
                <w:b/>
                <w:bCs/>
                <w:color w:val="000000"/>
              </w:rPr>
              <w:t>,</w:t>
            </w:r>
            <w:r w:rsidRPr="00EA2DB4">
              <w:rPr>
                <w:rFonts w:ascii="Calibri" w:eastAsia="Times New Roman" w:hAnsi="Calibri" w:cs="Times New Roman"/>
                <w:b/>
                <w:bCs/>
                <w:color w:val="000000"/>
              </w:rPr>
              <w:t>055</w:t>
            </w:r>
          </w:p>
        </w:tc>
      </w:tr>
      <w:tr w:rsidR="000430A4" w:rsidRPr="00EA2DB4" w:rsidTr="002F32F0">
        <w:trPr>
          <w:trHeight w:val="298"/>
        </w:trPr>
        <w:tc>
          <w:tcPr>
            <w:tcW w:w="5397" w:type="dxa"/>
            <w:tcBorders>
              <w:bottom w:val="nil"/>
            </w:tcBorders>
            <w:shd w:val="clear" w:color="auto" w:fill="auto"/>
            <w:hideMark/>
          </w:tcPr>
          <w:p w:rsidR="000430A4" w:rsidRPr="00EA2DB4" w:rsidRDefault="000430A4" w:rsidP="002F32F0">
            <w:pPr>
              <w:spacing w:after="0" w:line="240" w:lineRule="auto"/>
              <w:rPr>
                <w:rFonts w:ascii="Calibri" w:eastAsia="Times New Roman" w:hAnsi="Calibri" w:cs="Times New Roman"/>
                <w:color w:val="000000"/>
              </w:rPr>
            </w:pPr>
            <w:r w:rsidRPr="00EA2DB4">
              <w:rPr>
                <w:rFonts w:ascii="Calibri" w:eastAsia="Times New Roman" w:hAnsi="Calibri" w:cs="Times New Roman"/>
                <w:color w:val="000000"/>
              </w:rPr>
              <w:t>Annual change</w:t>
            </w:r>
          </w:p>
        </w:tc>
        <w:tc>
          <w:tcPr>
            <w:tcW w:w="1207" w:type="dxa"/>
            <w:tcBorders>
              <w:bottom w:val="nil"/>
            </w:tcBorders>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w:t>
            </w:r>
          </w:p>
        </w:tc>
        <w:tc>
          <w:tcPr>
            <w:tcW w:w="1661" w:type="dxa"/>
            <w:tcBorders>
              <w:bottom w:val="nil"/>
            </w:tcBorders>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47.9%</w:t>
            </w:r>
          </w:p>
        </w:tc>
        <w:tc>
          <w:tcPr>
            <w:tcW w:w="1409" w:type="dxa"/>
            <w:tcBorders>
              <w:bottom w:val="nil"/>
            </w:tcBorders>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13.2%</w:t>
            </w:r>
          </w:p>
        </w:tc>
      </w:tr>
      <w:tr w:rsidR="000430A4" w:rsidRPr="00EA2DB4" w:rsidTr="002F32F0">
        <w:trPr>
          <w:trHeight w:val="583"/>
        </w:trPr>
        <w:tc>
          <w:tcPr>
            <w:tcW w:w="5397" w:type="dxa"/>
            <w:tcBorders>
              <w:top w:val="nil"/>
              <w:bottom w:val="nil"/>
            </w:tcBorders>
            <w:shd w:val="clear" w:color="000000" w:fill="DBE5F1"/>
            <w:hideMark/>
          </w:tcPr>
          <w:p w:rsidR="000430A4" w:rsidRPr="00EA2DB4" w:rsidRDefault="000430A4" w:rsidP="002F32F0">
            <w:pPr>
              <w:spacing w:after="0" w:line="240" w:lineRule="auto"/>
              <w:rPr>
                <w:rFonts w:ascii="Calibri" w:eastAsia="Times New Roman" w:hAnsi="Calibri" w:cs="Times New Roman"/>
                <w:color w:val="000000"/>
              </w:rPr>
            </w:pPr>
            <w:r w:rsidRPr="00EA2DB4">
              <w:rPr>
                <w:rFonts w:ascii="Calibri" w:eastAsia="Times New Roman" w:hAnsi="Calibri" w:cs="Times New Roman"/>
                <w:color w:val="000000"/>
              </w:rPr>
              <w:t>Number of consultations received (from other government institutions)</w:t>
            </w:r>
          </w:p>
        </w:tc>
        <w:tc>
          <w:tcPr>
            <w:tcW w:w="1207" w:type="dxa"/>
            <w:tcBorders>
              <w:top w:val="nil"/>
              <w:bottom w:val="nil"/>
            </w:tcBorders>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194</w:t>
            </w:r>
          </w:p>
        </w:tc>
        <w:tc>
          <w:tcPr>
            <w:tcW w:w="1661" w:type="dxa"/>
            <w:tcBorders>
              <w:top w:val="nil"/>
              <w:bottom w:val="nil"/>
            </w:tcBorders>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185</w:t>
            </w:r>
          </w:p>
        </w:tc>
        <w:tc>
          <w:tcPr>
            <w:tcW w:w="1409" w:type="dxa"/>
            <w:tcBorders>
              <w:top w:val="nil"/>
              <w:bottom w:val="nil"/>
            </w:tcBorders>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155</w:t>
            </w:r>
          </w:p>
        </w:tc>
      </w:tr>
      <w:tr w:rsidR="000430A4" w:rsidRPr="00EA2DB4" w:rsidTr="002F32F0">
        <w:trPr>
          <w:trHeight w:val="298"/>
        </w:trPr>
        <w:tc>
          <w:tcPr>
            <w:tcW w:w="5397" w:type="dxa"/>
            <w:tcBorders>
              <w:top w:val="nil"/>
              <w:bottom w:val="nil"/>
            </w:tcBorders>
            <w:shd w:val="clear" w:color="auto" w:fill="auto"/>
            <w:hideMark/>
          </w:tcPr>
          <w:p w:rsidR="000430A4" w:rsidRPr="00EA2DB4" w:rsidRDefault="000430A4" w:rsidP="002F32F0">
            <w:pPr>
              <w:spacing w:after="0" w:line="240" w:lineRule="auto"/>
              <w:rPr>
                <w:rFonts w:ascii="Calibri" w:eastAsia="Times New Roman" w:hAnsi="Calibri" w:cs="Times New Roman"/>
                <w:color w:val="000000"/>
              </w:rPr>
            </w:pPr>
            <w:r w:rsidRPr="00EA2DB4">
              <w:rPr>
                <w:rFonts w:ascii="Calibri" w:eastAsia="Times New Roman" w:hAnsi="Calibri" w:cs="Times New Roman"/>
                <w:color w:val="000000"/>
              </w:rPr>
              <w:t>Annual change (%)</w:t>
            </w:r>
          </w:p>
        </w:tc>
        <w:tc>
          <w:tcPr>
            <w:tcW w:w="1207" w:type="dxa"/>
            <w:tcBorders>
              <w:top w:val="nil"/>
              <w:bottom w:val="nil"/>
            </w:tcBorders>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w:t>
            </w:r>
          </w:p>
        </w:tc>
        <w:tc>
          <w:tcPr>
            <w:tcW w:w="1661" w:type="dxa"/>
            <w:tcBorders>
              <w:top w:val="nil"/>
              <w:bottom w:val="nil"/>
            </w:tcBorders>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-4.6%</w:t>
            </w:r>
          </w:p>
        </w:tc>
        <w:tc>
          <w:tcPr>
            <w:tcW w:w="1409" w:type="dxa"/>
            <w:tcBorders>
              <w:top w:val="nil"/>
              <w:bottom w:val="nil"/>
            </w:tcBorders>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-16.2%</w:t>
            </w:r>
          </w:p>
        </w:tc>
      </w:tr>
      <w:tr w:rsidR="000430A4" w:rsidRPr="00EA2DB4" w:rsidTr="002F32F0">
        <w:trPr>
          <w:trHeight w:val="583"/>
        </w:trPr>
        <w:tc>
          <w:tcPr>
            <w:tcW w:w="5397" w:type="dxa"/>
            <w:tcBorders>
              <w:top w:val="nil"/>
              <w:bottom w:val="nil"/>
            </w:tcBorders>
            <w:shd w:val="clear" w:color="000000" w:fill="DBE5F1"/>
            <w:hideMark/>
          </w:tcPr>
          <w:p w:rsidR="000430A4" w:rsidRPr="00EA2DB4" w:rsidRDefault="000430A4" w:rsidP="002F32F0">
            <w:pPr>
              <w:spacing w:after="0" w:line="240" w:lineRule="auto"/>
              <w:rPr>
                <w:rFonts w:ascii="Calibri" w:eastAsia="Times New Roman" w:hAnsi="Calibri" w:cs="Times New Roman"/>
                <w:color w:val="000000"/>
              </w:rPr>
            </w:pPr>
            <w:r w:rsidRPr="00EA2DB4">
              <w:rPr>
                <w:rFonts w:ascii="Calibri" w:eastAsia="Times New Roman" w:hAnsi="Calibri" w:cs="Times New Roman"/>
                <w:color w:val="000000"/>
              </w:rPr>
              <w:t>Average number of pages processed per request completed</w:t>
            </w:r>
          </w:p>
        </w:tc>
        <w:tc>
          <w:tcPr>
            <w:tcW w:w="1207" w:type="dxa"/>
            <w:tcBorders>
              <w:top w:val="nil"/>
              <w:bottom w:val="nil"/>
            </w:tcBorders>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205</w:t>
            </w:r>
          </w:p>
        </w:tc>
        <w:tc>
          <w:tcPr>
            <w:tcW w:w="1661" w:type="dxa"/>
            <w:tcBorders>
              <w:top w:val="nil"/>
              <w:bottom w:val="nil"/>
            </w:tcBorders>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128</w:t>
            </w:r>
          </w:p>
        </w:tc>
        <w:tc>
          <w:tcPr>
            <w:tcW w:w="1409" w:type="dxa"/>
            <w:tcBorders>
              <w:top w:val="nil"/>
              <w:bottom w:val="nil"/>
            </w:tcBorders>
            <w:shd w:val="clear" w:color="000000" w:fill="DBE5F1"/>
            <w:noWrap/>
            <w:vAlign w:val="center"/>
            <w:hideMark/>
          </w:tcPr>
          <w:p w:rsidR="000430A4" w:rsidRPr="00EA2DB4" w:rsidRDefault="000430A4" w:rsidP="002F32F0">
            <w:pPr>
              <w:spacing w:after="0" w:line="240" w:lineRule="auto"/>
              <w:jc w:val="center"/>
              <w:rPr>
                <w:rFonts w:ascii="Calibri" w:eastAsia="Times New Roman" w:hAnsi="Calibri" w:cs="Times New Roman"/>
                <w:b/>
                <w:bCs/>
                <w:color w:val="000000"/>
              </w:rPr>
            </w:pPr>
            <w:r w:rsidRPr="00EA2DB4">
              <w:rPr>
                <w:rFonts w:ascii="Calibri" w:eastAsia="Times New Roman" w:hAnsi="Calibri" w:cs="Times New Roman"/>
                <w:b/>
                <w:bCs/>
                <w:color w:val="000000"/>
              </w:rPr>
              <w:t>157</w:t>
            </w:r>
          </w:p>
        </w:tc>
      </w:tr>
      <w:tr w:rsidR="000430A4" w:rsidRPr="00EA2DB4" w:rsidTr="002F32F0">
        <w:trPr>
          <w:trHeight w:val="583"/>
        </w:trPr>
        <w:tc>
          <w:tcPr>
            <w:tcW w:w="5397" w:type="dxa"/>
            <w:tcBorders>
              <w:top w:val="nil"/>
              <w:bottom w:val="single" w:sz="4" w:space="0" w:color="auto"/>
            </w:tcBorders>
            <w:shd w:val="clear" w:color="auto" w:fill="auto"/>
            <w:hideMark/>
          </w:tcPr>
          <w:p w:rsidR="000430A4" w:rsidRPr="00EA2DB4" w:rsidRDefault="000430A4" w:rsidP="002F32F0">
            <w:pPr>
              <w:spacing w:after="0" w:line="240" w:lineRule="auto"/>
              <w:rPr>
                <w:rFonts w:ascii="Calibri" w:eastAsia="Times New Roman" w:hAnsi="Calibri" w:cs="Times New Roman"/>
                <w:color w:val="000000"/>
              </w:rPr>
            </w:pPr>
            <w:r w:rsidRPr="00EA2DB4">
              <w:rPr>
                <w:rFonts w:ascii="Calibri" w:eastAsia="Times New Roman" w:hAnsi="Calibri" w:cs="Times New Roman"/>
                <w:color w:val="000000"/>
              </w:rPr>
              <w:lastRenderedPageBreak/>
              <w:t>% of requests for which more than 1</w:t>
            </w:r>
            <w:r w:rsidR="00BE49B4">
              <w:rPr>
                <w:rFonts w:ascii="Calibri" w:eastAsia="Times New Roman" w:hAnsi="Calibri" w:cs="Times New Roman"/>
                <w:color w:val="000000"/>
              </w:rPr>
              <w:t>,</w:t>
            </w:r>
            <w:r w:rsidRPr="00EA2DB4">
              <w:rPr>
                <w:rFonts w:ascii="Calibri" w:eastAsia="Times New Roman" w:hAnsi="Calibri" w:cs="Times New Roman"/>
                <w:color w:val="000000"/>
              </w:rPr>
              <w:t>000 pages were processed</w:t>
            </w:r>
          </w:p>
        </w:tc>
        <w:tc>
          <w:tcPr>
            <w:tcW w:w="1207" w:type="dxa"/>
            <w:tcBorders>
              <w:top w:val="nil"/>
              <w:bottom w:val="single" w:sz="4" w:space="0" w:color="auto"/>
            </w:tcBorders>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5.8%</w:t>
            </w:r>
          </w:p>
        </w:tc>
        <w:tc>
          <w:tcPr>
            <w:tcW w:w="1661" w:type="dxa"/>
            <w:tcBorders>
              <w:top w:val="nil"/>
              <w:bottom w:val="single" w:sz="4" w:space="0" w:color="auto"/>
            </w:tcBorders>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3.0%</w:t>
            </w:r>
          </w:p>
        </w:tc>
        <w:tc>
          <w:tcPr>
            <w:tcW w:w="1409" w:type="dxa"/>
            <w:tcBorders>
              <w:top w:val="nil"/>
              <w:bottom w:val="single" w:sz="4" w:space="0" w:color="auto"/>
            </w:tcBorders>
            <w:shd w:val="clear" w:color="auto" w:fill="auto"/>
            <w:noWrap/>
            <w:vAlign w:val="center"/>
            <w:hideMark/>
          </w:tcPr>
          <w:p w:rsidR="000430A4" w:rsidRPr="00EA2DB4" w:rsidRDefault="000430A4" w:rsidP="002F32F0">
            <w:pPr>
              <w:spacing w:after="0" w:line="240" w:lineRule="auto"/>
              <w:jc w:val="center"/>
              <w:rPr>
                <w:rFonts w:ascii="Calibri" w:eastAsia="Times New Roman" w:hAnsi="Calibri" w:cs="Times New Roman"/>
                <w:color w:val="000000"/>
              </w:rPr>
            </w:pPr>
            <w:r w:rsidRPr="00EA2DB4">
              <w:rPr>
                <w:rFonts w:ascii="Calibri" w:eastAsia="Times New Roman" w:hAnsi="Calibri" w:cs="Times New Roman"/>
                <w:color w:val="000000"/>
              </w:rPr>
              <w:t>2.6%</w:t>
            </w:r>
          </w:p>
        </w:tc>
      </w:tr>
    </w:tbl>
    <w:p w:rsidR="000430A4" w:rsidRPr="00764816" w:rsidRDefault="000430A4" w:rsidP="000430A4">
      <w:pPr>
        <w:pStyle w:val="Heading2"/>
        <w:spacing w:before="240"/>
      </w:pPr>
      <w:r w:rsidRPr="00764816">
        <w:t>Request completion time</w:t>
      </w:r>
    </w:p>
    <w:p w:rsidR="000430A4" w:rsidRPr="004D30BF" w:rsidRDefault="000430A4" w:rsidP="000430A4">
      <w:pPr>
        <w:pStyle w:val="Heading4"/>
      </w:pPr>
      <w:r w:rsidRPr="004D30BF">
        <w:t>Timeliness</w:t>
      </w:r>
    </w:p>
    <w:p w:rsidR="000430A4" w:rsidRPr="0014527E" w:rsidRDefault="000430A4" w:rsidP="000430A4">
      <w:pPr>
        <w:jc w:val="both"/>
      </w:pPr>
      <w:r w:rsidRPr="0014527E">
        <w:t xml:space="preserve">Figure 1 reveals that </w:t>
      </w:r>
      <w:r>
        <w:t>42.4</w:t>
      </w:r>
      <w:r w:rsidRPr="0014527E">
        <w:t xml:space="preserve">% of requests were completed within 30 days or less, which is </w:t>
      </w:r>
      <w:r>
        <w:t>a decrease of 5.6% from the previous period</w:t>
      </w:r>
      <w:r w:rsidRPr="009E780B">
        <w:t>. In general, the results observed in 2014-2015 were similar to those of 2013-2014, except</w:t>
      </w:r>
      <w:r>
        <w:t xml:space="preserve"> for</w:t>
      </w:r>
      <w:r w:rsidRPr="009E780B">
        <w:t xml:space="preserve"> delays </w:t>
      </w:r>
      <w:r>
        <w:t>of more than 180</w:t>
      </w:r>
      <w:r w:rsidRPr="009E780B">
        <w:t xml:space="preserve"> days.</w:t>
      </w:r>
    </w:p>
    <w:p w:rsidR="000430A4" w:rsidRPr="00D63A69" w:rsidRDefault="000430A4" w:rsidP="000430A4">
      <w:pPr>
        <w:pStyle w:val="Heading3"/>
        <w:spacing w:after="200"/>
        <w:rPr>
          <w:sz w:val="24"/>
          <w:szCs w:val="24"/>
        </w:rPr>
      </w:pPr>
      <w:r w:rsidRPr="00A80CEC">
        <w:t xml:space="preserve">Figure 1: </w:t>
      </w:r>
      <w:r>
        <w:t>Request Completion Time</w:t>
      </w:r>
      <w:r w:rsidRPr="00D16316">
        <w:rPr>
          <w:noProof/>
          <w:color w:val="FF0000"/>
          <w:sz w:val="24"/>
          <w:szCs w:val="24"/>
        </w:rPr>
        <w:drawing>
          <wp:inline distT="0" distB="0" distL="0" distR="0">
            <wp:extent cx="5943600" cy="3869140"/>
            <wp:effectExtent l="0" t="0" r="0" b="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430A4" w:rsidRPr="00D2368F" w:rsidRDefault="000430A4" w:rsidP="000430A4">
      <w:pPr>
        <w:pStyle w:val="Heading4"/>
      </w:pPr>
      <w:r w:rsidRPr="00D2368F">
        <w:t>Extensions</w:t>
      </w:r>
    </w:p>
    <w:p w:rsidR="000430A4" w:rsidRPr="00A57FEA" w:rsidRDefault="000430A4" w:rsidP="000430A4">
      <w:pPr>
        <w:jc w:val="both"/>
      </w:pPr>
      <w:r w:rsidRPr="00A57FEA">
        <w:t>ESDC took a total of 356 extensions in 2014-2015 compared to 319 in 2013-2014. The most common reason for taking an extension was interference with operations (70.2%), followed by consultations (26.9%). Interference with operations was also the most common reason for extensions in 2013-2014.</w:t>
      </w:r>
    </w:p>
    <w:p w:rsidR="000430A4" w:rsidRPr="00A57FEA" w:rsidRDefault="000430A4" w:rsidP="000430A4">
      <w:pPr>
        <w:jc w:val="both"/>
      </w:pPr>
      <w:r w:rsidRPr="00A57FEA">
        <w:t>Figure 2 shows that 41.0% of extensions were taken for less than 30 days, which represents a 5.0% increase from the previous reporting period. A significant change was observed in the number of extensions taken between 61 and 120 days, decreasing from 36.7% in 2013-2014 to 26.7% in 2014-2015.</w:t>
      </w:r>
    </w:p>
    <w:p w:rsidR="000430A4" w:rsidRDefault="000430A4" w:rsidP="000430A4">
      <w:pPr>
        <w:pStyle w:val="Heading3"/>
        <w:spacing w:after="200"/>
      </w:pPr>
      <w:r w:rsidRPr="00A80CEC">
        <w:lastRenderedPageBreak/>
        <w:t>Figure 2: Length of e</w:t>
      </w:r>
      <w:r>
        <w:t>xtensions</w:t>
      </w:r>
      <w:r w:rsidRPr="00D16316">
        <w:rPr>
          <w:noProof/>
        </w:rPr>
        <w:drawing>
          <wp:inline distT="0" distB="0" distL="0" distR="0">
            <wp:extent cx="5947576" cy="4055166"/>
            <wp:effectExtent l="0" t="0" r="15240" b="21590"/>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430A4" w:rsidRPr="00D2368F" w:rsidRDefault="000430A4" w:rsidP="000430A4">
      <w:pPr>
        <w:pStyle w:val="Heading4"/>
      </w:pPr>
      <w:r>
        <w:t>Deemed refusals</w:t>
      </w:r>
    </w:p>
    <w:p w:rsidR="000430A4" w:rsidRPr="00A57FEA" w:rsidRDefault="000430A4" w:rsidP="000430A4">
      <w:pPr>
        <w:jc w:val="both"/>
      </w:pPr>
      <w:r w:rsidRPr="00A57FEA">
        <w:t>In 2014-2015, the number of requests closed past the statutory deadline was 256, which accounts for 24.2% of completed requests. This rate represents an “F” grade.</w:t>
      </w:r>
      <w:r w:rsidRPr="00A57FEA">
        <w:rPr>
          <w:rStyle w:val="FootnoteReference"/>
        </w:rPr>
        <w:footnoteReference w:id="37"/>
      </w:r>
      <w:r w:rsidRPr="00A57FEA">
        <w:t xml:space="preserve"> Compared to the previous year, ESDC’s grade dropped from a “B”.</w:t>
      </w:r>
    </w:p>
    <w:p w:rsidR="000430A4" w:rsidRPr="00A57FEA" w:rsidRDefault="000430A4" w:rsidP="000430A4">
      <w:pPr>
        <w:jc w:val="both"/>
      </w:pPr>
      <w:r w:rsidRPr="00A57FEA">
        <w:t>We observed an increase of overdue requests over the past three years (49 in 2012-2013, 87 in 2013-2014, and 256 in 2014-2015). In its annual report to Parliament, ESDC attributes this increase to workload (71.9%). Figure 3 shows that 45.3% of overdue requests were late by 30 days or less in 2014-2015.</w:t>
      </w:r>
    </w:p>
    <w:p w:rsidR="000430A4" w:rsidRPr="00704B61" w:rsidRDefault="000430A4" w:rsidP="000430A4">
      <w:pPr>
        <w:pStyle w:val="Heading3"/>
        <w:rPr>
          <w:sz w:val="24"/>
          <w:szCs w:val="24"/>
        </w:rPr>
      </w:pPr>
      <w:r w:rsidRPr="00A80CEC">
        <w:lastRenderedPageBreak/>
        <w:t>Figure 3: Lateness of overdue requests</w:t>
      </w:r>
      <w:r w:rsidRPr="00D16316">
        <w:rPr>
          <w:noProof/>
        </w:rPr>
        <w:drawing>
          <wp:inline distT="0" distB="0" distL="0" distR="0">
            <wp:extent cx="5943600" cy="3841845"/>
            <wp:effectExtent l="0" t="0" r="0" b="6350"/>
            <wp:docPr id="3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430A4" w:rsidRPr="00764816" w:rsidRDefault="000430A4" w:rsidP="000430A4">
      <w:pPr>
        <w:pStyle w:val="Heading2"/>
        <w:spacing w:before="240"/>
      </w:pPr>
      <w:r w:rsidRPr="00764816">
        <w:t>Disclosure</w:t>
      </w:r>
    </w:p>
    <w:p w:rsidR="000430A4" w:rsidRPr="00D2368F" w:rsidRDefault="000430A4" w:rsidP="000430A4">
      <w:pPr>
        <w:pStyle w:val="Heading4"/>
      </w:pPr>
      <w:r w:rsidRPr="00D2368F">
        <w:t>Percentage of requests for which information was disclosed</w:t>
      </w:r>
    </w:p>
    <w:p w:rsidR="000430A4" w:rsidRPr="001963DB" w:rsidRDefault="000430A4" w:rsidP="000430A4">
      <w:pPr>
        <w:jc w:val="both"/>
      </w:pPr>
      <w:r w:rsidRPr="001963DB">
        <w:t xml:space="preserve">In 2014-2015, </w:t>
      </w:r>
      <w:r>
        <w:t>27.0</w:t>
      </w:r>
      <w:r w:rsidRPr="001963DB">
        <w:t xml:space="preserve">% of requests </w:t>
      </w:r>
      <w:r>
        <w:t xml:space="preserve">completed </w:t>
      </w:r>
      <w:r w:rsidRPr="001963DB">
        <w:t>were entirely disclosed</w:t>
      </w:r>
      <w:r>
        <w:t>, which is</w:t>
      </w:r>
      <w:r w:rsidRPr="001963DB">
        <w:t xml:space="preserve"> </w:t>
      </w:r>
      <w:r>
        <w:t xml:space="preserve">similar to the previous period’s results </w:t>
      </w:r>
      <w:r w:rsidRPr="001963DB">
        <w:t xml:space="preserve">(see Figure 4). Figure 4 also shows that the rate for partially disclosed requests was </w:t>
      </w:r>
      <w:r>
        <w:t>43.1</w:t>
      </w:r>
      <w:r w:rsidRPr="001963DB">
        <w:t xml:space="preserve">% in 2014-2015, which </w:t>
      </w:r>
      <w:r>
        <w:t>shows a decrease</w:t>
      </w:r>
      <w:r w:rsidRPr="001963DB">
        <w:t xml:space="preserve"> of </w:t>
      </w:r>
      <w:r>
        <w:t>7.6</w:t>
      </w:r>
      <w:r w:rsidRPr="001963DB">
        <w:t>% from the previous period.</w:t>
      </w:r>
    </w:p>
    <w:p w:rsidR="000430A4" w:rsidRDefault="000430A4" w:rsidP="000430A4">
      <w:pPr>
        <w:pStyle w:val="Heading3"/>
        <w:spacing w:after="200"/>
        <w:rPr>
          <w:sz w:val="24"/>
          <w:szCs w:val="24"/>
        </w:rPr>
      </w:pPr>
      <w:r w:rsidRPr="00A80CEC">
        <w:lastRenderedPageBreak/>
        <w:t>Figure 4: Level of disclosure</w:t>
      </w:r>
      <w:r w:rsidRPr="00D16316">
        <w:rPr>
          <w:noProof/>
        </w:rPr>
        <w:drawing>
          <wp:inline distT="0" distB="0" distL="0" distR="0">
            <wp:extent cx="6107373" cy="3930555"/>
            <wp:effectExtent l="0" t="0" r="8255" b="0"/>
            <wp:docPr id="3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430A4" w:rsidRPr="00D2368F" w:rsidRDefault="000430A4" w:rsidP="000430A4">
      <w:pPr>
        <w:pStyle w:val="Heading4"/>
      </w:pPr>
      <w:r>
        <w:t>Exemptions</w:t>
      </w:r>
    </w:p>
    <w:p w:rsidR="000430A4" w:rsidRPr="00A57FEA" w:rsidRDefault="000430A4" w:rsidP="000430A4">
      <w:pPr>
        <w:jc w:val="both"/>
      </w:pPr>
      <w:r w:rsidRPr="00A57FEA">
        <w:t>The average number of exemptions used per completed request decreased slightly from 1.29 in 2013-2014 to 1.07 in 2014-2015 (see Table 2). The most frequent exemptions in 2014-2015 were section 19 (Personal Information) (30.7%), section 21 (Operations of Government) (17.9%), and section 16 (Law Enforcement and Investigations) (19.0%). In all three provisions, the number of exemptions increased respectively from 30.6%, 18.7% and 12.9% in 2013-2014.</w:t>
      </w:r>
    </w:p>
    <w:p w:rsidR="000430A4" w:rsidRPr="00DB4379" w:rsidRDefault="000430A4" w:rsidP="000430A4">
      <w:pPr>
        <w:pStyle w:val="Heading3"/>
      </w:pPr>
      <w:r w:rsidRPr="00916BD0">
        <w:t xml:space="preserve">Table </w:t>
      </w:r>
      <w:r>
        <w:t>2</w:t>
      </w:r>
      <w:r w:rsidRPr="00916BD0">
        <w:t>: Exemptions</w:t>
      </w:r>
    </w:p>
    <w:tbl>
      <w:tblPr>
        <w:tblW w:w="9552" w:type="dxa"/>
        <w:tblInd w:w="98" w:type="dxa"/>
        <w:tblLook w:val="04A0"/>
      </w:tblPr>
      <w:tblGrid>
        <w:gridCol w:w="5255"/>
        <w:gridCol w:w="1266"/>
        <w:gridCol w:w="1640"/>
        <w:gridCol w:w="1391"/>
      </w:tblGrid>
      <w:tr w:rsidR="000430A4" w:rsidRPr="00997D0D" w:rsidTr="002F32F0">
        <w:trPr>
          <w:trHeight w:val="321"/>
        </w:trPr>
        <w:tc>
          <w:tcPr>
            <w:tcW w:w="5255"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997D0D" w:rsidRDefault="000430A4" w:rsidP="002F32F0">
            <w:pPr>
              <w:spacing w:after="0" w:line="240" w:lineRule="auto"/>
              <w:rPr>
                <w:rFonts w:ascii="Calibri" w:eastAsia="Times New Roman" w:hAnsi="Calibri" w:cs="Times New Roman"/>
                <w:color w:val="000000"/>
              </w:rPr>
            </w:pPr>
            <w:r w:rsidRPr="00997D0D">
              <w:rPr>
                <w:rFonts w:ascii="Calibri" w:eastAsia="Times New Roman" w:hAnsi="Calibri" w:cs="Times New Roman"/>
                <w:color w:val="000000"/>
              </w:rPr>
              <w:t xml:space="preserve">Exemptions </w:t>
            </w:r>
          </w:p>
        </w:tc>
        <w:tc>
          <w:tcPr>
            <w:tcW w:w="1266" w:type="dxa"/>
            <w:tcBorders>
              <w:top w:val="single" w:sz="8" w:space="0" w:color="auto"/>
              <w:left w:val="nil"/>
              <w:bottom w:val="single" w:sz="8" w:space="0" w:color="auto"/>
              <w:right w:val="nil"/>
            </w:tcBorders>
            <w:shd w:val="clear" w:color="000000" w:fill="DBE5F1"/>
            <w:noWrap/>
            <w:vAlign w:val="bottom"/>
            <w:hideMark/>
          </w:tcPr>
          <w:p w:rsidR="000430A4" w:rsidRPr="00997D0D" w:rsidRDefault="000430A4" w:rsidP="002F32F0">
            <w:pPr>
              <w:spacing w:after="0" w:line="240" w:lineRule="auto"/>
              <w:jc w:val="center"/>
              <w:rPr>
                <w:rFonts w:ascii="Calibri" w:eastAsia="Times New Roman" w:hAnsi="Calibri" w:cs="Times New Roman"/>
                <w:b/>
                <w:bCs/>
                <w:color w:val="000000"/>
              </w:rPr>
            </w:pPr>
            <w:r w:rsidRPr="00997D0D">
              <w:rPr>
                <w:rFonts w:ascii="Calibri" w:eastAsia="Times New Roman" w:hAnsi="Calibri" w:cs="Times New Roman"/>
                <w:b/>
                <w:bCs/>
                <w:color w:val="000000"/>
              </w:rPr>
              <w:t>2012-2013</w:t>
            </w:r>
          </w:p>
        </w:tc>
        <w:tc>
          <w:tcPr>
            <w:tcW w:w="1640" w:type="dxa"/>
            <w:tcBorders>
              <w:top w:val="single" w:sz="8" w:space="0" w:color="auto"/>
              <w:left w:val="nil"/>
              <w:bottom w:val="single" w:sz="8" w:space="0" w:color="auto"/>
              <w:right w:val="nil"/>
            </w:tcBorders>
            <w:shd w:val="clear" w:color="000000" w:fill="DBE5F1"/>
            <w:noWrap/>
            <w:vAlign w:val="bottom"/>
            <w:hideMark/>
          </w:tcPr>
          <w:p w:rsidR="000430A4" w:rsidRPr="00997D0D" w:rsidRDefault="000430A4" w:rsidP="002F32F0">
            <w:pPr>
              <w:spacing w:after="0" w:line="240" w:lineRule="auto"/>
              <w:jc w:val="center"/>
              <w:rPr>
                <w:rFonts w:ascii="Calibri" w:eastAsia="Times New Roman" w:hAnsi="Calibri" w:cs="Times New Roman"/>
                <w:b/>
                <w:bCs/>
                <w:color w:val="000000"/>
              </w:rPr>
            </w:pPr>
            <w:r w:rsidRPr="00997D0D">
              <w:rPr>
                <w:rFonts w:ascii="Calibri" w:eastAsia="Times New Roman" w:hAnsi="Calibri" w:cs="Times New Roman"/>
                <w:b/>
                <w:bCs/>
                <w:color w:val="000000"/>
              </w:rPr>
              <w:t>2013-2014</w:t>
            </w:r>
          </w:p>
        </w:tc>
        <w:tc>
          <w:tcPr>
            <w:tcW w:w="1391"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997D0D" w:rsidRDefault="000430A4" w:rsidP="002F32F0">
            <w:pPr>
              <w:spacing w:after="0" w:line="240" w:lineRule="auto"/>
              <w:jc w:val="center"/>
              <w:rPr>
                <w:rFonts w:ascii="Calibri" w:eastAsia="Times New Roman" w:hAnsi="Calibri" w:cs="Times New Roman"/>
                <w:b/>
                <w:bCs/>
                <w:color w:val="000000"/>
              </w:rPr>
            </w:pPr>
            <w:r w:rsidRPr="00997D0D">
              <w:rPr>
                <w:rFonts w:ascii="Calibri" w:eastAsia="Times New Roman" w:hAnsi="Calibri" w:cs="Times New Roman"/>
                <w:b/>
                <w:bCs/>
                <w:color w:val="000000"/>
              </w:rPr>
              <w:t>2014-2015</w:t>
            </w:r>
          </w:p>
        </w:tc>
      </w:tr>
      <w:tr w:rsidR="000430A4" w:rsidRPr="00997D0D" w:rsidTr="002F32F0">
        <w:trPr>
          <w:trHeight w:val="306"/>
        </w:trPr>
        <w:tc>
          <w:tcPr>
            <w:tcW w:w="5255" w:type="dxa"/>
            <w:tcBorders>
              <w:top w:val="nil"/>
              <w:left w:val="single" w:sz="8" w:space="0" w:color="auto"/>
              <w:bottom w:val="nil"/>
              <w:right w:val="nil"/>
            </w:tcBorders>
            <w:shd w:val="clear" w:color="auto" w:fill="auto"/>
            <w:noWrap/>
            <w:vAlign w:val="bottom"/>
            <w:hideMark/>
          </w:tcPr>
          <w:p w:rsidR="000430A4" w:rsidRPr="00997D0D"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997D0D">
              <w:rPr>
                <w:rFonts w:ascii="Calibri" w:eastAsia="Times New Roman" w:hAnsi="Calibri" w:cs="Times New Roman"/>
                <w:color w:val="000000"/>
              </w:rPr>
              <w:t xml:space="preserve">umber </w:t>
            </w:r>
            <w:r>
              <w:rPr>
                <w:rFonts w:ascii="Calibri" w:eastAsia="Times New Roman" w:hAnsi="Calibri" w:cs="Times New Roman"/>
                <w:color w:val="000000"/>
              </w:rPr>
              <w:t>of exemptions</w:t>
            </w:r>
          </w:p>
        </w:tc>
        <w:tc>
          <w:tcPr>
            <w:tcW w:w="1266" w:type="dxa"/>
            <w:tcBorders>
              <w:top w:val="nil"/>
              <w:left w:val="nil"/>
              <w:bottom w:val="nil"/>
              <w:right w:val="nil"/>
            </w:tcBorders>
            <w:shd w:val="clear" w:color="auto" w:fill="auto"/>
            <w:noWrap/>
            <w:vAlign w:val="bottom"/>
            <w:hideMark/>
          </w:tcPr>
          <w:p w:rsidR="000430A4" w:rsidRPr="00997D0D" w:rsidRDefault="000430A4" w:rsidP="002F32F0">
            <w:pPr>
              <w:spacing w:after="0" w:line="240" w:lineRule="auto"/>
              <w:jc w:val="center"/>
              <w:rPr>
                <w:rFonts w:ascii="Calibri" w:eastAsia="Times New Roman" w:hAnsi="Calibri" w:cs="Times New Roman"/>
                <w:color w:val="000000"/>
              </w:rPr>
            </w:pPr>
            <w:r w:rsidRPr="00997D0D">
              <w:rPr>
                <w:rFonts w:ascii="Calibri" w:eastAsia="Times New Roman" w:hAnsi="Calibri" w:cs="Times New Roman"/>
                <w:color w:val="000000"/>
              </w:rPr>
              <w:t>684</w:t>
            </w:r>
          </w:p>
        </w:tc>
        <w:tc>
          <w:tcPr>
            <w:tcW w:w="1640" w:type="dxa"/>
            <w:tcBorders>
              <w:top w:val="nil"/>
              <w:left w:val="nil"/>
              <w:bottom w:val="nil"/>
              <w:right w:val="nil"/>
            </w:tcBorders>
            <w:shd w:val="clear" w:color="auto" w:fill="auto"/>
            <w:noWrap/>
            <w:vAlign w:val="bottom"/>
            <w:hideMark/>
          </w:tcPr>
          <w:p w:rsidR="000430A4" w:rsidRPr="00997D0D" w:rsidRDefault="000430A4" w:rsidP="002F32F0">
            <w:pPr>
              <w:spacing w:after="0" w:line="240" w:lineRule="auto"/>
              <w:jc w:val="center"/>
              <w:rPr>
                <w:rFonts w:ascii="Calibri" w:eastAsia="Times New Roman" w:hAnsi="Calibri" w:cs="Times New Roman"/>
                <w:color w:val="000000"/>
              </w:rPr>
            </w:pPr>
            <w:r w:rsidRPr="00997D0D">
              <w:rPr>
                <w:rFonts w:ascii="Calibri" w:eastAsia="Times New Roman" w:hAnsi="Calibri" w:cs="Times New Roman"/>
                <w:color w:val="000000"/>
              </w:rPr>
              <w:t>1</w:t>
            </w:r>
            <w:r w:rsidR="00BE49B4">
              <w:rPr>
                <w:rFonts w:ascii="Calibri" w:eastAsia="Times New Roman" w:hAnsi="Calibri" w:cs="Times New Roman"/>
                <w:color w:val="000000"/>
              </w:rPr>
              <w:t>,</w:t>
            </w:r>
            <w:r w:rsidRPr="00997D0D">
              <w:rPr>
                <w:rFonts w:ascii="Calibri" w:eastAsia="Times New Roman" w:hAnsi="Calibri" w:cs="Times New Roman"/>
                <w:color w:val="000000"/>
              </w:rPr>
              <w:t>202</w:t>
            </w:r>
          </w:p>
        </w:tc>
        <w:tc>
          <w:tcPr>
            <w:tcW w:w="1391" w:type="dxa"/>
            <w:tcBorders>
              <w:top w:val="nil"/>
              <w:left w:val="nil"/>
              <w:bottom w:val="nil"/>
              <w:right w:val="single" w:sz="8" w:space="0" w:color="auto"/>
            </w:tcBorders>
            <w:shd w:val="clear" w:color="auto" w:fill="auto"/>
            <w:noWrap/>
            <w:vAlign w:val="bottom"/>
            <w:hideMark/>
          </w:tcPr>
          <w:p w:rsidR="000430A4" w:rsidRPr="00997D0D" w:rsidRDefault="000430A4" w:rsidP="002F32F0">
            <w:pPr>
              <w:spacing w:after="0" w:line="240" w:lineRule="auto"/>
              <w:jc w:val="center"/>
              <w:rPr>
                <w:rFonts w:ascii="Calibri" w:eastAsia="Times New Roman" w:hAnsi="Calibri" w:cs="Times New Roman"/>
                <w:color w:val="000000"/>
              </w:rPr>
            </w:pPr>
            <w:r w:rsidRPr="00997D0D">
              <w:rPr>
                <w:rFonts w:ascii="Calibri" w:eastAsia="Times New Roman" w:hAnsi="Calibri" w:cs="Times New Roman"/>
                <w:color w:val="000000"/>
              </w:rPr>
              <w:t>1</w:t>
            </w:r>
            <w:r w:rsidR="00BE49B4">
              <w:rPr>
                <w:rFonts w:ascii="Calibri" w:eastAsia="Times New Roman" w:hAnsi="Calibri" w:cs="Times New Roman"/>
                <w:color w:val="000000"/>
              </w:rPr>
              <w:t>,</w:t>
            </w:r>
            <w:r w:rsidRPr="00997D0D">
              <w:rPr>
                <w:rFonts w:ascii="Calibri" w:eastAsia="Times New Roman" w:hAnsi="Calibri" w:cs="Times New Roman"/>
                <w:color w:val="000000"/>
              </w:rPr>
              <w:t>129</w:t>
            </w:r>
          </w:p>
        </w:tc>
      </w:tr>
      <w:tr w:rsidR="000430A4" w:rsidRPr="00997D0D" w:rsidTr="002F32F0">
        <w:trPr>
          <w:trHeight w:val="306"/>
        </w:trPr>
        <w:tc>
          <w:tcPr>
            <w:tcW w:w="5255" w:type="dxa"/>
            <w:tcBorders>
              <w:top w:val="nil"/>
              <w:left w:val="single" w:sz="8" w:space="0" w:color="auto"/>
              <w:bottom w:val="nil"/>
              <w:right w:val="nil"/>
            </w:tcBorders>
            <w:shd w:val="clear" w:color="auto" w:fill="auto"/>
            <w:noWrap/>
            <w:vAlign w:val="bottom"/>
            <w:hideMark/>
          </w:tcPr>
          <w:p w:rsidR="000430A4" w:rsidRPr="00997D0D" w:rsidRDefault="000430A4" w:rsidP="002F32F0">
            <w:pPr>
              <w:spacing w:after="0" w:line="240" w:lineRule="auto"/>
              <w:rPr>
                <w:rFonts w:ascii="Calibri" w:eastAsia="Times New Roman" w:hAnsi="Calibri" w:cs="Times New Roman"/>
                <w:color w:val="000000"/>
              </w:rPr>
            </w:pPr>
            <w:r w:rsidRPr="00997D0D">
              <w:rPr>
                <w:rFonts w:ascii="Calibri" w:eastAsia="Times New Roman" w:hAnsi="Calibri" w:cs="Times New Roman"/>
                <w:color w:val="000000"/>
              </w:rPr>
              <w:t>Total number of completed requests</w:t>
            </w:r>
          </w:p>
        </w:tc>
        <w:tc>
          <w:tcPr>
            <w:tcW w:w="1266" w:type="dxa"/>
            <w:tcBorders>
              <w:top w:val="nil"/>
              <w:left w:val="nil"/>
              <w:bottom w:val="nil"/>
              <w:right w:val="nil"/>
            </w:tcBorders>
            <w:shd w:val="clear" w:color="auto" w:fill="auto"/>
            <w:noWrap/>
            <w:vAlign w:val="bottom"/>
            <w:hideMark/>
          </w:tcPr>
          <w:p w:rsidR="000430A4" w:rsidRPr="00997D0D" w:rsidRDefault="000430A4" w:rsidP="002F32F0">
            <w:pPr>
              <w:spacing w:after="0" w:line="240" w:lineRule="auto"/>
              <w:jc w:val="center"/>
              <w:rPr>
                <w:rFonts w:ascii="Calibri" w:eastAsia="Times New Roman" w:hAnsi="Calibri" w:cs="Times New Roman"/>
                <w:color w:val="000000"/>
              </w:rPr>
            </w:pPr>
            <w:r w:rsidRPr="00997D0D">
              <w:rPr>
                <w:rFonts w:ascii="Calibri" w:eastAsia="Times New Roman" w:hAnsi="Calibri" w:cs="Times New Roman"/>
                <w:color w:val="000000"/>
              </w:rPr>
              <w:t>630</w:t>
            </w:r>
          </w:p>
        </w:tc>
        <w:tc>
          <w:tcPr>
            <w:tcW w:w="1640" w:type="dxa"/>
            <w:tcBorders>
              <w:top w:val="nil"/>
              <w:left w:val="nil"/>
              <w:bottom w:val="nil"/>
              <w:right w:val="nil"/>
            </w:tcBorders>
            <w:shd w:val="clear" w:color="auto" w:fill="auto"/>
            <w:noWrap/>
            <w:vAlign w:val="bottom"/>
            <w:hideMark/>
          </w:tcPr>
          <w:p w:rsidR="000430A4" w:rsidRPr="00997D0D" w:rsidRDefault="000430A4" w:rsidP="002F32F0">
            <w:pPr>
              <w:spacing w:after="0" w:line="240" w:lineRule="auto"/>
              <w:jc w:val="center"/>
              <w:rPr>
                <w:rFonts w:ascii="Calibri" w:eastAsia="Times New Roman" w:hAnsi="Calibri" w:cs="Times New Roman"/>
                <w:color w:val="000000"/>
              </w:rPr>
            </w:pPr>
            <w:r w:rsidRPr="00997D0D">
              <w:rPr>
                <w:rFonts w:ascii="Calibri" w:eastAsia="Times New Roman" w:hAnsi="Calibri" w:cs="Times New Roman"/>
                <w:color w:val="000000"/>
              </w:rPr>
              <w:t>932</w:t>
            </w:r>
          </w:p>
        </w:tc>
        <w:tc>
          <w:tcPr>
            <w:tcW w:w="1391" w:type="dxa"/>
            <w:tcBorders>
              <w:top w:val="nil"/>
              <w:left w:val="nil"/>
              <w:bottom w:val="nil"/>
              <w:right w:val="single" w:sz="8" w:space="0" w:color="auto"/>
            </w:tcBorders>
            <w:shd w:val="clear" w:color="auto" w:fill="auto"/>
            <w:noWrap/>
            <w:vAlign w:val="bottom"/>
            <w:hideMark/>
          </w:tcPr>
          <w:p w:rsidR="000430A4" w:rsidRPr="00997D0D" w:rsidRDefault="000430A4" w:rsidP="002F32F0">
            <w:pPr>
              <w:spacing w:after="0" w:line="240" w:lineRule="auto"/>
              <w:jc w:val="center"/>
              <w:rPr>
                <w:rFonts w:ascii="Calibri" w:eastAsia="Times New Roman" w:hAnsi="Calibri" w:cs="Times New Roman"/>
                <w:color w:val="000000"/>
              </w:rPr>
            </w:pPr>
            <w:r w:rsidRPr="00997D0D">
              <w:rPr>
                <w:rFonts w:ascii="Calibri" w:eastAsia="Times New Roman" w:hAnsi="Calibri" w:cs="Times New Roman"/>
                <w:color w:val="000000"/>
              </w:rPr>
              <w:t>1</w:t>
            </w:r>
            <w:r w:rsidR="00BE49B4">
              <w:rPr>
                <w:rFonts w:ascii="Calibri" w:eastAsia="Times New Roman" w:hAnsi="Calibri" w:cs="Times New Roman"/>
                <w:color w:val="000000"/>
              </w:rPr>
              <w:t>,</w:t>
            </w:r>
            <w:r w:rsidRPr="00997D0D">
              <w:rPr>
                <w:rFonts w:ascii="Calibri" w:eastAsia="Times New Roman" w:hAnsi="Calibri" w:cs="Times New Roman"/>
                <w:color w:val="000000"/>
              </w:rPr>
              <w:t>055</w:t>
            </w:r>
          </w:p>
        </w:tc>
      </w:tr>
      <w:tr w:rsidR="000430A4" w:rsidRPr="00997D0D" w:rsidTr="002F32F0">
        <w:trPr>
          <w:trHeight w:val="321"/>
        </w:trPr>
        <w:tc>
          <w:tcPr>
            <w:tcW w:w="5255" w:type="dxa"/>
            <w:tcBorders>
              <w:top w:val="nil"/>
              <w:left w:val="single" w:sz="8" w:space="0" w:color="auto"/>
              <w:bottom w:val="single" w:sz="8" w:space="0" w:color="auto"/>
              <w:right w:val="nil"/>
            </w:tcBorders>
            <w:shd w:val="clear" w:color="000000" w:fill="DBE5F1"/>
            <w:noWrap/>
            <w:vAlign w:val="bottom"/>
            <w:hideMark/>
          </w:tcPr>
          <w:p w:rsidR="000430A4" w:rsidRPr="00997D0D" w:rsidRDefault="000430A4" w:rsidP="002F32F0">
            <w:pPr>
              <w:spacing w:after="0" w:line="240" w:lineRule="auto"/>
              <w:rPr>
                <w:rFonts w:ascii="Calibri" w:eastAsia="Times New Roman" w:hAnsi="Calibri" w:cs="Times New Roman"/>
                <w:color w:val="000000"/>
              </w:rPr>
            </w:pPr>
            <w:r w:rsidRPr="00997D0D">
              <w:rPr>
                <w:rFonts w:ascii="Calibri" w:eastAsia="Times New Roman" w:hAnsi="Calibri" w:cs="Times New Roman"/>
                <w:color w:val="000000"/>
              </w:rPr>
              <w:t xml:space="preserve">Average number of exemptions per request </w:t>
            </w:r>
          </w:p>
        </w:tc>
        <w:tc>
          <w:tcPr>
            <w:tcW w:w="1266" w:type="dxa"/>
            <w:tcBorders>
              <w:top w:val="nil"/>
              <w:left w:val="nil"/>
              <w:bottom w:val="single" w:sz="8" w:space="0" w:color="auto"/>
              <w:right w:val="nil"/>
            </w:tcBorders>
            <w:shd w:val="clear" w:color="000000" w:fill="DBE5F1"/>
            <w:noWrap/>
            <w:vAlign w:val="bottom"/>
            <w:hideMark/>
          </w:tcPr>
          <w:p w:rsidR="000430A4" w:rsidRPr="00997D0D" w:rsidRDefault="000430A4" w:rsidP="002F32F0">
            <w:pPr>
              <w:spacing w:after="0" w:line="240" w:lineRule="auto"/>
              <w:jc w:val="center"/>
              <w:rPr>
                <w:rFonts w:ascii="Calibri" w:eastAsia="Times New Roman" w:hAnsi="Calibri" w:cs="Times New Roman"/>
                <w:color w:val="000000"/>
              </w:rPr>
            </w:pPr>
            <w:r w:rsidRPr="00997D0D">
              <w:rPr>
                <w:rFonts w:ascii="Calibri" w:eastAsia="Times New Roman" w:hAnsi="Calibri" w:cs="Times New Roman"/>
                <w:color w:val="000000"/>
              </w:rPr>
              <w:t>1.</w:t>
            </w:r>
            <w:r>
              <w:rPr>
                <w:rFonts w:ascii="Calibri" w:eastAsia="Times New Roman" w:hAnsi="Calibri" w:cs="Times New Roman"/>
                <w:color w:val="000000"/>
              </w:rPr>
              <w:t>09</w:t>
            </w:r>
          </w:p>
        </w:tc>
        <w:tc>
          <w:tcPr>
            <w:tcW w:w="1640" w:type="dxa"/>
            <w:tcBorders>
              <w:top w:val="nil"/>
              <w:left w:val="nil"/>
              <w:bottom w:val="single" w:sz="8" w:space="0" w:color="auto"/>
              <w:right w:val="nil"/>
            </w:tcBorders>
            <w:shd w:val="clear" w:color="000000" w:fill="DBE5F1"/>
            <w:noWrap/>
            <w:vAlign w:val="bottom"/>
            <w:hideMark/>
          </w:tcPr>
          <w:p w:rsidR="000430A4" w:rsidRPr="00997D0D" w:rsidRDefault="000430A4" w:rsidP="002F32F0">
            <w:pPr>
              <w:spacing w:after="0" w:line="240" w:lineRule="auto"/>
              <w:jc w:val="center"/>
              <w:rPr>
                <w:rFonts w:ascii="Calibri" w:eastAsia="Times New Roman" w:hAnsi="Calibri" w:cs="Times New Roman"/>
                <w:color w:val="000000"/>
              </w:rPr>
            </w:pPr>
            <w:r w:rsidRPr="00997D0D">
              <w:rPr>
                <w:rFonts w:ascii="Calibri" w:eastAsia="Times New Roman" w:hAnsi="Calibri" w:cs="Times New Roman"/>
                <w:color w:val="000000"/>
              </w:rPr>
              <w:t>1.</w:t>
            </w:r>
            <w:r>
              <w:rPr>
                <w:rFonts w:ascii="Calibri" w:eastAsia="Times New Roman" w:hAnsi="Calibri" w:cs="Times New Roman"/>
                <w:color w:val="000000"/>
              </w:rPr>
              <w:t>29</w:t>
            </w:r>
          </w:p>
        </w:tc>
        <w:tc>
          <w:tcPr>
            <w:tcW w:w="1391" w:type="dxa"/>
            <w:tcBorders>
              <w:top w:val="nil"/>
              <w:left w:val="nil"/>
              <w:bottom w:val="single" w:sz="8" w:space="0" w:color="auto"/>
              <w:right w:val="single" w:sz="8" w:space="0" w:color="auto"/>
            </w:tcBorders>
            <w:shd w:val="clear" w:color="000000" w:fill="DBE5F1"/>
            <w:noWrap/>
            <w:vAlign w:val="bottom"/>
            <w:hideMark/>
          </w:tcPr>
          <w:p w:rsidR="000430A4" w:rsidRPr="00997D0D" w:rsidRDefault="000430A4" w:rsidP="002F32F0">
            <w:pPr>
              <w:spacing w:after="0" w:line="240" w:lineRule="auto"/>
              <w:jc w:val="center"/>
              <w:rPr>
                <w:rFonts w:ascii="Calibri" w:eastAsia="Times New Roman" w:hAnsi="Calibri" w:cs="Times New Roman"/>
                <w:color w:val="000000"/>
              </w:rPr>
            </w:pPr>
            <w:r w:rsidRPr="00997D0D">
              <w:rPr>
                <w:rFonts w:ascii="Calibri" w:eastAsia="Times New Roman" w:hAnsi="Calibri" w:cs="Times New Roman"/>
                <w:color w:val="000000"/>
              </w:rPr>
              <w:t>1.</w:t>
            </w:r>
            <w:r>
              <w:rPr>
                <w:rFonts w:ascii="Calibri" w:eastAsia="Times New Roman" w:hAnsi="Calibri" w:cs="Times New Roman"/>
                <w:color w:val="000000"/>
              </w:rPr>
              <w:t>07</w:t>
            </w:r>
          </w:p>
        </w:tc>
      </w:tr>
    </w:tbl>
    <w:p w:rsidR="000430A4" w:rsidRPr="00764816" w:rsidRDefault="000430A4" w:rsidP="000430A4">
      <w:pPr>
        <w:pStyle w:val="Heading2"/>
        <w:spacing w:before="240"/>
      </w:pPr>
      <w:r w:rsidRPr="00764816">
        <w:t>Complaints at the OIC</w:t>
      </w:r>
    </w:p>
    <w:p w:rsidR="00620117" w:rsidRDefault="000430A4" w:rsidP="000430A4">
      <w:r w:rsidRPr="008A4905">
        <w:t>The number of complaints received</w:t>
      </w:r>
      <w:r>
        <w:rPr>
          <w:rStyle w:val="FootnoteReference"/>
        </w:rPr>
        <w:footnoteReference w:id="38"/>
      </w:r>
      <w:r w:rsidRPr="008A4905">
        <w:t xml:space="preserve"> against the ESDC decreased from 37 in 2013-2014 to 33 in this reporting period. The proportion of administrative </w:t>
      </w:r>
      <w:r>
        <w:t>complaints</w:t>
      </w:r>
      <w:r w:rsidRPr="008A4905">
        <w:t xml:space="preserve"> </w:t>
      </w:r>
      <w:r>
        <w:t>decreased from 67% to 45</w:t>
      </w:r>
      <w:r w:rsidRPr="008A4905">
        <w:t xml:space="preserve">% compared to </w:t>
      </w:r>
      <w:r w:rsidRPr="008A4905">
        <w:lastRenderedPageBreak/>
        <w:t>the previous reporting period. The number of well-founded complaints decreased from 20 to 15 compared to 2013-2014. Those discontinued and still pending resolution</w:t>
      </w:r>
      <w:r>
        <w:t xml:space="preserve"> were 6 and 10, respectively.</w:t>
      </w:r>
    </w:p>
    <w:p w:rsidR="000430A4" w:rsidRDefault="000430A4">
      <w:r>
        <w:br w:type="page"/>
      </w:r>
    </w:p>
    <w:p w:rsidR="000430A4" w:rsidRPr="00714FD6" w:rsidRDefault="000430A4" w:rsidP="000430A4">
      <w:pPr>
        <w:pStyle w:val="Heading1"/>
      </w:pPr>
      <w:r w:rsidRPr="00714FD6">
        <w:lastRenderedPageBreak/>
        <w:t>Transport Canada</w:t>
      </w:r>
    </w:p>
    <w:p w:rsidR="000430A4" w:rsidRPr="007C591D" w:rsidRDefault="000430A4" w:rsidP="000430A4">
      <w:pPr>
        <w:pStyle w:val="Heading2"/>
      </w:pPr>
      <w:r w:rsidRPr="007C591D">
        <w:t>Overall performance</w:t>
      </w:r>
      <w:r w:rsidRPr="007C3656">
        <w:rPr>
          <w:rStyle w:val="FootnoteReference"/>
        </w:rPr>
        <w:footnoteReference w:id="39"/>
      </w:r>
    </w:p>
    <w:p w:rsidR="000430A4" w:rsidRPr="007C3656" w:rsidRDefault="000430A4" w:rsidP="000430A4">
      <w:pPr>
        <w:jc w:val="both"/>
      </w:pPr>
      <w:r w:rsidRPr="007C3656">
        <w:t>Transport Canada (TC) improved its performance by 16.7% with respect to the percent of requests completed within 30 days. There was also a decrease of 14.1% in the number of requests received. This report provides comparative statistics for the last three periods (2012-2015).</w:t>
      </w:r>
    </w:p>
    <w:p w:rsidR="000430A4" w:rsidRPr="007C591D" w:rsidRDefault="000430A4" w:rsidP="000430A4">
      <w:pPr>
        <w:pStyle w:val="Heading2"/>
      </w:pPr>
      <w:r w:rsidRPr="007C591D">
        <w:t>Workload</w:t>
      </w:r>
    </w:p>
    <w:p w:rsidR="000430A4" w:rsidRPr="007C3656" w:rsidRDefault="000430A4" w:rsidP="000430A4">
      <w:pPr>
        <w:jc w:val="both"/>
      </w:pPr>
      <w:r w:rsidRPr="007C3656">
        <w:t xml:space="preserve">TC received 937 requests under the </w:t>
      </w:r>
      <w:r w:rsidRPr="007C3656">
        <w:rPr>
          <w:i/>
        </w:rPr>
        <w:t>Access to</w:t>
      </w:r>
      <w:r w:rsidRPr="007C3656">
        <w:t xml:space="preserve"> </w:t>
      </w:r>
      <w:r w:rsidRPr="007C3656">
        <w:rPr>
          <w:i/>
        </w:rPr>
        <w:t>Information Act</w:t>
      </w:r>
      <w:r w:rsidRPr="007C3656">
        <w:t xml:space="preserve"> (the Act) representing a 14.1% decrease from the previous period. The majority of requests received were from the media</w:t>
      </w:r>
      <w:r>
        <w:t xml:space="preserve"> (39</w:t>
      </w:r>
      <w:r w:rsidRPr="007C3656">
        <w:t xml:space="preserve">.2%), followed by the business sector (30.6%) and the public (23.6%). Requests from the public increased by 11% this reporting period compared to 2013-2014. In contrast to the previous period, requests from the media and the business </w:t>
      </w:r>
      <w:r>
        <w:t>sector decreased by 22.2% and 6.8</w:t>
      </w:r>
      <w:r w:rsidRPr="007C3656">
        <w:t>% respectively.</w:t>
      </w:r>
    </w:p>
    <w:p w:rsidR="000430A4" w:rsidRPr="007C3656" w:rsidRDefault="000430A4" w:rsidP="000430A4">
      <w:pPr>
        <w:jc w:val="both"/>
      </w:pPr>
      <w:r w:rsidRPr="007C3656">
        <w:t>TC completed 1,167 requests this reporting period compared to 1,794 in 2013-2014. The completion rate</w:t>
      </w:r>
      <w:r w:rsidRPr="007C3656">
        <w:rPr>
          <w:rStyle w:val="FootnoteReference"/>
        </w:rPr>
        <w:footnoteReference w:id="40"/>
      </w:r>
      <w:r w:rsidRPr="007C3656">
        <w:t xml:space="preserve"> was 90.2%, which is higher than the government-wide rate of 85.1%.</w:t>
      </w:r>
      <w:r>
        <w:t xml:space="preserve"> In 2013-2014, TC’s completion rate was 82.6%.</w:t>
      </w:r>
      <w:r w:rsidRPr="007C3656">
        <w:t xml:space="preserve"> TC also received 245 informal requests, of which </w:t>
      </w:r>
      <w:r>
        <w:t>85</w:t>
      </w:r>
      <w:r w:rsidRPr="007C3656">
        <w:t xml:space="preserve">.7% were completed within 30 days. The number of consultations received by TC from other federal government institutions decreased from 265 to 218, representing a decrease of </w:t>
      </w:r>
      <w:r>
        <w:t>17.7% compared to 2013-2014.</w:t>
      </w:r>
    </w:p>
    <w:p w:rsidR="000430A4" w:rsidRPr="007C3656" w:rsidRDefault="000430A4" w:rsidP="000430A4">
      <w:pPr>
        <w:jc w:val="both"/>
      </w:pPr>
      <w:r w:rsidRPr="007C3656">
        <w:t xml:space="preserve">The total number of pages processed by TC was 306,012 pages, in contrast to 202,969 the year before. There was also an increase in the average number of pages processed per completed request, which </w:t>
      </w:r>
      <w:r>
        <w:t>increased from 159</w:t>
      </w:r>
      <w:r w:rsidRPr="007C3656">
        <w:t xml:space="preserve"> in 2013-2014 to </w:t>
      </w:r>
      <w:r>
        <w:t>308 in 2014-2015 (see Table 1).</w:t>
      </w:r>
    </w:p>
    <w:p w:rsidR="000430A4" w:rsidRDefault="000430A4" w:rsidP="000430A4">
      <w:pPr>
        <w:jc w:val="both"/>
      </w:pPr>
      <w:r w:rsidRPr="007C3656">
        <w:t>The information released by TC was mostly in paper format: 583 in paper format compared to 199 in electronic format. This is considerably different compared to the previous year (901 in paper format compared to 57 in electronic).</w:t>
      </w:r>
    </w:p>
    <w:p w:rsidR="000430A4" w:rsidRPr="007C591D" w:rsidRDefault="000430A4" w:rsidP="000430A4">
      <w:pPr>
        <w:pStyle w:val="Heading3"/>
      </w:pPr>
      <w:r w:rsidRPr="007C591D">
        <w:t>Table 1: Workload</w:t>
      </w:r>
    </w:p>
    <w:tbl>
      <w:tblPr>
        <w:tblW w:w="9568" w:type="dxa"/>
        <w:tblInd w:w="98" w:type="dxa"/>
        <w:tblLook w:val="04A0"/>
      </w:tblPr>
      <w:tblGrid>
        <w:gridCol w:w="5152"/>
        <w:gridCol w:w="1472"/>
        <w:gridCol w:w="1472"/>
        <w:gridCol w:w="1472"/>
      </w:tblGrid>
      <w:tr w:rsidR="000430A4" w:rsidRPr="007B0D62" w:rsidTr="002F32F0">
        <w:trPr>
          <w:trHeight w:val="295"/>
        </w:trPr>
        <w:tc>
          <w:tcPr>
            <w:tcW w:w="5152" w:type="dxa"/>
            <w:tcBorders>
              <w:top w:val="single" w:sz="4" w:space="0" w:color="auto"/>
              <w:left w:val="single" w:sz="4" w:space="0" w:color="auto"/>
              <w:bottom w:val="single" w:sz="8" w:space="0" w:color="auto"/>
              <w:right w:val="nil"/>
            </w:tcBorders>
            <w:shd w:val="clear" w:color="auto" w:fill="auto"/>
            <w:noWrap/>
            <w:vAlign w:val="bottom"/>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t xml:space="preserve">Measures </w:t>
            </w:r>
          </w:p>
        </w:tc>
        <w:tc>
          <w:tcPr>
            <w:tcW w:w="1472" w:type="dxa"/>
            <w:tcBorders>
              <w:top w:val="single" w:sz="4" w:space="0" w:color="auto"/>
              <w:left w:val="nil"/>
              <w:bottom w:val="single" w:sz="8" w:space="0" w:color="auto"/>
              <w:right w:val="nil"/>
            </w:tcBorders>
            <w:shd w:val="clear" w:color="auto" w:fill="auto"/>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2012-2013</w:t>
            </w:r>
          </w:p>
        </w:tc>
        <w:tc>
          <w:tcPr>
            <w:tcW w:w="1472" w:type="dxa"/>
            <w:tcBorders>
              <w:top w:val="single" w:sz="4" w:space="0" w:color="auto"/>
              <w:left w:val="nil"/>
              <w:bottom w:val="single" w:sz="8" w:space="0" w:color="auto"/>
              <w:right w:val="nil"/>
            </w:tcBorders>
            <w:shd w:val="clear" w:color="auto" w:fill="auto"/>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2013-2014</w:t>
            </w:r>
          </w:p>
        </w:tc>
        <w:tc>
          <w:tcPr>
            <w:tcW w:w="1472" w:type="dxa"/>
            <w:tcBorders>
              <w:top w:val="single" w:sz="4" w:space="0" w:color="auto"/>
              <w:left w:val="nil"/>
              <w:bottom w:val="single" w:sz="8" w:space="0" w:color="auto"/>
              <w:right w:val="single" w:sz="4" w:space="0" w:color="auto"/>
            </w:tcBorders>
            <w:shd w:val="clear" w:color="auto" w:fill="auto"/>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2014-2015</w:t>
            </w:r>
          </w:p>
        </w:tc>
      </w:tr>
      <w:tr w:rsidR="000430A4" w:rsidRPr="007B0D62" w:rsidTr="002F32F0">
        <w:trPr>
          <w:trHeight w:val="425"/>
        </w:trPr>
        <w:tc>
          <w:tcPr>
            <w:tcW w:w="5152" w:type="dxa"/>
            <w:tcBorders>
              <w:top w:val="nil"/>
              <w:left w:val="single" w:sz="4" w:space="0" w:color="auto"/>
              <w:bottom w:val="nil"/>
              <w:right w:val="nil"/>
            </w:tcBorders>
            <w:shd w:val="clear" w:color="000000" w:fill="DBE5F1"/>
            <w:noWrap/>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t xml:space="preserve">Number of requests received </w:t>
            </w:r>
          </w:p>
        </w:tc>
        <w:tc>
          <w:tcPr>
            <w:tcW w:w="1472" w:type="dxa"/>
            <w:tcBorders>
              <w:top w:val="nil"/>
              <w:left w:val="nil"/>
              <w:bottom w:val="nil"/>
              <w:right w:val="nil"/>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2</w:t>
            </w:r>
            <w:r w:rsidR="000A6BE0">
              <w:rPr>
                <w:rFonts w:ascii="Calibri" w:eastAsia="Times New Roman" w:hAnsi="Calibri" w:cs="Times New Roman"/>
                <w:b/>
                <w:bCs/>
                <w:color w:val="000000"/>
              </w:rPr>
              <w:t>,</w:t>
            </w:r>
            <w:r w:rsidRPr="007B0D62">
              <w:rPr>
                <w:rFonts w:ascii="Calibri" w:eastAsia="Times New Roman" w:hAnsi="Calibri" w:cs="Times New Roman"/>
                <w:b/>
                <w:bCs/>
                <w:color w:val="000000"/>
              </w:rPr>
              <w:t>197</w:t>
            </w:r>
          </w:p>
        </w:tc>
        <w:tc>
          <w:tcPr>
            <w:tcW w:w="1472" w:type="dxa"/>
            <w:tcBorders>
              <w:top w:val="nil"/>
              <w:left w:val="nil"/>
              <w:bottom w:val="nil"/>
              <w:right w:val="nil"/>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1</w:t>
            </w:r>
            <w:r w:rsidR="000A6BE0">
              <w:rPr>
                <w:rFonts w:ascii="Calibri" w:eastAsia="Times New Roman" w:hAnsi="Calibri" w:cs="Times New Roman"/>
                <w:b/>
                <w:bCs/>
                <w:color w:val="000000"/>
              </w:rPr>
              <w:t>,</w:t>
            </w:r>
            <w:r w:rsidRPr="007B0D62">
              <w:rPr>
                <w:rFonts w:ascii="Calibri" w:eastAsia="Times New Roman" w:hAnsi="Calibri" w:cs="Times New Roman"/>
                <w:b/>
                <w:bCs/>
                <w:color w:val="000000"/>
              </w:rPr>
              <w:t>091</w:t>
            </w:r>
          </w:p>
        </w:tc>
        <w:tc>
          <w:tcPr>
            <w:tcW w:w="1472" w:type="dxa"/>
            <w:tcBorders>
              <w:top w:val="nil"/>
              <w:left w:val="nil"/>
              <w:bottom w:val="nil"/>
              <w:right w:val="single" w:sz="4" w:space="0" w:color="auto"/>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937</w:t>
            </w:r>
          </w:p>
        </w:tc>
      </w:tr>
      <w:tr w:rsidR="000430A4" w:rsidRPr="007B0D62" w:rsidTr="002F32F0">
        <w:trPr>
          <w:trHeight w:val="281"/>
        </w:trPr>
        <w:tc>
          <w:tcPr>
            <w:tcW w:w="5152" w:type="dxa"/>
            <w:tcBorders>
              <w:top w:val="nil"/>
              <w:left w:val="single" w:sz="4" w:space="0" w:color="auto"/>
              <w:bottom w:val="nil"/>
              <w:right w:val="nil"/>
            </w:tcBorders>
            <w:shd w:val="clear" w:color="auto" w:fill="auto"/>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t>Annual change (%)</w:t>
            </w:r>
          </w:p>
        </w:tc>
        <w:tc>
          <w:tcPr>
            <w:tcW w:w="1472" w:type="dxa"/>
            <w:tcBorders>
              <w:top w:val="nil"/>
              <w:left w:val="nil"/>
              <w:bottom w:val="nil"/>
              <w:right w:val="nil"/>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w:t>
            </w:r>
          </w:p>
        </w:tc>
        <w:tc>
          <w:tcPr>
            <w:tcW w:w="1472" w:type="dxa"/>
            <w:tcBorders>
              <w:top w:val="nil"/>
              <w:left w:val="nil"/>
              <w:right w:val="nil"/>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-50.3%</w:t>
            </w:r>
          </w:p>
        </w:tc>
        <w:tc>
          <w:tcPr>
            <w:tcW w:w="1472" w:type="dxa"/>
            <w:tcBorders>
              <w:top w:val="nil"/>
              <w:left w:val="nil"/>
              <w:right w:val="single" w:sz="4" w:space="0" w:color="auto"/>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-14.1%</w:t>
            </w:r>
          </w:p>
        </w:tc>
      </w:tr>
      <w:tr w:rsidR="000430A4" w:rsidRPr="007B0D62" w:rsidTr="002F32F0">
        <w:trPr>
          <w:trHeight w:val="441"/>
        </w:trPr>
        <w:tc>
          <w:tcPr>
            <w:tcW w:w="5152" w:type="dxa"/>
            <w:tcBorders>
              <w:top w:val="nil"/>
              <w:left w:val="single" w:sz="4" w:space="0" w:color="auto"/>
              <w:right w:val="nil"/>
            </w:tcBorders>
            <w:shd w:val="clear" w:color="000000" w:fill="DBE5F1"/>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t>Completed requests</w:t>
            </w:r>
          </w:p>
        </w:tc>
        <w:tc>
          <w:tcPr>
            <w:tcW w:w="1472" w:type="dxa"/>
            <w:tcBorders>
              <w:top w:val="nil"/>
              <w:left w:val="nil"/>
              <w:right w:val="nil"/>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1</w:t>
            </w:r>
            <w:r w:rsidR="000A6BE0">
              <w:rPr>
                <w:rFonts w:ascii="Calibri" w:eastAsia="Times New Roman" w:hAnsi="Calibri" w:cs="Times New Roman"/>
                <w:b/>
                <w:bCs/>
                <w:color w:val="000000"/>
              </w:rPr>
              <w:t>,</w:t>
            </w:r>
            <w:r w:rsidRPr="007B0D62">
              <w:rPr>
                <w:rFonts w:ascii="Calibri" w:eastAsia="Times New Roman" w:hAnsi="Calibri" w:cs="Times New Roman"/>
                <w:b/>
                <w:bCs/>
                <w:color w:val="000000"/>
              </w:rPr>
              <w:t>419</w:t>
            </w:r>
          </w:p>
        </w:tc>
        <w:tc>
          <w:tcPr>
            <w:tcW w:w="1472" w:type="dxa"/>
            <w:tcBorders>
              <w:top w:val="nil"/>
              <w:left w:val="nil"/>
              <w:right w:val="nil"/>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1</w:t>
            </w:r>
            <w:r w:rsidR="000A6BE0">
              <w:rPr>
                <w:rFonts w:ascii="Calibri" w:eastAsia="Times New Roman" w:hAnsi="Calibri" w:cs="Times New Roman"/>
                <w:b/>
                <w:bCs/>
                <w:color w:val="000000"/>
              </w:rPr>
              <w:t>,</w:t>
            </w:r>
            <w:r w:rsidRPr="007B0D62">
              <w:rPr>
                <w:rFonts w:ascii="Calibri" w:eastAsia="Times New Roman" w:hAnsi="Calibri" w:cs="Times New Roman"/>
                <w:b/>
                <w:bCs/>
                <w:color w:val="000000"/>
              </w:rPr>
              <w:t>794</w:t>
            </w:r>
          </w:p>
        </w:tc>
        <w:tc>
          <w:tcPr>
            <w:tcW w:w="1472" w:type="dxa"/>
            <w:tcBorders>
              <w:top w:val="nil"/>
              <w:left w:val="nil"/>
              <w:bottom w:val="nil"/>
              <w:right w:val="single" w:sz="4" w:space="0" w:color="auto"/>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1</w:t>
            </w:r>
            <w:r w:rsidR="000A6BE0">
              <w:rPr>
                <w:rFonts w:ascii="Calibri" w:eastAsia="Times New Roman" w:hAnsi="Calibri" w:cs="Times New Roman"/>
                <w:b/>
                <w:bCs/>
                <w:color w:val="000000"/>
              </w:rPr>
              <w:t>,</w:t>
            </w:r>
            <w:r w:rsidRPr="007B0D62">
              <w:rPr>
                <w:rFonts w:ascii="Calibri" w:eastAsia="Times New Roman" w:hAnsi="Calibri" w:cs="Times New Roman"/>
                <w:b/>
                <w:bCs/>
                <w:color w:val="000000"/>
              </w:rPr>
              <w:t>167</w:t>
            </w:r>
          </w:p>
        </w:tc>
      </w:tr>
      <w:tr w:rsidR="000430A4" w:rsidRPr="007B0D62" w:rsidTr="002F32F0">
        <w:trPr>
          <w:trHeight w:val="295"/>
        </w:trPr>
        <w:tc>
          <w:tcPr>
            <w:tcW w:w="5152" w:type="dxa"/>
            <w:tcBorders>
              <w:top w:val="nil"/>
              <w:left w:val="single" w:sz="4" w:space="0" w:color="auto"/>
              <w:right w:val="nil"/>
            </w:tcBorders>
            <w:shd w:val="clear" w:color="auto" w:fill="auto"/>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t>Annual change</w:t>
            </w:r>
          </w:p>
        </w:tc>
        <w:tc>
          <w:tcPr>
            <w:tcW w:w="1472" w:type="dxa"/>
            <w:tcBorders>
              <w:top w:val="nil"/>
              <w:left w:val="nil"/>
              <w:right w:val="nil"/>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w:t>
            </w:r>
          </w:p>
        </w:tc>
        <w:tc>
          <w:tcPr>
            <w:tcW w:w="1472" w:type="dxa"/>
            <w:tcBorders>
              <w:top w:val="nil"/>
              <w:left w:val="nil"/>
              <w:right w:val="nil"/>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26.4%</w:t>
            </w:r>
          </w:p>
        </w:tc>
        <w:tc>
          <w:tcPr>
            <w:tcW w:w="1472" w:type="dxa"/>
            <w:tcBorders>
              <w:top w:val="nil"/>
              <w:left w:val="nil"/>
              <w:right w:val="single" w:sz="4" w:space="0" w:color="auto"/>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-34.9%</w:t>
            </w:r>
          </w:p>
        </w:tc>
      </w:tr>
      <w:tr w:rsidR="000430A4" w:rsidRPr="007B0D62" w:rsidTr="002F32F0">
        <w:trPr>
          <w:trHeight w:val="531"/>
        </w:trPr>
        <w:tc>
          <w:tcPr>
            <w:tcW w:w="5152" w:type="dxa"/>
            <w:tcBorders>
              <w:top w:val="nil"/>
              <w:left w:val="single" w:sz="4" w:space="0" w:color="auto"/>
              <w:right w:val="nil"/>
            </w:tcBorders>
            <w:shd w:val="clear" w:color="000000" w:fill="DBE5F1"/>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t>Number of consultations received (from other government institutions)</w:t>
            </w:r>
          </w:p>
        </w:tc>
        <w:tc>
          <w:tcPr>
            <w:tcW w:w="1472" w:type="dxa"/>
            <w:tcBorders>
              <w:top w:val="nil"/>
              <w:left w:val="nil"/>
              <w:right w:val="nil"/>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265</w:t>
            </w:r>
          </w:p>
        </w:tc>
        <w:tc>
          <w:tcPr>
            <w:tcW w:w="1472" w:type="dxa"/>
            <w:tcBorders>
              <w:top w:val="nil"/>
              <w:left w:val="nil"/>
              <w:right w:val="nil"/>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265</w:t>
            </w:r>
          </w:p>
        </w:tc>
        <w:tc>
          <w:tcPr>
            <w:tcW w:w="1472" w:type="dxa"/>
            <w:tcBorders>
              <w:top w:val="nil"/>
              <w:left w:val="nil"/>
              <w:right w:val="single" w:sz="4" w:space="0" w:color="auto"/>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218</w:t>
            </w:r>
          </w:p>
        </w:tc>
      </w:tr>
      <w:tr w:rsidR="000430A4" w:rsidRPr="007B0D62" w:rsidTr="002F32F0">
        <w:trPr>
          <w:trHeight w:val="445"/>
        </w:trPr>
        <w:tc>
          <w:tcPr>
            <w:tcW w:w="5152" w:type="dxa"/>
            <w:tcBorders>
              <w:left w:val="single" w:sz="4" w:space="0" w:color="auto"/>
              <w:right w:val="nil"/>
            </w:tcBorders>
            <w:shd w:val="clear" w:color="auto" w:fill="auto"/>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t>Annual change (%)</w:t>
            </w:r>
          </w:p>
        </w:tc>
        <w:tc>
          <w:tcPr>
            <w:tcW w:w="1472" w:type="dxa"/>
            <w:tcBorders>
              <w:left w:val="nil"/>
              <w:right w:val="nil"/>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w:t>
            </w:r>
          </w:p>
        </w:tc>
        <w:tc>
          <w:tcPr>
            <w:tcW w:w="1472" w:type="dxa"/>
            <w:tcBorders>
              <w:left w:val="nil"/>
              <w:right w:val="nil"/>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0.0%</w:t>
            </w:r>
          </w:p>
        </w:tc>
        <w:tc>
          <w:tcPr>
            <w:tcW w:w="1472" w:type="dxa"/>
            <w:tcBorders>
              <w:left w:val="nil"/>
              <w:right w:val="single" w:sz="4" w:space="0" w:color="auto"/>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-17.7%</w:t>
            </w:r>
          </w:p>
        </w:tc>
      </w:tr>
      <w:tr w:rsidR="000430A4" w:rsidRPr="007B0D62" w:rsidTr="002F32F0">
        <w:trPr>
          <w:trHeight w:val="575"/>
        </w:trPr>
        <w:tc>
          <w:tcPr>
            <w:tcW w:w="5152" w:type="dxa"/>
            <w:tcBorders>
              <w:left w:val="single" w:sz="4" w:space="0" w:color="auto"/>
              <w:bottom w:val="nil"/>
              <w:right w:val="nil"/>
            </w:tcBorders>
            <w:shd w:val="clear" w:color="000000" w:fill="DBE5F1"/>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lastRenderedPageBreak/>
              <w:t>Average number of pages processed per request completed</w:t>
            </w:r>
          </w:p>
        </w:tc>
        <w:tc>
          <w:tcPr>
            <w:tcW w:w="1472" w:type="dxa"/>
            <w:tcBorders>
              <w:left w:val="nil"/>
              <w:bottom w:val="nil"/>
              <w:right w:val="nil"/>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104</w:t>
            </w:r>
          </w:p>
        </w:tc>
        <w:tc>
          <w:tcPr>
            <w:tcW w:w="1472" w:type="dxa"/>
            <w:tcBorders>
              <w:left w:val="nil"/>
              <w:bottom w:val="nil"/>
              <w:right w:val="nil"/>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159</w:t>
            </w:r>
          </w:p>
        </w:tc>
        <w:tc>
          <w:tcPr>
            <w:tcW w:w="1472" w:type="dxa"/>
            <w:tcBorders>
              <w:left w:val="nil"/>
              <w:bottom w:val="nil"/>
              <w:right w:val="single" w:sz="4" w:space="0" w:color="auto"/>
            </w:tcBorders>
            <w:shd w:val="clear" w:color="000000" w:fill="DBE5F1"/>
            <w:noWrap/>
            <w:vAlign w:val="center"/>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308</w:t>
            </w:r>
          </w:p>
        </w:tc>
      </w:tr>
      <w:tr w:rsidR="000430A4" w:rsidRPr="007B0D62" w:rsidTr="002F32F0">
        <w:trPr>
          <w:trHeight w:val="575"/>
        </w:trPr>
        <w:tc>
          <w:tcPr>
            <w:tcW w:w="5152" w:type="dxa"/>
            <w:tcBorders>
              <w:top w:val="nil"/>
              <w:left w:val="single" w:sz="4" w:space="0" w:color="auto"/>
              <w:bottom w:val="single" w:sz="4" w:space="0" w:color="auto"/>
              <w:right w:val="nil"/>
            </w:tcBorders>
            <w:shd w:val="clear" w:color="auto" w:fill="auto"/>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t>% of requests for which more than 1</w:t>
            </w:r>
            <w:r w:rsidR="000A6BE0">
              <w:rPr>
                <w:rFonts w:ascii="Calibri" w:eastAsia="Times New Roman" w:hAnsi="Calibri" w:cs="Times New Roman"/>
                <w:color w:val="000000"/>
              </w:rPr>
              <w:t>,</w:t>
            </w:r>
            <w:r w:rsidRPr="007B0D62">
              <w:rPr>
                <w:rFonts w:ascii="Calibri" w:eastAsia="Times New Roman" w:hAnsi="Calibri" w:cs="Times New Roman"/>
                <w:color w:val="000000"/>
              </w:rPr>
              <w:t>000 pages were processed</w:t>
            </w:r>
          </w:p>
        </w:tc>
        <w:tc>
          <w:tcPr>
            <w:tcW w:w="1472" w:type="dxa"/>
            <w:tcBorders>
              <w:top w:val="nil"/>
              <w:left w:val="nil"/>
              <w:bottom w:val="single" w:sz="4" w:space="0" w:color="auto"/>
              <w:right w:val="nil"/>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2.2%</w:t>
            </w:r>
          </w:p>
        </w:tc>
        <w:tc>
          <w:tcPr>
            <w:tcW w:w="1472" w:type="dxa"/>
            <w:tcBorders>
              <w:top w:val="nil"/>
              <w:left w:val="nil"/>
              <w:bottom w:val="single" w:sz="4" w:space="0" w:color="auto"/>
              <w:right w:val="nil"/>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2.8%</w:t>
            </w:r>
          </w:p>
        </w:tc>
        <w:tc>
          <w:tcPr>
            <w:tcW w:w="1472" w:type="dxa"/>
            <w:tcBorders>
              <w:top w:val="nil"/>
              <w:left w:val="nil"/>
              <w:bottom w:val="single" w:sz="4" w:space="0" w:color="auto"/>
              <w:right w:val="single" w:sz="4" w:space="0" w:color="auto"/>
            </w:tcBorders>
            <w:shd w:val="clear" w:color="auto" w:fill="auto"/>
            <w:noWrap/>
            <w:vAlign w:val="center"/>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7.9%</w:t>
            </w:r>
          </w:p>
        </w:tc>
      </w:tr>
    </w:tbl>
    <w:p w:rsidR="000430A4" w:rsidRPr="007C591D" w:rsidRDefault="000430A4" w:rsidP="000430A4">
      <w:pPr>
        <w:pStyle w:val="Heading2"/>
        <w:spacing w:before="240"/>
      </w:pPr>
      <w:r w:rsidRPr="007C591D">
        <w:t>Request completion time</w:t>
      </w:r>
    </w:p>
    <w:p w:rsidR="000430A4" w:rsidRPr="004D30BF" w:rsidRDefault="000430A4" w:rsidP="000430A4">
      <w:pPr>
        <w:pStyle w:val="Heading4"/>
      </w:pPr>
      <w:r w:rsidRPr="004D30BF">
        <w:t>Timeliness</w:t>
      </w:r>
    </w:p>
    <w:p w:rsidR="000430A4" w:rsidRPr="0096204A" w:rsidRDefault="000430A4" w:rsidP="000430A4">
      <w:pPr>
        <w:jc w:val="both"/>
      </w:pPr>
      <w:r w:rsidRPr="0096204A">
        <w:t xml:space="preserve">Figure 1 </w:t>
      </w:r>
      <w:r>
        <w:t xml:space="preserve">shows </w:t>
      </w:r>
      <w:r w:rsidRPr="0096204A">
        <w:t xml:space="preserve">that </w:t>
      </w:r>
      <w:r>
        <w:t>41.3</w:t>
      </w:r>
      <w:r w:rsidRPr="0096204A">
        <w:t xml:space="preserve">% of requests were completed within 30 days or less, which is </w:t>
      </w:r>
      <w:r>
        <w:t xml:space="preserve">almost double the </w:t>
      </w:r>
      <w:r w:rsidRPr="0096204A">
        <w:t>results observed in 2013-2014 (</w:t>
      </w:r>
      <w:r>
        <w:t>24.6%).</w:t>
      </w:r>
    </w:p>
    <w:p w:rsidR="000430A4" w:rsidRPr="0049486D" w:rsidRDefault="000430A4" w:rsidP="000430A4">
      <w:pPr>
        <w:pStyle w:val="Heading3"/>
        <w:spacing w:after="200"/>
        <w:rPr>
          <w:sz w:val="24"/>
          <w:szCs w:val="24"/>
        </w:rPr>
      </w:pPr>
      <w:r w:rsidRPr="00976F1D">
        <w:t xml:space="preserve">Figure 1: </w:t>
      </w:r>
      <w:r>
        <w:t>Request Completion Time</w:t>
      </w:r>
      <w:r w:rsidRPr="00686515">
        <w:rPr>
          <w:noProof/>
        </w:rPr>
        <w:drawing>
          <wp:inline distT="0" distB="0" distL="0" distR="0">
            <wp:extent cx="5947576" cy="4150580"/>
            <wp:effectExtent l="0" t="0" r="0" b="2540"/>
            <wp:docPr id="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430A4" w:rsidRPr="00D2368F" w:rsidRDefault="000430A4" w:rsidP="000430A4">
      <w:pPr>
        <w:pStyle w:val="Heading4"/>
      </w:pPr>
      <w:r w:rsidRPr="00D2368F">
        <w:t>Extensions</w:t>
      </w:r>
    </w:p>
    <w:p w:rsidR="000430A4" w:rsidRPr="00AA7A9E" w:rsidRDefault="000430A4" w:rsidP="000430A4">
      <w:pPr>
        <w:jc w:val="both"/>
      </w:pPr>
      <w:r w:rsidRPr="00AA7A9E">
        <w:t>TC took a total of 855 extensions in 2014-2015 compared to 2,322 the year before. The most common reason for taking an extension was interference with operations (53.3%), followed by third-party notice (27.7%). Interference with operations was also the institution’s most common reason for extensions in 2013-2014.</w:t>
      </w:r>
    </w:p>
    <w:p w:rsidR="000430A4" w:rsidRPr="00AA7A9E" w:rsidRDefault="000430A4" w:rsidP="000430A4">
      <w:pPr>
        <w:jc w:val="both"/>
      </w:pPr>
      <w:r w:rsidRPr="00AA7A9E">
        <w:t xml:space="preserve">Figure 2 shows that 36.1% of extensions were taken for less than 30 days. This measure is significantly higher than the previous period’s results, where 3.4% of extensions were processed within 30 days or </w:t>
      </w:r>
      <w:r w:rsidRPr="00AA7A9E">
        <w:lastRenderedPageBreak/>
        <w:t>less. Figure 2 also shows that the number of requests extended between 31 and 60 days increased from 4.3% in 2013-2014 to 19.5% in 2014-2015.</w:t>
      </w:r>
    </w:p>
    <w:p w:rsidR="000430A4" w:rsidRDefault="000430A4" w:rsidP="000430A4">
      <w:r w:rsidRPr="007C591D">
        <w:rPr>
          <w:rStyle w:val="Heading3Char"/>
        </w:rPr>
        <w:t>Figure 2: Length of Extensions</w:t>
      </w:r>
      <w:r w:rsidRPr="00686515">
        <w:rPr>
          <w:noProof/>
        </w:rPr>
        <w:drawing>
          <wp:inline distT="0" distB="0" distL="0" distR="0">
            <wp:extent cx="5947576" cy="3848431"/>
            <wp:effectExtent l="0" t="0" r="0" b="0"/>
            <wp:docPr id="3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430A4" w:rsidRPr="00D2368F" w:rsidRDefault="000430A4" w:rsidP="000430A4">
      <w:pPr>
        <w:pStyle w:val="Heading4"/>
      </w:pPr>
      <w:r>
        <w:t>Deemed refusals</w:t>
      </w:r>
    </w:p>
    <w:p w:rsidR="000430A4" w:rsidRPr="00AA7A9E" w:rsidRDefault="000430A4" w:rsidP="000430A4">
      <w:pPr>
        <w:jc w:val="both"/>
      </w:pPr>
      <w:r w:rsidRPr="00AA7A9E">
        <w:t>In 2014-2015, the number of requests closed past the statutory deadline was 146, which accounts for 12.5% of completed requests. This rate represents a “C” grade and a drop from an “A” (4.6%) in the previous period.</w:t>
      </w:r>
      <w:r w:rsidRPr="00AA7A9E">
        <w:rPr>
          <w:rStyle w:val="FootnoteReference"/>
        </w:rPr>
        <w:footnoteReference w:id="41"/>
      </w:r>
      <w:r w:rsidRPr="00AA7A9E">
        <w:t xml:space="preserve"> The main reason for overdue requests this reporting period was workload (67.8%). Figure 3 shows that 37.7% of overdue requests were late by 30 days or less.</w:t>
      </w:r>
    </w:p>
    <w:p w:rsidR="000430A4" w:rsidRDefault="000430A4" w:rsidP="000430A4">
      <w:pPr>
        <w:rPr>
          <w:color w:val="FF0000"/>
          <w:sz w:val="24"/>
          <w:szCs w:val="24"/>
        </w:rPr>
      </w:pPr>
      <w:r w:rsidRPr="007C591D">
        <w:rPr>
          <w:rStyle w:val="Heading3Char"/>
        </w:rPr>
        <w:lastRenderedPageBreak/>
        <w:t>Figure 3: Lateness of Overdue Requests</w:t>
      </w:r>
      <w:r w:rsidRPr="00686515">
        <w:rPr>
          <w:noProof/>
        </w:rPr>
        <w:drawing>
          <wp:inline distT="0" distB="0" distL="0" distR="0">
            <wp:extent cx="5955527" cy="4110824"/>
            <wp:effectExtent l="0" t="0" r="7620" b="4445"/>
            <wp:docPr id="3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430A4" w:rsidRPr="007C591D" w:rsidRDefault="000430A4" w:rsidP="000430A4">
      <w:pPr>
        <w:pStyle w:val="Heading2"/>
      </w:pPr>
      <w:r w:rsidRPr="007C591D">
        <w:t>Disclosure</w:t>
      </w:r>
    </w:p>
    <w:p w:rsidR="000430A4" w:rsidRPr="00D2368F" w:rsidRDefault="000430A4" w:rsidP="000430A4">
      <w:pPr>
        <w:pStyle w:val="Heading4"/>
      </w:pPr>
      <w:r w:rsidRPr="00D2368F">
        <w:t xml:space="preserve">Percentage of requests for </w:t>
      </w:r>
      <w:r>
        <w:t>which information was disclosed</w:t>
      </w:r>
    </w:p>
    <w:p w:rsidR="000430A4" w:rsidRPr="00BE236B" w:rsidRDefault="000430A4" w:rsidP="000430A4">
      <w:pPr>
        <w:jc w:val="both"/>
      </w:pPr>
      <w:r w:rsidRPr="00BE236B">
        <w:t xml:space="preserve">In 2014-2015, </w:t>
      </w:r>
      <w:r>
        <w:t>10.5</w:t>
      </w:r>
      <w:r w:rsidRPr="00BE236B">
        <w:t xml:space="preserve">% of </w:t>
      </w:r>
      <w:r w:rsidRPr="007C3656">
        <w:t>completed requests were entirely disclosed. This is only marginally lower than previous years (see Figure 4). Figure</w:t>
      </w:r>
      <w:r w:rsidRPr="00BE236B">
        <w:t xml:space="preserve"> 4 also shows that the rate for partially disclosed requests was </w:t>
      </w:r>
      <w:r>
        <w:t>56.6%</w:t>
      </w:r>
      <w:r w:rsidRPr="00BE236B">
        <w:t xml:space="preserve"> in 2014-2015, which is a</w:t>
      </w:r>
      <w:r>
        <w:t>n in</w:t>
      </w:r>
      <w:r w:rsidRPr="00BE236B">
        <w:t xml:space="preserve">crease of </w:t>
      </w:r>
      <w:r>
        <w:t>14.4% from the previous period.</w:t>
      </w:r>
    </w:p>
    <w:p w:rsidR="000430A4" w:rsidRDefault="000430A4" w:rsidP="000430A4">
      <w:pPr>
        <w:pStyle w:val="Heading3"/>
        <w:spacing w:after="200"/>
      </w:pPr>
      <w:r w:rsidRPr="005C7F2D">
        <w:lastRenderedPageBreak/>
        <w:t>Figure 4: Level of Disclosure</w:t>
      </w:r>
      <w:r w:rsidRPr="00686515">
        <w:rPr>
          <w:noProof/>
        </w:rPr>
        <w:drawing>
          <wp:inline distT="0" distB="0" distL="0" distR="0">
            <wp:extent cx="5947576" cy="3951798"/>
            <wp:effectExtent l="0" t="0" r="0" b="0"/>
            <wp:docPr id="3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430A4" w:rsidRPr="00D2368F" w:rsidRDefault="000430A4" w:rsidP="000430A4">
      <w:pPr>
        <w:pStyle w:val="Heading4"/>
      </w:pPr>
      <w:r>
        <w:t>Exemptions</w:t>
      </w:r>
    </w:p>
    <w:p w:rsidR="000430A4" w:rsidRDefault="000430A4" w:rsidP="000430A4">
      <w:pPr>
        <w:jc w:val="both"/>
      </w:pPr>
      <w:r w:rsidRPr="003F5F7D">
        <w:t xml:space="preserve">The </w:t>
      </w:r>
      <w:r>
        <w:t xml:space="preserve">average </w:t>
      </w:r>
      <w:r w:rsidRPr="003F5F7D">
        <w:t>number of exemption</w:t>
      </w:r>
      <w:r>
        <w:t>s</w:t>
      </w:r>
      <w:r w:rsidRPr="003F5F7D">
        <w:t xml:space="preserve"> used per completed request </w:t>
      </w:r>
      <w:r>
        <w:t>increased</w:t>
      </w:r>
      <w:r w:rsidRPr="003F5F7D">
        <w:t xml:space="preserve"> </w:t>
      </w:r>
      <w:r>
        <w:t>from 1.61 in 2013-2014 to</w:t>
      </w:r>
      <w:r w:rsidRPr="003F5F7D">
        <w:t xml:space="preserve"> </w:t>
      </w:r>
      <w:r>
        <w:t>2.11</w:t>
      </w:r>
      <w:r w:rsidRPr="003F5F7D">
        <w:t xml:space="preserve"> in</w:t>
      </w:r>
      <w:r w:rsidRPr="00591538">
        <w:t xml:space="preserve"> 2013-2014 (see Table 2). The most frequent exemptions applied in 2014-2015 were section 21 (Operations of Government)</w:t>
      </w:r>
      <w:r>
        <w:t xml:space="preserve"> (26.8</w:t>
      </w:r>
      <w:r w:rsidRPr="00591538">
        <w:t>%), section 20 (Third-Party Information) (24</w:t>
      </w:r>
      <w:r>
        <w:t>.2</w:t>
      </w:r>
      <w:r w:rsidRPr="00591538">
        <w:t>%) and section 19 (Personal Information) (20</w:t>
      </w:r>
      <w:r>
        <w:t>.4</w:t>
      </w:r>
      <w:r w:rsidRPr="00591538">
        <w:t>%). The application of all three provisions nearly doubled in comparison to the previous period.</w:t>
      </w:r>
    </w:p>
    <w:p w:rsidR="000430A4" w:rsidRPr="00A54D09" w:rsidRDefault="000430A4" w:rsidP="000430A4">
      <w:pPr>
        <w:pStyle w:val="Heading3"/>
      </w:pPr>
      <w:r w:rsidRPr="00A54D09">
        <w:t>Table 2: Exemptions</w:t>
      </w:r>
    </w:p>
    <w:tbl>
      <w:tblPr>
        <w:tblW w:w="9719" w:type="dxa"/>
        <w:tblInd w:w="98" w:type="dxa"/>
        <w:tblLook w:val="04A0"/>
      </w:tblPr>
      <w:tblGrid>
        <w:gridCol w:w="5582"/>
        <w:gridCol w:w="1379"/>
        <w:gridCol w:w="1379"/>
        <w:gridCol w:w="1379"/>
      </w:tblGrid>
      <w:tr w:rsidR="000430A4" w:rsidRPr="007B0D62" w:rsidTr="002F32F0">
        <w:trPr>
          <w:trHeight w:val="322"/>
        </w:trPr>
        <w:tc>
          <w:tcPr>
            <w:tcW w:w="5582"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t xml:space="preserve">Exemptions </w:t>
            </w:r>
          </w:p>
        </w:tc>
        <w:tc>
          <w:tcPr>
            <w:tcW w:w="1379" w:type="dxa"/>
            <w:tcBorders>
              <w:top w:val="single" w:sz="8" w:space="0" w:color="auto"/>
              <w:left w:val="nil"/>
              <w:bottom w:val="single" w:sz="8" w:space="0" w:color="auto"/>
              <w:right w:val="nil"/>
            </w:tcBorders>
            <w:shd w:val="clear" w:color="000000" w:fill="DBE5F1"/>
            <w:noWrap/>
            <w:vAlign w:val="bottom"/>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2012-2013</w:t>
            </w:r>
          </w:p>
        </w:tc>
        <w:tc>
          <w:tcPr>
            <w:tcW w:w="1379" w:type="dxa"/>
            <w:tcBorders>
              <w:top w:val="single" w:sz="8" w:space="0" w:color="auto"/>
              <w:left w:val="nil"/>
              <w:bottom w:val="single" w:sz="8" w:space="0" w:color="auto"/>
              <w:right w:val="nil"/>
            </w:tcBorders>
            <w:shd w:val="clear" w:color="000000" w:fill="DBE5F1"/>
            <w:noWrap/>
            <w:vAlign w:val="bottom"/>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2013-2014</w:t>
            </w:r>
          </w:p>
        </w:tc>
        <w:tc>
          <w:tcPr>
            <w:tcW w:w="1379"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7B0D62" w:rsidRDefault="000430A4" w:rsidP="002F32F0">
            <w:pPr>
              <w:spacing w:after="0" w:line="240" w:lineRule="auto"/>
              <w:jc w:val="center"/>
              <w:rPr>
                <w:rFonts w:ascii="Calibri" w:eastAsia="Times New Roman" w:hAnsi="Calibri" w:cs="Times New Roman"/>
                <w:b/>
                <w:bCs/>
                <w:color w:val="000000"/>
              </w:rPr>
            </w:pPr>
            <w:r w:rsidRPr="007B0D62">
              <w:rPr>
                <w:rFonts w:ascii="Calibri" w:eastAsia="Times New Roman" w:hAnsi="Calibri" w:cs="Times New Roman"/>
                <w:b/>
                <w:bCs/>
                <w:color w:val="000000"/>
              </w:rPr>
              <w:t>2014-2015</w:t>
            </w:r>
          </w:p>
        </w:tc>
      </w:tr>
      <w:tr w:rsidR="000430A4" w:rsidRPr="007B0D62" w:rsidTr="002F32F0">
        <w:trPr>
          <w:trHeight w:val="307"/>
        </w:trPr>
        <w:tc>
          <w:tcPr>
            <w:tcW w:w="5582" w:type="dxa"/>
            <w:tcBorders>
              <w:top w:val="nil"/>
              <w:left w:val="single" w:sz="8" w:space="0" w:color="auto"/>
              <w:bottom w:val="nil"/>
              <w:right w:val="nil"/>
            </w:tcBorders>
            <w:shd w:val="clear" w:color="auto" w:fill="auto"/>
            <w:noWrap/>
            <w:vAlign w:val="bottom"/>
            <w:hideMark/>
          </w:tcPr>
          <w:p w:rsidR="000430A4" w:rsidRPr="007B0D62"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number of exemptions</w:t>
            </w:r>
          </w:p>
        </w:tc>
        <w:tc>
          <w:tcPr>
            <w:tcW w:w="1379" w:type="dxa"/>
            <w:tcBorders>
              <w:top w:val="nil"/>
              <w:left w:val="nil"/>
              <w:bottom w:val="nil"/>
              <w:right w:val="nil"/>
            </w:tcBorders>
            <w:shd w:val="clear" w:color="auto" w:fill="auto"/>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1</w:t>
            </w:r>
            <w:r w:rsidR="000A6BE0">
              <w:rPr>
                <w:rFonts w:ascii="Calibri" w:eastAsia="Times New Roman" w:hAnsi="Calibri" w:cs="Times New Roman"/>
                <w:color w:val="000000"/>
              </w:rPr>
              <w:t>,</w:t>
            </w:r>
            <w:r w:rsidRPr="007B0D62">
              <w:rPr>
                <w:rFonts w:ascii="Calibri" w:eastAsia="Times New Roman" w:hAnsi="Calibri" w:cs="Times New Roman"/>
                <w:color w:val="000000"/>
              </w:rPr>
              <w:t>384</w:t>
            </w:r>
          </w:p>
        </w:tc>
        <w:tc>
          <w:tcPr>
            <w:tcW w:w="1379" w:type="dxa"/>
            <w:tcBorders>
              <w:top w:val="nil"/>
              <w:left w:val="nil"/>
              <w:bottom w:val="nil"/>
              <w:right w:val="nil"/>
            </w:tcBorders>
            <w:shd w:val="clear" w:color="auto" w:fill="auto"/>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2</w:t>
            </w:r>
            <w:r w:rsidR="000A6BE0">
              <w:rPr>
                <w:rFonts w:ascii="Calibri" w:eastAsia="Times New Roman" w:hAnsi="Calibri" w:cs="Times New Roman"/>
                <w:color w:val="000000"/>
              </w:rPr>
              <w:t>,</w:t>
            </w:r>
            <w:r w:rsidRPr="007B0D62">
              <w:rPr>
                <w:rFonts w:ascii="Calibri" w:eastAsia="Times New Roman" w:hAnsi="Calibri" w:cs="Times New Roman"/>
                <w:color w:val="000000"/>
              </w:rPr>
              <w:t>895</w:t>
            </w:r>
          </w:p>
        </w:tc>
        <w:tc>
          <w:tcPr>
            <w:tcW w:w="1379" w:type="dxa"/>
            <w:tcBorders>
              <w:top w:val="nil"/>
              <w:left w:val="nil"/>
              <w:bottom w:val="nil"/>
              <w:right w:val="single" w:sz="8" w:space="0" w:color="auto"/>
            </w:tcBorders>
            <w:shd w:val="clear" w:color="auto" w:fill="auto"/>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2</w:t>
            </w:r>
            <w:r w:rsidR="000A6BE0">
              <w:rPr>
                <w:rFonts w:ascii="Calibri" w:eastAsia="Times New Roman" w:hAnsi="Calibri" w:cs="Times New Roman"/>
                <w:color w:val="000000"/>
              </w:rPr>
              <w:t>,</w:t>
            </w:r>
            <w:r w:rsidRPr="007B0D62">
              <w:rPr>
                <w:rFonts w:ascii="Calibri" w:eastAsia="Times New Roman" w:hAnsi="Calibri" w:cs="Times New Roman"/>
                <w:color w:val="000000"/>
              </w:rPr>
              <w:t>464</w:t>
            </w:r>
          </w:p>
        </w:tc>
      </w:tr>
      <w:tr w:rsidR="000430A4" w:rsidRPr="007B0D62" w:rsidTr="002F32F0">
        <w:trPr>
          <w:trHeight w:val="307"/>
        </w:trPr>
        <w:tc>
          <w:tcPr>
            <w:tcW w:w="5582" w:type="dxa"/>
            <w:tcBorders>
              <w:top w:val="nil"/>
              <w:left w:val="single" w:sz="8" w:space="0" w:color="auto"/>
              <w:bottom w:val="nil"/>
              <w:right w:val="nil"/>
            </w:tcBorders>
            <w:shd w:val="clear" w:color="auto" w:fill="auto"/>
            <w:noWrap/>
            <w:vAlign w:val="bottom"/>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t>Total number of completed requests</w:t>
            </w:r>
          </w:p>
        </w:tc>
        <w:tc>
          <w:tcPr>
            <w:tcW w:w="1379" w:type="dxa"/>
            <w:tcBorders>
              <w:top w:val="nil"/>
              <w:left w:val="nil"/>
              <w:bottom w:val="nil"/>
              <w:right w:val="nil"/>
            </w:tcBorders>
            <w:shd w:val="clear" w:color="auto" w:fill="auto"/>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1</w:t>
            </w:r>
            <w:r w:rsidR="000A6BE0">
              <w:rPr>
                <w:rFonts w:ascii="Calibri" w:eastAsia="Times New Roman" w:hAnsi="Calibri" w:cs="Times New Roman"/>
                <w:color w:val="000000"/>
              </w:rPr>
              <w:t>,</w:t>
            </w:r>
            <w:r w:rsidRPr="007B0D62">
              <w:rPr>
                <w:rFonts w:ascii="Calibri" w:eastAsia="Times New Roman" w:hAnsi="Calibri" w:cs="Times New Roman"/>
                <w:color w:val="000000"/>
              </w:rPr>
              <w:t>419</w:t>
            </w:r>
          </w:p>
        </w:tc>
        <w:tc>
          <w:tcPr>
            <w:tcW w:w="1379" w:type="dxa"/>
            <w:tcBorders>
              <w:top w:val="nil"/>
              <w:left w:val="nil"/>
              <w:bottom w:val="nil"/>
              <w:right w:val="nil"/>
            </w:tcBorders>
            <w:shd w:val="clear" w:color="auto" w:fill="auto"/>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1</w:t>
            </w:r>
            <w:r w:rsidR="000A6BE0">
              <w:rPr>
                <w:rFonts w:ascii="Calibri" w:eastAsia="Times New Roman" w:hAnsi="Calibri" w:cs="Times New Roman"/>
                <w:color w:val="000000"/>
              </w:rPr>
              <w:t>,</w:t>
            </w:r>
            <w:r w:rsidRPr="007B0D62">
              <w:rPr>
                <w:rFonts w:ascii="Calibri" w:eastAsia="Times New Roman" w:hAnsi="Calibri" w:cs="Times New Roman"/>
                <w:color w:val="000000"/>
              </w:rPr>
              <w:t>794</w:t>
            </w:r>
          </w:p>
        </w:tc>
        <w:tc>
          <w:tcPr>
            <w:tcW w:w="1379" w:type="dxa"/>
            <w:tcBorders>
              <w:top w:val="nil"/>
              <w:left w:val="nil"/>
              <w:bottom w:val="nil"/>
              <w:right w:val="single" w:sz="8" w:space="0" w:color="auto"/>
            </w:tcBorders>
            <w:shd w:val="clear" w:color="auto" w:fill="auto"/>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1</w:t>
            </w:r>
            <w:r w:rsidR="000A6BE0">
              <w:rPr>
                <w:rFonts w:ascii="Calibri" w:eastAsia="Times New Roman" w:hAnsi="Calibri" w:cs="Times New Roman"/>
                <w:color w:val="000000"/>
              </w:rPr>
              <w:t>,</w:t>
            </w:r>
            <w:r w:rsidRPr="007B0D62">
              <w:rPr>
                <w:rFonts w:ascii="Calibri" w:eastAsia="Times New Roman" w:hAnsi="Calibri" w:cs="Times New Roman"/>
                <w:color w:val="000000"/>
              </w:rPr>
              <w:t>167</w:t>
            </w:r>
          </w:p>
        </w:tc>
      </w:tr>
      <w:tr w:rsidR="000430A4" w:rsidRPr="007B0D62" w:rsidTr="002F32F0">
        <w:trPr>
          <w:trHeight w:val="322"/>
        </w:trPr>
        <w:tc>
          <w:tcPr>
            <w:tcW w:w="5582" w:type="dxa"/>
            <w:tcBorders>
              <w:top w:val="nil"/>
              <w:left w:val="single" w:sz="8" w:space="0" w:color="auto"/>
              <w:bottom w:val="single" w:sz="8" w:space="0" w:color="auto"/>
              <w:right w:val="nil"/>
            </w:tcBorders>
            <w:shd w:val="clear" w:color="000000" w:fill="DBE5F1"/>
            <w:noWrap/>
            <w:vAlign w:val="bottom"/>
            <w:hideMark/>
          </w:tcPr>
          <w:p w:rsidR="000430A4" w:rsidRPr="007B0D62" w:rsidRDefault="000430A4" w:rsidP="002F32F0">
            <w:pPr>
              <w:spacing w:after="0" w:line="240" w:lineRule="auto"/>
              <w:rPr>
                <w:rFonts w:ascii="Calibri" w:eastAsia="Times New Roman" w:hAnsi="Calibri" w:cs="Times New Roman"/>
                <w:color w:val="000000"/>
              </w:rPr>
            </w:pPr>
            <w:r w:rsidRPr="007B0D62">
              <w:rPr>
                <w:rFonts w:ascii="Calibri" w:eastAsia="Times New Roman" w:hAnsi="Calibri" w:cs="Times New Roman"/>
                <w:color w:val="000000"/>
              </w:rPr>
              <w:t xml:space="preserve">Average number of exemptions per request </w:t>
            </w:r>
          </w:p>
        </w:tc>
        <w:tc>
          <w:tcPr>
            <w:tcW w:w="1379" w:type="dxa"/>
            <w:tcBorders>
              <w:top w:val="nil"/>
              <w:left w:val="nil"/>
              <w:bottom w:val="single" w:sz="8" w:space="0" w:color="auto"/>
              <w:right w:val="nil"/>
            </w:tcBorders>
            <w:shd w:val="clear" w:color="000000" w:fill="DBE5F1"/>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0.98</w:t>
            </w:r>
          </w:p>
        </w:tc>
        <w:tc>
          <w:tcPr>
            <w:tcW w:w="1379" w:type="dxa"/>
            <w:tcBorders>
              <w:top w:val="nil"/>
              <w:left w:val="nil"/>
              <w:bottom w:val="single" w:sz="8" w:space="0" w:color="auto"/>
              <w:right w:val="nil"/>
            </w:tcBorders>
            <w:shd w:val="clear" w:color="000000" w:fill="DBE5F1"/>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1.6</w:t>
            </w:r>
            <w:r>
              <w:rPr>
                <w:rFonts w:ascii="Calibri" w:eastAsia="Times New Roman" w:hAnsi="Calibri" w:cs="Times New Roman"/>
                <w:color w:val="000000"/>
              </w:rPr>
              <w:t>1</w:t>
            </w:r>
          </w:p>
        </w:tc>
        <w:tc>
          <w:tcPr>
            <w:tcW w:w="1379" w:type="dxa"/>
            <w:tcBorders>
              <w:top w:val="nil"/>
              <w:left w:val="nil"/>
              <w:bottom w:val="single" w:sz="8" w:space="0" w:color="auto"/>
              <w:right w:val="single" w:sz="8" w:space="0" w:color="auto"/>
            </w:tcBorders>
            <w:shd w:val="clear" w:color="000000" w:fill="DBE5F1"/>
            <w:noWrap/>
            <w:vAlign w:val="bottom"/>
            <w:hideMark/>
          </w:tcPr>
          <w:p w:rsidR="000430A4" w:rsidRPr="007B0D62" w:rsidRDefault="000430A4" w:rsidP="002F32F0">
            <w:pPr>
              <w:spacing w:after="0" w:line="240" w:lineRule="auto"/>
              <w:jc w:val="center"/>
              <w:rPr>
                <w:rFonts w:ascii="Calibri" w:eastAsia="Times New Roman" w:hAnsi="Calibri" w:cs="Times New Roman"/>
                <w:color w:val="000000"/>
              </w:rPr>
            </w:pPr>
            <w:r w:rsidRPr="007B0D62">
              <w:rPr>
                <w:rFonts w:ascii="Calibri" w:eastAsia="Times New Roman" w:hAnsi="Calibri" w:cs="Times New Roman"/>
                <w:color w:val="000000"/>
              </w:rPr>
              <w:t>2.1</w:t>
            </w:r>
            <w:r>
              <w:rPr>
                <w:rFonts w:ascii="Calibri" w:eastAsia="Times New Roman" w:hAnsi="Calibri" w:cs="Times New Roman"/>
                <w:color w:val="000000"/>
              </w:rPr>
              <w:t>1</w:t>
            </w:r>
          </w:p>
        </w:tc>
      </w:tr>
    </w:tbl>
    <w:p w:rsidR="000430A4" w:rsidRPr="007C591D" w:rsidRDefault="000430A4" w:rsidP="000430A4">
      <w:pPr>
        <w:pStyle w:val="Heading2"/>
        <w:spacing w:before="240"/>
      </w:pPr>
      <w:r w:rsidRPr="007C591D">
        <w:t>Complaints at the OIC</w:t>
      </w:r>
    </w:p>
    <w:p w:rsidR="000430A4" w:rsidRDefault="000430A4" w:rsidP="000430A4">
      <w:pPr>
        <w:jc w:val="both"/>
      </w:pPr>
      <w:r w:rsidRPr="00822A8A">
        <w:t>In 2014-2015, the OIC received 87 complaints</w:t>
      </w:r>
      <w:r>
        <w:rPr>
          <w:rStyle w:val="FootnoteReference"/>
        </w:rPr>
        <w:footnoteReference w:id="42"/>
      </w:r>
      <w:r w:rsidRPr="00822A8A">
        <w:t xml:space="preserve"> against TC, which is a slight increase from the 83 complaints received the previous period. The majority of complaints were refusals</w:t>
      </w:r>
      <w:r>
        <w:t>. C</w:t>
      </w:r>
      <w:r w:rsidRPr="00822A8A">
        <w:t>ompared to the previous year</w:t>
      </w:r>
      <w:r>
        <w:t>,</w:t>
      </w:r>
      <w:r w:rsidRPr="00822A8A">
        <w:t xml:space="preserve"> the difference between administrative and refusal complaints marks a substantial </w:t>
      </w:r>
      <w:r w:rsidRPr="00822A8A">
        <w:lastRenderedPageBreak/>
        <w:t>increase (38 administrative and 45 refusal complaints in 2013-2014 compared to 16 administrative</w:t>
      </w:r>
      <w:r>
        <w:t xml:space="preserve"> and 71 refusals in 2014-2015).</w:t>
      </w:r>
    </w:p>
    <w:p w:rsidR="000430A4" w:rsidRPr="00822A8A" w:rsidRDefault="000430A4" w:rsidP="000430A4">
      <w:pPr>
        <w:jc w:val="both"/>
      </w:pPr>
      <w:r w:rsidRPr="00822A8A">
        <w:t>In this reporting period, 3 complaints were not well-founded, 16 were well-founded and resolved, 38 were discontinued and 29 were pending resolution</w:t>
      </w:r>
      <w:r>
        <w:t>.</w:t>
      </w:r>
    </w:p>
    <w:p w:rsidR="000430A4" w:rsidRDefault="000430A4">
      <w:r>
        <w:br w:type="page"/>
      </w:r>
    </w:p>
    <w:p w:rsidR="000430A4" w:rsidRPr="001E5565" w:rsidRDefault="000430A4" w:rsidP="000430A4">
      <w:pPr>
        <w:pStyle w:val="Heading1"/>
      </w:pPr>
      <w:r w:rsidRPr="001E5565">
        <w:lastRenderedPageBreak/>
        <w:t>Infrastructure Canada</w:t>
      </w:r>
    </w:p>
    <w:p w:rsidR="000430A4" w:rsidRPr="0002374B" w:rsidRDefault="000430A4" w:rsidP="000430A4">
      <w:pPr>
        <w:jc w:val="both"/>
        <w:rPr>
          <w:b/>
        </w:rPr>
      </w:pPr>
      <w:r w:rsidRPr="0002374B">
        <w:rPr>
          <w:rStyle w:val="Heading2Char"/>
        </w:rPr>
        <w:t>Overall performance</w:t>
      </w:r>
      <w:r>
        <w:rPr>
          <w:rStyle w:val="FootnoteReference"/>
          <w:b/>
        </w:rPr>
        <w:footnoteReference w:id="43"/>
      </w:r>
    </w:p>
    <w:p w:rsidR="000430A4" w:rsidRPr="00CE52A1" w:rsidRDefault="000430A4" w:rsidP="000430A4">
      <w:pPr>
        <w:jc w:val="both"/>
      </w:pPr>
      <w:r w:rsidRPr="00CE52A1">
        <w:t xml:space="preserve">Infrastructure Canada (INFC) improved the number of requests completed within 30 day by 51.4% despite a large increase in the number of requests </w:t>
      </w:r>
      <w:r>
        <w:t xml:space="preserve">of </w:t>
      </w:r>
      <w:r w:rsidRPr="00CE52A1">
        <w:t>2</w:t>
      </w:r>
      <w:r>
        <w:t>,</w:t>
      </w:r>
      <w:r w:rsidRPr="00CE52A1">
        <w:t>318.4%</w:t>
      </w:r>
      <w:r>
        <w:rPr>
          <w:rStyle w:val="FootnoteReference"/>
        </w:rPr>
        <w:footnoteReference w:id="44"/>
      </w:r>
      <w:r>
        <w:t xml:space="preserve"> (from 38 to 919)</w:t>
      </w:r>
      <w:r w:rsidRPr="00CE52A1">
        <w:t>. This report provides comparative statistics for the last three periods (2012-2015).</w:t>
      </w:r>
    </w:p>
    <w:p w:rsidR="000430A4" w:rsidRPr="0002374B" w:rsidRDefault="000430A4" w:rsidP="000430A4">
      <w:pPr>
        <w:pStyle w:val="Heading2"/>
      </w:pPr>
      <w:r w:rsidRPr="0002374B">
        <w:t>Workload</w:t>
      </w:r>
    </w:p>
    <w:p w:rsidR="000430A4" w:rsidRPr="00CE52A1" w:rsidRDefault="000430A4" w:rsidP="000430A4">
      <w:pPr>
        <w:jc w:val="both"/>
      </w:pPr>
      <w:r w:rsidRPr="00CE52A1">
        <w:t xml:space="preserve">INFC received 919 requests under the </w:t>
      </w:r>
      <w:r w:rsidRPr="00CE52A1">
        <w:rPr>
          <w:i/>
        </w:rPr>
        <w:t>Access to</w:t>
      </w:r>
      <w:r w:rsidRPr="00CE52A1">
        <w:t xml:space="preserve"> </w:t>
      </w:r>
      <w:r w:rsidRPr="00CE52A1">
        <w:rPr>
          <w:i/>
        </w:rPr>
        <w:t>Information Act</w:t>
      </w:r>
      <w:r w:rsidRPr="00CE52A1">
        <w:t xml:space="preserve"> (the Act),</w:t>
      </w:r>
      <w:r>
        <w:t xml:space="preserve"> representing 1.4</w:t>
      </w:r>
      <w:r w:rsidRPr="00CE52A1">
        <w:t>% of total requests across government in 2014-2015. In 2013-2014, INFC received 38 requests. The majority of requests received by INFC in 2014-2015 were from the media (87.7%).We note that the number of media requests increased from 12 in 2013-2014 to 806 in 2014-2015</w:t>
      </w:r>
      <w:r>
        <w:t>.</w:t>
      </w:r>
    </w:p>
    <w:p w:rsidR="000430A4" w:rsidRPr="005E19EE" w:rsidRDefault="000430A4" w:rsidP="000430A4">
      <w:pPr>
        <w:shd w:val="clear" w:color="auto" w:fill="FFFFFF" w:themeFill="background1"/>
        <w:jc w:val="both"/>
      </w:pPr>
      <w:r w:rsidRPr="00CE52A1">
        <w:t>INFC completed 831 requests this reporting period. The completion rate</w:t>
      </w:r>
      <w:r w:rsidRPr="00CE52A1">
        <w:rPr>
          <w:rStyle w:val="FootnoteReference"/>
        </w:rPr>
        <w:footnoteReference w:id="45"/>
      </w:r>
      <w:r w:rsidRPr="00CE52A1">
        <w:t xml:space="preserve"> was 89.2%, which is above the government-wide rate of 85.1%. In 2013-2014, INFC’s completion rate was 79</w:t>
      </w:r>
      <w:r>
        <w:t>.4</w:t>
      </w:r>
      <w:r w:rsidRPr="00CE52A1">
        <w:t xml:space="preserve">%. INFC also received 19 informal requests in 2014-2015, all of which were completed within 30 days. The number of consultations received by INFC from other federal government institutions decreased from 82 to 27, representing a decrease of 67.1% </w:t>
      </w:r>
      <w:r>
        <w:t>compared to 2013-2014.</w:t>
      </w:r>
    </w:p>
    <w:p w:rsidR="000430A4" w:rsidRPr="007A00C7" w:rsidRDefault="000430A4" w:rsidP="000430A4">
      <w:pPr>
        <w:shd w:val="clear" w:color="auto" w:fill="FFFFFF" w:themeFill="background1"/>
        <w:jc w:val="both"/>
      </w:pPr>
      <w:r w:rsidRPr="005E19EE">
        <w:t xml:space="preserve">The total number of pages processed this reporting period was 326,696, a stark increase from the 15,430 pages processed in 2013-2014. The average number of pages processed per completed request increased </w:t>
      </w:r>
      <w:r w:rsidRPr="00EA1CEC">
        <w:t>from</w:t>
      </w:r>
      <w:r>
        <w:t xml:space="preserve"> 417 in 2013-2014 to 4,083 in 2014-2015.</w:t>
      </w:r>
    </w:p>
    <w:p w:rsidR="000430A4" w:rsidRPr="007A00C7" w:rsidRDefault="000430A4" w:rsidP="000430A4">
      <w:pPr>
        <w:jc w:val="both"/>
      </w:pPr>
      <w:r w:rsidRPr="007A00C7">
        <w:t xml:space="preserve">The information released by INFC was </w:t>
      </w:r>
      <w:r>
        <w:t xml:space="preserve">mostly in </w:t>
      </w:r>
      <w:r w:rsidRPr="007A00C7">
        <w:t xml:space="preserve">paper </w:t>
      </w:r>
      <w:r>
        <w:t>format: 50 in paper format and 23 in electronic format. In 2013-2014, 36</w:t>
      </w:r>
      <w:r w:rsidRPr="007A00C7">
        <w:t xml:space="preserve"> requests </w:t>
      </w:r>
      <w:r>
        <w:t xml:space="preserve">were released in paper format </w:t>
      </w:r>
      <w:r w:rsidRPr="007A00C7">
        <w:t xml:space="preserve">and </w:t>
      </w:r>
      <w:r>
        <w:t>no requests were released electronically.</w:t>
      </w:r>
    </w:p>
    <w:p w:rsidR="000430A4" w:rsidRDefault="000430A4" w:rsidP="000430A4">
      <w:pPr>
        <w:pStyle w:val="Heading3"/>
      </w:pPr>
      <w:r w:rsidRPr="00D2368F">
        <w:t xml:space="preserve">Table </w:t>
      </w:r>
      <w:r>
        <w:t xml:space="preserve">1: </w:t>
      </w:r>
      <w:r w:rsidRPr="0002374B">
        <w:t>Workload</w:t>
      </w:r>
    </w:p>
    <w:tbl>
      <w:tblPr>
        <w:tblW w:w="9471" w:type="dxa"/>
        <w:tblInd w:w="98" w:type="dxa"/>
        <w:tblLook w:val="04A0"/>
      </w:tblPr>
      <w:tblGrid>
        <w:gridCol w:w="5455"/>
        <w:gridCol w:w="1330"/>
        <w:gridCol w:w="1330"/>
        <w:gridCol w:w="1356"/>
      </w:tblGrid>
      <w:tr w:rsidR="000430A4" w:rsidRPr="00291D40" w:rsidTr="002F32F0">
        <w:trPr>
          <w:trHeight w:val="452"/>
        </w:trPr>
        <w:tc>
          <w:tcPr>
            <w:tcW w:w="5455" w:type="dxa"/>
            <w:tcBorders>
              <w:top w:val="single" w:sz="4" w:space="0" w:color="auto"/>
              <w:left w:val="single" w:sz="4" w:space="0" w:color="auto"/>
              <w:bottom w:val="single" w:sz="8" w:space="0" w:color="auto"/>
              <w:right w:val="nil"/>
            </w:tcBorders>
            <w:shd w:val="clear" w:color="auto" w:fill="auto"/>
            <w:noWrap/>
            <w:vAlign w:val="bottom"/>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 xml:space="preserve">Measures </w:t>
            </w:r>
          </w:p>
        </w:tc>
        <w:tc>
          <w:tcPr>
            <w:tcW w:w="1330" w:type="dxa"/>
            <w:tcBorders>
              <w:top w:val="single" w:sz="4" w:space="0" w:color="auto"/>
              <w:left w:val="nil"/>
              <w:bottom w:val="single" w:sz="8" w:space="0" w:color="auto"/>
              <w:right w:val="nil"/>
            </w:tcBorders>
            <w:shd w:val="clear" w:color="auto" w:fill="auto"/>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2012-2013</w:t>
            </w:r>
          </w:p>
        </w:tc>
        <w:tc>
          <w:tcPr>
            <w:tcW w:w="1330" w:type="dxa"/>
            <w:tcBorders>
              <w:top w:val="single" w:sz="4" w:space="0" w:color="auto"/>
              <w:left w:val="nil"/>
              <w:bottom w:val="single" w:sz="8" w:space="0" w:color="auto"/>
              <w:right w:val="nil"/>
            </w:tcBorders>
            <w:shd w:val="clear" w:color="auto" w:fill="auto"/>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2013-2014</w:t>
            </w:r>
          </w:p>
        </w:tc>
        <w:tc>
          <w:tcPr>
            <w:tcW w:w="1356" w:type="dxa"/>
            <w:tcBorders>
              <w:top w:val="single" w:sz="4" w:space="0" w:color="auto"/>
              <w:left w:val="nil"/>
              <w:bottom w:val="single" w:sz="8" w:space="0" w:color="auto"/>
              <w:right w:val="single" w:sz="4" w:space="0" w:color="auto"/>
            </w:tcBorders>
            <w:shd w:val="clear" w:color="auto" w:fill="auto"/>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2014-2015</w:t>
            </w:r>
          </w:p>
        </w:tc>
      </w:tr>
      <w:tr w:rsidR="000430A4" w:rsidRPr="00291D40" w:rsidTr="002F32F0">
        <w:trPr>
          <w:trHeight w:val="291"/>
        </w:trPr>
        <w:tc>
          <w:tcPr>
            <w:tcW w:w="5455" w:type="dxa"/>
            <w:tcBorders>
              <w:top w:val="nil"/>
              <w:left w:val="single" w:sz="4" w:space="0" w:color="auto"/>
              <w:bottom w:val="nil"/>
              <w:right w:val="nil"/>
            </w:tcBorders>
            <w:shd w:val="clear" w:color="000000" w:fill="DBE5F1"/>
            <w:noWrap/>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 xml:space="preserve">Number of requests received </w:t>
            </w:r>
          </w:p>
        </w:tc>
        <w:tc>
          <w:tcPr>
            <w:tcW w:w="1330" w:type="dxa"/>
            <w:tcBorders>
              <w:top w:val="nil"/>
              <w:left w:val="nil"/>
              <w:bottom w:val="nil"/>
              <w:right w:val="nil"/>
            </w:tcBorders>
            <w:shd w:val="clear" w:color="000000" w:fill="DBE5F1"/>
            <w:noWrap/>
            <w:vAlign w:val="center"/>
            <w:hideMark/>
          </w:tcPr>
          <w:p w:rsidR="000430A4" w:rsidRPr="00291D40" w:rsidRDefault="000430A4" w:rsidP="002F32F0">
            <w:pPr>
              <w:spacing w:after="0" w:line="240" w:lineRule="auto"/>
              <w:jc w:val="center"/>
              <w:rPr>
                <w:rFonts w:ascii="Calibri" w:eastAsia="Times New Roman" w:hAnsi="Calibri" w:cs="Times New Roman"/>
                <w:b/>
                <w:bCs/>
                <w:color w:val="000000"/>
              </w:rPr>
            </w:pPr>
            <w:r w:rsidRPr="00291D40">
              <w:rPr>
                <w:rFonts w:ascii="Calibri" w:eastAsia="Times New Roman" w:hAnsi="Calibri" w:cs="Times New Roman"/>
                <w:b/>
                <w:bCs/>
                <w:color w:val="000000"/>
              </w:rPr>
              <w:t>59</w:t>
            </w:r>
          </w:p>
        </w:tc>
        <w:tc>
          <w:tcPr>
            <w:tcW w:w="1330" w:type="dxa"/>
            <w:tcBorders>
              <w:top w:val="nil"/>
              <w:left w:val="nil"/>
              <w:bottom w:val="nil"/>
              <w:right w:val="nil"/>
            </w:tcBorders>
            <w:shd w:val="clear" w:color="000000" w:fill="DBE5F1"/>
            <w:noWrap/>
            <w:vAlign w:val="bottom"/>
            <w:hideMark/>
          </w:tcPr>
          <w:p w:rsidR="000430A4" w:rsidRPr="00291D40" w:rsidRDefault="000430A4" w:rsidP="002F32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38</w:t>
            </w:r>
          </w:p>
        </w:tc>
        <w:tc>
          <w:tcPr>
            <w:tcW w:w="1356" w:type="dxa"/>
            <w:tcBorders>
              <w:top w:val="nil"/>
              <w:left w:val="nil"/>
              <w:bottom w:val="nil"/>
              <w:right w:val="single" w:sz="4" w:space="0" w:color="auto"/>
            </w:tcBorders>
            <w:shd w:val="clear" w:color="000000" w:fill="DBE5F1"/>
            <w:noWrap/>
            <w:vAlign w:val="center"/>
            <w:hideMark/>
          </w:tcPr>
          <w:p w:rsidR="000430A4" w:rsidRPr="00291D40" w:rsidRDefault="000430A4" w:rsidP="002F32F0">
            <w:pPr>
              <w:spacing w:after="0" w:line="240" w:lineRule="auto"/>
              <w:jc w:val="center"/>
              <w:rPr>
                <w:rFonts w:ascii="Calibri" w:eastAsia="Times New Roman" w:hAnsi="Calibri" w:cs="Times New Roman"/>
                <w:b/>
                <w:bCs/>
                <w:color w:val="000000"/>
              </w:rPr>
            </w:pPr>
            <w:r w:rsidRPr="00291D40">
              <w:rPr>
                <w:rFonts w:ascii="Calibri" w:eastAsia="Times New Roman" w:hAnsi="Calibri" w:cs="Times New Roman"/>
                <w:b/>
                <w:bCs/>
                <w:color w:val="000000"/>
              </w:rPr>
              <w:t>919</w:t>
            </w:r>
          </w:p>
        </w:tc>
      </w:tr>
      <w:tr w:rsidR="000430A4" w:rsidRPr="00291D40" w:rsidTr="002F32F0">
        <w:trPr>
          <w:trHeight w:val="291"/>
        </w:trPr>
        <w:tc>
          <w:tcPr>
            <w:tcW w:w="5455" w:type="dxa"/>
            <w:tcBorders>
              <w:top w:val="nil"/>
              <w:left w:val="single" w:sz="4" w:space="0" w:color="auto"/>
              <w:bottom w:val="nil"/>
              <w:right w:val="nil"/>
            </w:tcBorders>
            <w:shd w:val="clear" w:color="auto" w:fill="auto"/>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Annual change (%)</w:t>
            </w:r>
          </w:p>
        </w:tc>
        <w:tc>
          <w:tcPr>
            <w:tcW w:w="1330" w:type="dxa"/>
            <w:tcBorders>
              <w:top w:val="nil"/>
              <w:left w:val="nil"/>
              <w:bottom w:val="nil"/>
              <w:right w:val="nil"/>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w:t>
            </w:r>
          </w:p>
        </w:tc>
        <w:tc>
          <w:tcPr>
            <w:tcW w:w="1330" w:type="dxa"/>
            <w:tcBorders>
              <w:top w:val="nil"/>
              <w:left w:val="nil"/>
              <w:bottom w:val="nil"/>
              <w:right w:val="nil"/>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-35.6%</w:t>
            </w:r>
          </w:p>
        </w:tc>
        <w:tc>
          <w:tcPr>
            <w:tcW w:w="1356" w:type="dxa"/>
            <w:tcBorders>
              <w:top w:val="nil"/>
              <w:left w:val="nil"/>
              <w:bottom w:val="nil"/>
              <w:right w:val="single" w:sz="4" w:space="0" w:color="auto"/>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2</w:t>
            </w:r>
            <w:r w:rsidR="000A6BE0">
              <w:rPr>
                <w:rFonts w:ascii="Calibri" w:eastAsia="Times New Roman" w:hAnsi="Calibri" w:cs="Times New Roman"/>
                <w:color w:val="000000"/>
              </w:rPr>
              <w:t>,</w:t>
            </w:r>
            <w:r w:rsidRPr="00291D40">
              <w:rPr>
                <w:rFonts w:ascii="Calibri" w:eastAsia="Times New Roman" w:hAnsi="Calibri" w:cs="Times New Roman"/>
                <w:color w:val="000000"/>
              </w:rPr>
              <w:t>318.4%</w:t>
            </w:r>
          </w:p>
        </w:tc>
      </w:tr>
      <w:tr w:rsidR="000430A4" w:rsidRPr="00291D40" w:rsidTr="002F32F0">
        <w:trPr>
          <w:trHeight w:val="291"/>
        </w:trPr>
        <w:tc>
          <w:tcPr>
            <w:tcW w:w="5455" w:type="dxa"/>
            <w:tcBorders>
              <w:top w:val="nil"/>
              <w:left w:val="single" w:sz="4" w:space="0" w:color="auto"/>
              <w:right w:val="nil"/>
            </w:tcBorders>
            <w:shd w:val="clear" w:color="000000" w:fill="DBE5F1"/>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Completed requests</w:t>
            </w:r>
          </w:p>
        </w:tc>
        <w:tc>
          <w:tcPr>
            <w:tcW w:w="1330" w:type="dxa"/>
            <w:tcBorders>
              <w:top w:val="nil"/>
              <w:left w:val="nil"/>
              <w:right w:val="nil"/>
            </w:tcBorders>
            <w:shd w:val="clear" w:color="000000" w:fill="DBE5F1"/>
            <w:noWrap/>
            <w:vAlign w:val="center"/>
            <w:hideMark/>
          </w:tcPr>
          <w:p w:rsidR="000430A4" w:rsidRPr="00291D40" w:rsidRDefault="000430A4" w:rsidP="002F32F0">
            <w:pPr>
              <w:spacing w:after="0" w:line="240" w:lineRule="auto"/>
              <w:jc w:val="center"/>
              <w:rPr>
                <w:rFonts w:ascii="Calibri" w:eastAsia="Times New Roman" w:hAnsi="Calibri" w:cs="Times New Roman"/>
                <w:b/>
                <w:bCs/>
                <w:color w:val="000000"/>
              </w:rPr>
            </w:pPr>
            <w:r w:rsidRPr="00291D40">
              <w:rPr>
                <w:rFonts w:ascii="Calibri" w:eastAsia="Times New Roman" w:hAnsi="Calibri" w:cs="Times New Roman"/>
                <w:b/>
                <w:bCs/>
                <w:color w:val="000000"/>
              </w:rPr>
              <w:t>56</w:t>
            </w:r>
          </w:p>
        </w:tc>
        <w:tc>
          <w:tcPr>
            <w:tcW w:w="1330" w:type="dxa"/>
            <w:tcBorders>
              <w:top w:val="nil"/>
              <w:left w:val="nil"/>
              <w:right w:val="nil"/>
            </w:tcBorders>
            <w:shd w:val="clear" w:color="000000" w:fill="DBE5F1"/>
            <w:noWrap/>
            <w:vAlign w:val="center"/>
            <w:hideMark/>
          </w:tcPr>
          <w:p w:rsidR="000430A4" w:rsidRPr="00291D40" w:rsidRDefault="000430A4" w:rsidP="002F32F0">
            <w:pPr>
              <w:spacing w:after="0" w:line="240" w:lineRule="auto"/>
              <w:jc w:val="center"/>
              <w:rPr>
                <w:rFonts w:ascii="Calibri" w:eastAsia="Times New Roman" w:hAnsi="Calibri" w:cs="Times New Roman"/>
                <w:b/>
                <w:bCs/>
                <w:color w:val="000000"/>
              </w:rPr>
            </w:pPr>
            <w:r w:rsidRPr="00291D40">
              <w:rPr>
                <w:rFonts w:ascii="Calibri" w:eastAsia="Times New Roman" w:hAnsi="Calibri" w:cs="Times New Roman"/>
                <w:b/>
                <w:bCs/>
                <w:color w:val="000000"/>
              </w:rPr>
              <w:t>50</w:t>
            </w:r>
          </w:p>
        </w:tc>
        <w:tc>
          <w:tcPr>
            <w:tcW w:w="1356" w:type="dxa"/>
            <w:tcBorders>
              <w:top w:val="nil"/>
              <w:left w:val="nil"/>
              <w:right w:val="single" w:sz="4" w:space="0" w:color="auto"/>
            </w:tcBorders>
            <w:shd w:val="clear" w:color="000000" w:fill="DBE5F1"/>
            <w:noWrap/>
            <w:vAlign w:val="center"/>
            <w:hideMark/>
          </w:tcPr>
          <w:p w:rsidR="000430A4" w:rsidRPr="00291D40" w:rsidRDefault="000430A4" w:rsidP="002F32F0">
            <w:pPr>
              <w:spacing w:after="0" w:line="240" w:lineRule="auto"/>
              <w:jc w:val="center"/>
              <w:rPr>
                <w:rFonts w:ascii="Calibri" w:eastAsia="Times New Roman" w:hAnsi="Calibri" w:cs="Times New Roman"/>
                <w:b/>
                <w:bCs/>
                <w:color w:val="000000"/>
              </w:rPr>
            </w:pPr>
            <w:r w:rsidRPr="00291D40">
              <w:rPr>
                <w:rFonts w:ascii="Calibri" w:eastAsia="Times New Roman" w:hAnsi="Calibri" w:cs="Times New Roman"/>
                <w:b/>
                <w:bCs/>
                <w:color w:val="000000"/>
              </w:rPr>
              <w:t>831</w:t>
            </w:r>
          </w:p>
        </w:tc>
      </w:tr>
      <w:tr w:rsidR="000430A4" w:rsidRPr="00291D40" w:rsidTr="002F32F0">
        <w:trPr>
          <w:trHeight w:val="305"/>
        </w:trPr>
        <w:tc>
          <w:tcPr>
            <w:tcW w:w="5455" w:type="dxa"/>
            <w:tcBorders>
              <w:top w:val="nil"/>
              <w:left w:val="single" w:sz="4" w:space="0" w:color="auto"/>
              <w:right w:val="nil"/>
            </w:tcBorders>
            <w:shd w:val="clear" w:color="auto" w:fill="auto"/>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Annual change</w:t>
            </w:r>
          </w:p>
        </w:tc>
        <w:tc>
          <w:tcPr>
            <w:tcW w:w="1330" w:type="dxa"/>
            <w:tcBorders>
              <w:top w:val="nil"/>
              <w:left w:val="nil"/>
              <w:right w:val="nil"/>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w:t>
            </w:r>
          </w:p>
        </w:tc>
        <w:tc>
          <w:tcPr>
            <w:tcW w:w="1330" w:type="dxa"/>
            <w:tcBorders>
              <w:top w:val="nil"/>
              <w:left w:val="nil"/>
              <w:right w:val="nil"/>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-10.7%</w:t>
            </w:r>
          </w:p>
        </w:tc>
        <w:tc>
          <w:tcPr>
            <w:tcW w:w="1356" w:type="dxa"/>
            <w:tcBorders>
              <w:top w:val="nil"/>
              <w:left w:val="nil"/>
              <w:right w:val="single" w:sz="4" w:space="0" w:color="auto"/>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1</w:t>
            </w:r>
            <w:r w:rsidR="000A6BE0">
              <w:rPr>
                <w:rFonts w:ascii="Calibri" w:eastAsia="Times New Roman" w:hAnsi="Calibri" w:cs="Times New Roman"/>
                <w:color w:val="000000"/>
              </w:rPr>
              <w:t>,</w:t>
            </w:r>
            <w:r w:rsidRPr="00291D40">
              <w:rPr>
                <w:rFonts w:ascii="Calibri" w:eastAsia="Times New Roman" w:hAnsi="Calibri" w:cs="Times New Roman"/>
                <w:color w:val="000000"/>
              </w:rPr>
              <w:t>562.0%</w:t>
            </w:r>
          </w:p>
        </w:tc>
      </w:tr>
      <w:tr w:rsidR="000430A4" w:rsidRPr="00291D40" w:rsidTr="002F32F0">
        <w:trPr>
          <w:trHeight w:val="595"/>
        </w:trPr>
        <w:tc>
          <w:tcPr>
            <w:tcW w:w="5455" w:type="dxa"/>
            <w:tcBorders>
              <w:top w:val="nil"/>
              <w:left w:val="single" w:sz="4" w:space="0" w:color="auto"/>
              <w:right w:val="nil"/>
            </w:tcBorders>
            <w:shd w:val="clear" w:color="000000" w:fill="DBE5F1"/>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Number of consultations received (from other government institutions)</w:t>
            </w:r>
          </w:p>
        </w:tc>
        <w:tc>
          <w:tcPr>
            <w:tcW w:w="1330" w:type="dxa"/>
            <w:tcBorders>
              <w:top w:val="nil"/>
              <w:left w:val="nil"/>
              <w:right w:val="nil"/>
            </w:tcBorders>
            <w:shd w:val="clear" w:color="000000" w:fill="DBE5F1"/>
            <w:noWrap/>
            <w:vAlign w:val="center"/>
            <w:hideMark/>
          </w:tcPr>
          <w:p w:rsidR="000430A4" w:rsidRPr="00291D40" w:rsidRDefault="000430A4" w:rsidP="002F32F0">
            <w:pPr>
              <w:spacing w:after="0" w:line="240" w:lineRule="auto"/>
              <w:jc w:val="center"/>
              <w:rPr>
                <w:rFonts w:ascii="Calibri" w:eastAsia="Times New Roman" w:hAnsi="Calibri" w:cs="Times New Roman"/>
                <w:b/>
                <w:bCs/>
                <w:color w:val="000000"/>
              </w:rPr>
            </w:pPr>
            <w:r w:rsidRPr="00291D40">
              <w:rPr>
                <w:rFonts w:ascii="Calibri" w:eastAsia="Times New Roman" w:hAnsi="Calibri" w:cs="Times New Roman"/>
                <w:b/>
                <w:bCs/>
                <w:color w:val="000000"/>
              </w:rPr>
              <w:t>26</w:t>
            </w:r>
          </w:p>
        </w:tc>
        <w:tc>
          <w:tcPr>
            <w:tcW w:w="1330" w:type="dxa"/>
            <w:tcBorders>
              <w:top w:val="nil"/>
              <w:left w:val="nil"/>
              <w:right w:val="nil"/>
            </w:tcBorders>
            <w:shd w:val="clear" w:color="000000" w:fill="DBE5F1"/>
            <w:noWrap/>
            <w:vAlign w:val="center"/>
            <w:hideMark/>
          </w:tcPr>
          <w:p w:rsidR="000430A4" w:rsidRPr="00291D40" w:rsidRDefault="000430A4" w:rsidP="002F32F0">
            <w:pPr>
              <w:spacing w:after="0" w:line="240" w:lineRule="auto"/>
              <w:jc w:val="center"/>
              <w:rPr>
                <w:rFonts w:ascii="Calibri" w:eastAsia="Times New Roman" w:hAnsi="Calibri" w:cs="Times New Roman"/>
                <w:b/>
                <w:bCs/>
                <w:color w:val="000000"/>
              </w:rPr>
            </w:pPr>
            <w:r w:rsidRPr="00291D40">
              <w:rPr>
                <w:rFonts w:ascii="Calibri" w:eastAsia="Times New Roman" w:hAnsi="Calibri" w:cs="Times New Roman"/>
                <w:b/>
                <w:bCs/>
                <w:color w:val="000000"/>
              </w:rPr>
              <w:t>82</w:t>
            </w:r>
          </w:p>
        </w:tc>
        <w:tc>
          <w:tcPr>
            <w:tcW w:w="1356" w:type="dxa"/>
            <w:tcBorders>
              <w:top w:val="nil"/>
              <w:left w:val="nil"/>
              <w:right w:val="single" w:sz="4" w:space="0" w:color="auto"/>
            </w:tcBorders>
            <w:shd w:val="clear" w:color="000000" w:fill="DBE5F1"/>
            <w:noWrap/>
            <w:vAlign w:val="center"/>
            <w:hideMark/>
          </w:tcPr>
          <w:p w:rsidR="000430A4" w:rsidRPr="00291D40" w:rsidRDefault="000430A4" w:rsidP="002F32F0">
            <w:pPr>
              <w:spacing w:after="0" w:line="240" w:lineRule="auto"/>
              <w:jc w:val="center"/>
              <w:rPr>
                <w:rFonts w:ascii="Calibri" w:eastAsia="Times New Roman" w:hAnsi="Calibri" w:cs="Times New Roman"/>
                <w:b/>
                <w:bCs/>
                <w:color w:val="000000"/>
              </w:rPr>
            </w:pPr>
            <w:r w:rsidRPr="00291D40">
              <w:rPr>
                <w:rFonts w:ascii="Calibri" w:eastAsia="Times New Roman" w:hAnsi="Calibri" w:cs="Times New Roman"/>
                <w:b/>
                <w:bCs/>
                <w:color w:val="000000"/>
              </w:rPr>
              <w:t>27</w:t>
            </w:r>
          </w:p>
        </w:tc>
      </w:tr>
      <w:tr w:rsidR="000430A4" w:rsidRPr="00291D40" w:rsidTr="002F32F0">
        <w:trPr>
          <w:trHeight w:val="305"/>
        </w:trPr>
        <w:tc>
          <w:tcPr>
            <w:tcW w:w="5455" w:type="dxa"/>
            <w:tcBorders>
              <w:left w:val="single" w:sz="4" w:space="0" w:color="auto"/>
              <w:right w:val="nil"/>
            </w:tcBorders>
            <w:shd w:val="clear" w:color="auto" w:fill="auto"/>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Annual change (%)</w:t>
            </w:r>
          </w:p>
        </w:tc>
        <w:tc>
          <w:tcPr>
            <w:tcW w:w="1330" w:type="dxa"/>
            <w:tcBorders>
              <w:left w:val="nil"/>
              <w:right w:val="nil"/>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w:t>
            </w:r>
          </w:p>
        </w:tc>
        <w:tc>
          <w:tcPr>
            <w:tcW w:w="1330" w:type="dxa"/>
            <w:tcBorders>
              <w:left w:val="nil"/>
              <w:right w:val="nil"/>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215.4%</w:t>
            </w:r>
          </w:p>
        </w:tc>
        <w:tc>
          <w:tcPr>
            <w:tcW w:w="1356" w:type="dxa"/>
            <w:tcBorders>
              <w:left w:val="nil"/>
              <w:right w:val="single" w:sz="4" w:space="0" w:color="auto"/>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-67.1%</w:t>
            </w:r>
          </w:p>
        </w:tc>
      </w:tr>
      <w:tr w:rsidR="000430A4" w:rsidRPr="00291D40" w:rsidTr="002F32F0">
        <w:trPr>
          <w:trHeight w:val="595"/>
        </w:trPr>
        <w:tc>
          <w:tcPr>
            <w:tcW w:w="5455" w:type="dxa"/>
            <w:tcBorders>
              <w:left w:val="single" w:sz="4" w:space="0" w:color="auto"/>
              <w:bottom w:val="nil"/>
              <w:right w:val="nil"/>
            </w:tcBorders>
            <w:shd w:val="clear" w:color="000000" w:fill="DBE5F1"/>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lastRenderedPageBreak/>
              <w:t>Average number of pages processed per request completed</w:t>
            </w:r>
          </w:p>
        </w:tc>
        <w:tc>
          <w:tcPr>
            <w:tcW w:w="1330" w:type="dxa"/>
            <w:tcBorders>
              <w:left w:val="nil"/>
              <w:bottom w:val="nil"/>
              <w:right w:val="nil"/>
            </w:tcBorders>
            <w:shd w:val="clear" w:color="000000" w:fill="DBE5F1"/>
            <w:noWrap/>
            <w:vAlign w:val="center"/>
            <w:hideMark/>
          </w:tcPr>
          <w:p w:rsidR="000430A4" w:rsidRPr="005E19EE" w:rsidRDefault="000430A4" w:rsidP="002F32F0">
            <w:pPr>
              <w:spacing w:after="0" w:line="240" w:lineRule="auto"/>
              <w:jc w:val="center"/>
              <w:rPr>
                <w:rFonts w:ascii="Calibri" w:eastAsia="Times New Roman" w:hAnsi="Calibri" w:cs="Times New Roman"/>
                <w:b/>
                <w:bCs/>
                <w:color w:val="000000"/>
              </w:rPr>
            </w:pPr>
            <w:r w:rsidRPr="005E19EE">
              <w:rPr>
                <w:rFonts w:ascii="Calibri" w:eastAsia="Times New Roman" w:hAnsi="Calibri" w:cs="Times New Roman"/>
                <w:b/>
                <w:bCs/>
                <w:color w:val="000000"/>
              </w:rPr>
              <w:t>3</w:t>
            </w:r>
            <w:r>
              <w:rPr>
                <w:rFonts w:ascii="Calibri" w:eastAsia="Times New Roman" w:hAnsi="Calibri" w:cs="Times New Roman"/>
                <w:b/>
                <w:bCs/>
                <w:color w:val="000000"/>
              </w:rPr>
              <w:t>93</w:t>
            </w:r>
          </w:p>
        </w:tc>
        <w:tc>
          <w:tcPr>
            <w:tcW w:w="1330" w:type="dxa"/>
            <w:tcBorders>
              <w:left w:val="nil"/>
              <w:bottom w:val="nil"/>
              <w:right w:val="nil"/>
            </w:tcBorders>
            <w:shd w:val="clear" w:color="000000" w:fill="DBE5F1"/>
            <w:noWrap/>
            <w:vAlign w:val="center"/>
            <w:hideMark/>
          </w:tcPr>
          <w:p w:rsidR="000430A4" w:rsidRPr="005E19EE" w:rsidRDefault="000430A4" w:rsidP="002F32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417</w:t>
            </w:r>
          </w:p>
        </w:tc>
        <w:tc>
          <w:tcPr>
            <w:tcW w:w="1356" w:type="dxa"/>
            <w:tcBorders>
              <w:left w:val="nil"/>
              <w:bottom w:val="nil"/>
              <w:right w:val="single" w:sz="4" w:space="0" w:color="auto"/>
            </w:tcBorders>
            <w:shd w:val="clear" w:color="000000" w:fill="DBE5F1"/>
            <w:noWrap/>
            <w:vAlign w:val="center"/>
            <w:hideMark/>
          </w:tcPr>
          <w:p w:rsidR="000430A4" w:rsidRPr="005E19EE" w:rsidRDefault="000430A4" w:rsidP="002F32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w:t>
            </w:r>
            <w:r w:rsidR="000A6BE0">
              <w:rPr>
                <w:rFonts w:ascii="Calibri" w:eastAsia="Times New Roman" w:hAnsi="Calibri" w:cs="Times New Roman"/>
                <w:b/>
                <w:bCs/>
                <w:color w:val="000000"/>
              </w:rPr>
              <w:t>,</w:t>
            </w:r>
            <w:r>
              <w:rPr>
                <w:rFonts w:ascii="Calibri" w:eastAsia="Times New Roman" w:hAnsi="Calibri" w:cs="Times New Roman"/>
                <w:b/>
                <w:bCs/>
                <w:color w:val="000000"/>
              </w:rPr>
              <w:t>083</w:t>
            </w:r>
          </w:p>
        </w:tc>
      </w:tr>
      <w:tr w:rsidR="000430A4" w:rsidRPr="00291D40" w:rsidTr="002F32F0">
        <w:trPr>
          <w:trHeight w:val="595"/>
        </w:trPr>
        <w:tc>
          <w:tcPr>
            <w:tcW w:w="5455" w:type="dxa"/>
            <w:tcBorders>
              <w:top w:val="nil"/>
              <w:left w:val="single" w:sz="4" w:space="0" w:color="auto"/>
              <w:bottom w:val="single" w:sz="4" w:space="0" w:color="auto"/>
              <w:right w:val="nil"/>
            </w:tcBorders>
            <w:shd w:val="clear" w:color="auto" w:fill="auto"/>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 of requests for which more than 1</w:t>
            </w:r>
            <w:r w:rsidR="000A6BE0">
              <w:rPr>
                <w:rFonts w:ascii="Calibri" w:eastAsia="Times New Roman" w:hAnsi="Calibri" w:cs="Times New Roman"/>
                <w:color w:val="000000"/>
              </w:rPr>
              <w:t>,</w:t>
            </w:r>
            <w:r w:rsidRPr="00291D40">
              <w:rPr>
                <w:rFonts w:ascii="Calibri" w:eastAsia="Times New Roman" w:hAnsi="Calibri" w:cs="Times New Roman"/>
                <w:color w:val="000000"/>
              </w:rPr>
              <w:t>000 pages were processed</w:t>
            </w:r>
          </w:p>
        </w:tc>
        <w:tc>
          <w:tcPr>
            <w:tcW w:w="1330" w:type="dxa"/>
            <w:tcBorders>
              <w:top w:val="nil"/>
              <w:left w:val="nil"/>
              <w:bottom w:val="single" w:sz="4" w:space="0" w:color="auto"/>
              <w:right w:val="nil"/>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6.4%</w:t>
            </w:r>
          </w:p>
        </w:tc>
        <w:tc>
          <w:tcPr>
            <w:tcW w:w="1330" w:type="dxa"/>
            <w:tcBorders>
              <w:top w:val="nil"/>
              <w:left w:val="nil"/>
              <w:bottom w:val="single" w:sz="4" w:space="0" w:color="auto"/>
              <w:right w:val="nil"/>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10.8%</w:t>
            </w:r>
          </w:p>
        </w:tc>
        <w:tc>
          <w:tcPr>
            <w:tcW w:w="1356" w:type="dxa"/>
            <w:tcBorders>
              <w:top w:val="nil"/>
              <w:left w:val="nil"/>
              <w:bottom w:val="single" w:sz="4" w:space="0" w:color="auto"/>
              <w:right w:val="single" w:sz="4" w:space="0" w:color="auto"/>
            </w:tcBorders>
            <w:shd w:val="clear" w:color="auto" w:fill="auto"/>
            <w:noWrap/>
            <w:vAlign w:val="center"/>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32.5%</w:t>
            </w:r>
          </w:p>
        </w:tc>
      </w:tr>
    </w:tbl>
    <w:p w:rsidR="000430A4" w:rsidRPr="003260F4" w:rsidRDefault="000430A4" w:rsidP="000430A4">
      <w:pPr>
        <w:pStyle w:val="Heading2"/>
        <w:spacing w:before="240"/>
      </w:pPr>
      <w:r w:rsidRPr="003260F4">
        <w:t>Requests completion time</w:t>
      </w:r>
    </w:p>
    <w:p w:rsidR="000430A4" w:rsidRPr="004D30BF" w:rsidRDefault="000430A4" w:rsidP="000430A4">
      <w:pPr>
        <w:pStyle w:val="Heading4"/>
      </w:pPr>
      <w:r w:rsidRPr="004D30BF">
        <w:t>Timeliness</w:t>
      </w:r>
    </w:p>
    <w:p w:rsidR="000430A4" w:rsidRPr="007A00C7" w:rsidRDefault="000430A4" w:rsidP="000430A4">
      <w:pPr>
        <w:jc w:val="both"/>
      </w:pPr>
      <w:r w:rsidRPr="00B77445">
        <w:t xml:space="preserve">Figure 1 reveals that </w:t>
      </w:r>
      <w:r>
        <w:t>93.4</w:t>
      </w:r>
      <w:r w:rsidRPr="00B77445">
        <w:t xml:space="preserve">% of requests were completed within 30 days or less, which is </w:t>
      </w:r>
      <w:r>
        <w:t>51.4</w:t>
      </w:r>
      <w:r w:rsidRPr="00B77445">
        <w:t>% higher than the results observed in 2013-2014.</w:t>
      </w:r>
      <w:r>
        <w:t xml:space="preserve"> We note that in 2014-2015, 90.1% of completed requests had a “no record exists” response, which explains the high percentage of requests completed within 30 days or less.</w:t>
      </w:r>
    </w:p>
    <w:p w:rsidR="000430A4" w:rsidRDefault="000430A4" w:rsidP="000430A4">
      <w:pPr>
        <w:pStyle w:val="Heading3"/>
        <w:spacing w:after="200"/>
        <w:rPr>
          <w:noProof/>
        </w:rPr>
      </w:pPr>
      <w:r w:rsidRPr="00063423">
        <w:t>Figure 1: Req</w:t>
      </w:r>
      <w:r>
        <w:t>uest completion time</w:t>
      </w:r>
      <w:r w:rsidRPr="00E37C69">
        <w:rPr>
          <w:noProof/>
        </w:rPr>
        <w:drawing>
          <wp:inline distT="0" distB="0" distL="0" distR="0">
            <wp:extent cx="5947576" cy="3912042"/>
            <wp:effectExtent l="0" t="0" r="0" b="0"/>
            <wp:docPr id="3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430A4" w:rsidRPr="00D2368F" w:rsidRDefault="000430A4" w:rsidP="000430A4">
      <w:pPr>
        <w:pStyle w:val="Heading4"/>
      </w:pPr>
      <w:r w:rsidRPr="00D2368F">
        <w:t>Extensions</w:t>
      </w:r>
    </w:p>
    <w:p w:rsidR="000430A4" w:rsidRPr="00300820" w:rsidRDefault="000430A4" w:rsidP="000430A4">
      <w:pPr>
        <w:jc w:val="both"/>
      </w:pPr>
      <w:r w:rsidRPr="00300820">
        <w:t>INFC took a total of 43 extensions in 2014-2015 compared to 44 in 2013-2014. The most common reason for taking an extension was third-party notice (46.5%), followed by consultations (39.5%).</w:t>
      </w:r>
    </w:p>
    <w:p w:rsidR="000430A4" w:rsidRPr="00300820" w:rsidRDefault="000430A4" w:rsidP="000430A4">
      <w:pPr>
        <w:jc w:val="both"/>
      </w:pPr>
      <w:r w:rsidRPr="00300820">
        <w:t>Figure 2 shows that all extensions taken in 2014-2015 were for more than 30 days: 27.9% of these extensions were taken between 31 and 60 days, which is 2.9% higher than the previous year; 32.6% were extended between 61 and 120 days, which is higher by 5.3% compared to 2013-2014.</w:t>
      </w:r>
    </w:p>
    <w:p w:rsidR="000430A4" w:rsidRDefault="000430A4" w:rsidP="000430A4">
      <w:pPr>
        <w:pStyle w:val="Heading3"/>
        <w:spacing w:after="200"/>
      </w:pPr>
      <w:r w:rsidRPr="005041FE">
        <w:lastRenderedPageBreak/>
        <w:t>Figure 2: Length of e</w:t>
      </w:r>
      <w:r>
        <w:t>xtensions</w:t>
      </w:r>
      <w:r w:rsidRPr="00E37C69">
        <w:rPr>
          <w:noProof/>
        </w:rPr>
        <w:drawing>
          <wp:inline distT="0" distB="0" distL="0" distR="0">
            <wp:extent cx="5844208" cy="4007457"/>
            <wp:effectExtent l="0" t="0" r="4445" b="0"/>
            <wp:docPr id="3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430A4" w:rsidRPr="00D2368F" w:rsidRDefault="000430A4" w:rsidP="000430A4">
      <w:pPr>
        <w:pStyle w:val="Heading4"/>
      </w:pPr>
      <w:r>
        <w:t>Deemed refusals</w:t>
      </w:r>
    </w:p>
    <w:p w:rsidR="000430A4" w:rsidRPr="00300820" w:rsidRDefault="000430A4" w:rsidP="000430A4">
      <w:pPr>
        <w:jc w:val="both"/>
        <w:rPr>
          <w:strike/>
          <w:highlight w:val="yellow"/>
        </w:rPr>
      </w:pPr>
      <w:r w:rsidRPr="00300820">
        <w:t>In 2014-2015, the number of requests closed past the statutory deadline</w:t>
      </w:r>
      <w:r w:rsidRPr="00300820">
        <w:rPr>
          <w:rStyle w:val="FootnoteReference"/>
        </w:rPr>
        <w:footnoteReference w:id="46"/>
      </w:r>
      <w:r w:rsidRPr="00300820">
        <w:t xml:space="preserve"> was 13, which accounts for 1.6% of completed requests. This rate represents an “A” grade.</w:t>
      </w:r>
      <w:r w:rsidRPr="00300820">
        <w:rPr>
          <w:rStyle w:val="FootnoteReference"/>
        </w:rPr>
        <w:footnoteReference w:id="47"/>
      </w:r>
      <w:r w:rsidRPr="00300820">
        <w:t xml:space="preserve"> The reason for overdue requests was entirely attributed to workload.</w:t>
      </w:r>
    </w:p>
    <w:p w:rsidR="000430A4" w:rsidRPr="003260F4" w:rsidRDefault="000430A4" w:rsidP="000430A4">
      <w:pPr>
        <w:pStyle w:val="Heading2"/>
      </w:pPr>
      <w:r w:rsidRPr="003260F4">
        <w:t>Disclosure</w:t>
      </w:r>
    </w:p>
    <w:p w:rsidR="000430A4" w:rsidRPr="00D2368F" w:rsidRDefault="000430A4" w:rsidP="000430A4">
      <w:pPr>
        <w:pStyle w:val="Heading4"/>
      </w:pPr>
      <w:r w:rsidRPr="00D2368F">
        <w:t xml:space="preserve">Percentage of requests for </w:t>
      </w:r>
      <w:r>
        <w:t>which information was disclosed</w:t>
      </w:r>
    </w:p>
    <w:p w:rsidR="000430A4" w:rsidRDefault="000430A4" w:rsidP="000430A4">
      <w:pPr>
        <w:jc w:val="both"/>
      </w:pPr>
      <w:r w:rsidRPr="00296468">
        <w:t xml:space="preserve">In 2014-2015, </w:t>
      </w:r>
      <w:r>
        <w:t>2.4</w:t>
      </w:r>
      <w:r w:rsidRPr="00296468">
        <w:t>% of completed requests were entirely disclosed</w:t>
      </w:r>
      <w:r>
        <w:t xml:space="preserve">, </w:t>
      </w:r>
      <w:r w:rsidRPr="00296468">
        <w:t xml:space="preserve">which </w:t>
      </w:r>
      <w:r>
        <w:t>represents a decrease of 9.6% from 2013-2014 (see Figure 3). Figure 3</w:t>
      </w:r>
      <w:r w:rsidRPr="00296468">
        <w:t xml:space="preserve"> also shows that the rate for partially disclosed requests was </w:t>
      </w:r>
      <w:r>
        <w:t>6.4</w:t>
      </w:r>
      <w:r w:rsidRPr="00296468">
        <w:t>% in 2014-2015</w:t>
      </w:r>
      <w:r>
        <w:t xml:space="preserve"> compared to 60.0% the previous period. This is due to the high proportion of requests for which no records existed (90.1%) in 2014-2015.</w:t>
      </w:r>
    </w:p>
    <w:p w:rsidR="000430A4" w:rsidRDefault="000430A4" w:rsidP="000430A4">
      <w:pPr>
        <w:pStyle w:val="Heading3"/>
        <w:spacing w:after="200"/>
      </w:pPr>
      <w:r>
        <w:lastRenderedPageBreak/>
        <w:t>Figure 3</w:t>
      </w:r>
      <w:r w:rsidRPr="00F448AD">
        <w:t>: Level of disclosure</w:t>
      </w:r>
      <w:r w:rsidRPr="00E37C69">
        <w:rPr>
          <w:noProof/>
        </w:rPr>
        <w:drawing>
          <wp:inline distT="0" distB="0" distL="0" distR="0">
            <wp:extent cx="5907819" cy="4102874"/>
            <wp:effectExtent l="0" t="0" r="0" b="0"/>
            <wp:docPr id="3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430A4" w:rsidRPr="00D2368F" w:rsidRDefault="000430A4" w:rsidP="000430A4">
      <w:pPr>
        <w:pStyle w:val="Heading4"/>
      </w:pPr>
      <w:r w:rsidRPr="00D2368F">
        <w:t>Exemptions</w:t>
      </w:r>
    </w:p>
    <w:p w:rsidR="000430A4" w:rsidRPr="00300820" w:rsidRDefault="000430A4" w:rsidP="000430A4">
      <w:pPr>
        <w:jc w:val="both"/>
      </w:pPr>
      <w:r w:rsidRPr="00300820">
        <w:t>The average number of exemptions used per completed request was 0.30 in 2014-2015 compared to 4.62 the previous year. However, it is worth noting that a large number of requests were without record, therefore the average number of exemptions in 2014-2015 may not be a strong indicator (see Table 2).</w:t>
      </w:r>
    </w:p>
    <w:p w:rsidR="000430A4" w:rsidRPr="00300820" w:rsidRDefault="000430A4" w:rsidP="000430A4">
      <w:pPr>
        <w:jc w:val="both"/>
      </w:pPr>
      <w:r w:rsidRPr="00300820">
        <w:t>The most common exemptions in 2014-2015 were section 18 (Economic Interests of Canada) (25.3%), section 21 (Operations of Government) (20.9%), followed by section 20 (Third-Party Information) (12.0%) and section 13 (Information Obtained in Confidence) (11.2%). The number of exemptions applied under all these provisions increased from the previous year.</w:t>
      </w:r>
    </w:p>
    <w:p w:rsidR="000430A4" w:rsidRPr="00916BD0" w:rsidRDefault="000430A4" w:rsidP="000430A4">
      <w:pPr>
        <w:pStyle w:val="Heading3"/>
      </w:pPr>
      <w:r w:rsidRPr="00916BD0">
        <w:t xml:space="preserve">Table </w:t>
      </w:r>
      <w:r>
        <w:t>2</w:t>
      </w:r>
      <w:r w:rsidRPr="00916BD0">
        <w:t>: Exemptions</w:t>
      </w:r>
    </w:p>
    <w:tbl>
      <w:tblPr>
        <w:tblW w:w="9556" w:type="dxa"/>
        <w:tblInd w:w="98" w:type="dxa"/>
        <w:tblLook w:val="04A0"/>
      </w:tblPr>
      <w:tblGrid>
        <w:gridCol w:w="5518"/>
        <w:gridCol w:w="1346"/>
        <w:gridCol w:w="1346"/>
        <w:gridCol w:w="1346"/>
      </w:tblGrid>
      <w:tr w:rsidR="000430A4" w:rsidRPr="00291D40" w:rsidTr="002F32F0">
        <w:trPr>
          <w:trHeight w:val="325"/>
        </w:trPr>
        <w:tc>
          <w:tcPr>
            <w:tcW w:w="5518"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 xml:space="preserve">Exemptions </w:t>
            </w:r>
          </w:p>
        </w:tc>
        <w:tc>
          <w:tcPr>
            <w:tcW w:w="1346" w:type="dxa"/>
            <w:tcBorders>
              <w:top w:val="single" w:sz="8" w:space="0" w:color="auto"/>
              <w:left w:val="nil"/>
              <w:bottom w:val="single" w:sz="8" w:space="0" w:color="auto"/>
              <w:right w:val="nil"/>
            </w:tcBorders>
            <w:shd w:val="clear" w:color="000000" w:fill="DBE5F1"/>
            <w:noWrap/>
            <w:vAlign w:val="bottom"/>
            <w:hideMark/>
          </w:tcPr>
          <w:p w:rsidR="000430A4" w:rsidRPr="00291D40" w:rsidRDefault="000430A4" w:rsidP="002F32F0">
            <w:pPr>
              <w:spacing w:after="0" w:line="240" w:lineRule="auto"/>
              <w:jc w:val="center"/>
              <w:rPr>
                <w:rFonts w:ascii="Calibri" w:eastAsia="Times New Roman" w:hAnsi="Calibri" w:cs="Times New Roman"/>
                <w:b/>
                <w:bCs/>
                <w:color w:val="000000"/>
              </w:rPr>
            </w:pPr>
            <w:r w:rsidRPr="00291D40">
              <w:rPr>
                <w:rFonts w:ascii="Calibri" w:eastAsia="Times New Roman" w:hAnsi="Calibri" w:cs="Times New Roman"/>
                <w:b/>
                <w:bCs/>
                <w:color w:val="000000"/>
              </w:rPr>
              <w:t>2012-2013</w:t>
            </w:r>
          </w:p>
        </w:tc>
        <w:tc>
          <w:tcPr>
            <w:tcW w:w="1346" w:type="dxa"/>
            <w:tcBorders>
              <w:top w:val="single" w:sz="8" w:space="0" w:color="auto"/>
              <w:left w:val="nil"/>
              <w:bottom w:val="single" w:sz="8" w:space="0" w:color="auto"/>
              <w:right w:val="nil"/>
            </w:tcBorders>
            <w:shd w:val="clear" w:color="000000" w:fill="DBE5F1"/>
            <w:noWrap/>
            <w:vAlign w:val="bottom"/>
            <w:hideMark/>
          </w:tcPr>
          <w:p w:rsidR="000430A4" w:rsidRPr="00291D40" w:rsidRDefault="000430A4" w:rsidP="002F32F0">
            <w:pPr>
              <w:spacing w:after="0" w:line="240" w:lineRule="auto"/>
              <w:jc w:val="center"/>
              <w:rPr>
                <w:rFonts w:ascii="Calibri" w:eastAsia="Times New Roman" w:hAnsi="Calibri" w:cs="Times New Roman"/>
                <w:b/>
                <w:bCs/>
                <w:color w:val="000000"/>
              </w:rPr>
            </w:pPr>
            <w:r w:rsidRPr="00291D40">
              <w:rPr>
                <w:rFonts w:ascii="Calibri" w:eastAsia="Times New Roman" w:hAnsi="Calibri" w:cs="Times New Roman"/>
                <w:b/>
                <w:bCs/>
                <w:color w:val="000000"/>
              </w:rPr>
              <w:t>2013-2014</w:t>
            </w:r>
          </w:p>
        </w:tc>
        <w:tc>
          <w:tcPr>
            <w:tcW w:w="1346"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291D40" w:rsidRDefault="000430A4" w:rsidP="002F32F0">
            <w:pPr>
              <w:spacing w:after="0" w:line="240" w:lineRule="auto"/>
              <w:jc w:val="center"/>
              <w:rPr>
                <w:rFonts w:ascii="Calibri" w:eastAsia="Times New Roman" w:hAnsi="Calibri" w:cs="Times New Roman"/>
                <w:b/>
                <w:bCs/>
                <w:color w:val="000000"/>
              </w:rPr>
            </w:pPr>
            <w:r w:rsidRPr="00291D40">
              <w:rPr>
                <w:rFonts w:ascii="Calibri" w:eastAsia="Times New Roman" w:hAnsi="Calibri" w:cs="Times New Roman"/>
                <w:b/>
                <w:bCs/>
                <w:color w:val="000000"/>
              </w:rPr>
              <w:t>2014-2015</w:t>
            </w:r>
          </w:p>
        </w:tc>
      </w:tr>
      <w:tr w:rsidR="000430A4" w:rsidRPr="00291D40" w:rsidTr="002F32F0">
        <w:trPr>
          <w:trHeight w:val="309"/>
        </w:trPr>
        <w:tc>
          <w:tcPr>
            <w:tcW w:w="5518" w:type="dxa"/>
            <w:tcBorders>
              <w:top w:val="nil"/>
              <w:left w:val="single" w:sz="8" w:space="0" w:color="auto"/>
              <w:bottom w:val="nil"/>
              <w:right w:val="nil"/>
            </w:tcBorders>
            <w:shd w:val="clear" w:color="auto" w:fill="auto"/>
            <w:noWrap/>
            <w:vAlign w:val="bottom"/>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 xml:space="preserve">Total Number </w:t>
            </w:r>
          </w:p>
        </w:tc>
        <w:tc>
          <w:tcPr>
            <w:tcW w:w="1346" w:type="dxa"/>
            <w:tcBorders>
              <w:top w:val="nil"/>
              <w:left w:val="nil"/>
              <w:bottom w:val="nil"/>
              <w:right w:val="nil"/>
            </w:tcBorders>
            <w:shd w:val="clear" w:color="auto" w:fill="auto"/>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70</w:t>
            </w:r>
          </w:p>
        </w:tc>
        <w:tc>
          <w:tcPr>
            <w:tcW w:w="1346" w:type="dxa"/>
            <w:tcBorders>
              <w:top w:val="nil"/>
              <w:left w:val="nil"/>
              <w:bottom w:val="nil"/>
              <w:right w:val="nil"/>
            </w:tcBorders>
            <w:shd w:val="clear" w:color="auto" w:fill="auto"/>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231</w:t>
            </w:r>
          </w:p>
        </w:tc>
        <w:tc>
          <w:tcPr>
            <w:tcW w:w="1346" w:type="dxa"/>
            <w:tcBorders>
              <w:top w:val="nil"/>
              <w:left w:val="nil"/>
              <w:bottom w:val="nil"/>
              <w:right w:val="single" w:sz="8" w:space="0" w:color="auto"/>
            </w:tcBorders>
            <w:shd w:val="clear" w:color="auto" w:fill="auto"/>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249</w:t>
            </w:r>
          </w:p>
        </w:tc>
      </w:tr>
      <w:tr w:rsidR="000430A4" w:rsidRPr="00291D40" w:rsidTr="002F32F0">
        <w:trPr>
          <w:trHeight w:val="309"/>
        </w:trPr>
        <w:tc>
          <w:tcPr>
            <w:tcW w:w="5518" w:type="dxa"/>
            <w:tcBorders>
              <w:top w:val="nil"/>
              <w:left w:val="single" w:sz="8" w:space="0" w:color="auto"/>
              <w:bottom w:val="nil"/>
              <w:right w:val="nil"/>
            </w:tcBorders>
            <w:shd w:val="clear" w:color="auto" w:fill="auto"/>
            <w:noWrap/>
            <w:vAlign w:val="bottom"/>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Total number of completed requests</w:t>
            </w:r>
          </w:p>
        </w:tc>
        <w:tc>
          <w:tcPr>
            <w:tcW w:w="1346" w:type="dxa"/>
            <w:tcBorders>
              <w:top w:val="nil"/>
              <w:left w:val="nil"/>
              <w:bottom w:val="nil"/>
              <w:right w:val="nil"/>
            </w:tcBorders>
            <w:shd w:val="clear" w:color="auto" w:fill="auto"/>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56</w:t>
            </w:r>
          </w:p>
        </w:tc>
        <w:tc>
          <w:tcPr>
            <w:tcW w:w="1346" w:type="dxa"/>
            <w:tcBorders>
              <w:top w:val="nil"/>
              <w:left w:val="nil"/>
              <w:bottom w:val="nil"/>
              <w:right w:val="nil"/>
            </w:tcBorders>
            <w:shd w:val="clear" w:color="auto" w:fill="auto"/>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50</w:t>
            </w:r>
          </w:p>
        </w:tc>
        <w:tc>
          <w:tcPr>
            <w:tcW w:w="1346" w:type="dxa"/>
            <w:tcBorders>
              <w:top w:val="nil"/>
              <w:left w:val="nil"/>
              <w:bottom w:val="nil"/>
              <w:right w:val="single" w:sz="8" w:space="0" w:color="auto"/>
            </w:tcBorders>
            <w:shd w:val="clear" w:color="auto" w:fill="auto"/>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831</w:t>
            </w:r>
          </w:p>
        </w:tc>
      </w:tr>
      <w:tr w:rsidR="000430A4" w:rsidRPr="00291D40" w:rsidTr="002F32F0">
        <w:trPr>
          <w:trHeight w:val="325"/>
        </w:trPr>
        <w:tc>
          <w:tcPr>
            <w:tcW w:w="5518" w:type="dxa"/>
            <w:tcBorders>
              <w:top w:val="nil"/>
              <w:left w:val="single" w:sz="8" w:space="0" w:color="auto"/>
              <w:bottom w:val="single" w:sz="8" w:space="0" w:color="auto"/>
              <w:right w:val="nil"/>
            </w:tcBorders>
            <w:shd w:val="clear" w:color="000000" w:fill="DBE5F1"/>
            <w:noWrap/>
            <w:vAlign w:val="bottom"/>
            <w:hideMark/>
          </w:tcPr>
          <w:p w:rsidR="000430A4" w:rsidRPr="00291D40" w:rsidRDefault="000430A4" w:rsidP="002F32F0">
            <w:pPr>
              <w:spacing w:after="0" w:line="240" w:lineRule="auto"/>
              <w:rPr>
                <w:rFonts w:ascii="Calibri" w:eastAsia="Times New Roman" w:hAnsi="Calibri" w:cs="Times New Roman"/>
                <w:color w:val="000000"/>
              </w:rPr>
            </w:pPr>
            <w:r w:rsidRPr="00291D40">
              <w:rPr>
                <w:rFonts w:ascii="Calibri" w:eastAsia="Times New Roman" w:hAnsi="Calibri" w:cs="Times New Roman"/>
                <w:color w:val="000000"/>
              </w:rPr>
              <w:t xml:space="preserve">Average number of exemptions per request </w:t>
            </w:r>
          </w:p>
        </w:tc>
        <w:tc>
          <w:tcPr>
            <w:tcW w:w="1346" w:type="dxa"/>
            <w:tcBorders>
              <w:top w:val="nil"/>
              <w:left w:val="nil"/>
              <w:bottom w:val="single" w:sz="8" w:space="0" w:color="auto"/>
              <w:right w:val="nil"/>
            </w:tcBorders>
            <w:shd w:val="clear" w:color="000000" w:fill="DBE5F1"/>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1.</w:t>
            </w:r>
            <w:r>
              <w:rPr>
                <w:rFonts w:ascii="Calibri" w:eastAsia="Times New Roman" w:hAnsi="Calibri" w:cs="Times New Roman"/>
                <w:color w:val="000000"/>
              </w:rPr>
              <w:t>25</w:t>
            </w:r>
          </w:p>
        </w:tc>
        <w:tc>
          <w:tcPr>
            <w:tcW w:w="1346" w:type="dxa"/>
            <w:tcBorders>
              <w:top w:val="nil"/>
              <w:left w:val="nil"/>
              <w:bottom w:val="single" w:sz="8" w:space="0" w:color="auto"/>
              <w:right w:val="nil"/>
            </w:tcBorders>
            <w:shd w:val="clear" w:color="000000" w:fill="DBE5F1"/>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4.6</w:t>
            </w:r>
            <w:r>
              <w:rPr>
                <w:rFonts w:ascii="Calibri" w:eastAsia="Times New Roman" w:hAnsi="Calibri" w:cs="Times New Roman"/>
                <w:color w:val="000000"/>
              </w:rPr>
              <w:t>2</w:t>
            </w:r>
          </w:p>
        </w:tc>
        <w:tc>
          <w:tcPr>
            <w:tcW w:w="1346" w:type="dxa"/>
            <w:tcBorders>
              <w:top w:val="nil"/>
              <w:left w:val="nil"/>
              <w:bottom w:val="single" w:sz="8" w:space="0" w:color="auto"/>
              <w:right w:val="single" w:sz="8" w:space="0" w:color="auto"/>
            </w:tcBorders>
            <w:shd w:val="clear" w:color="000000" w:fill="DBE5F1"/>
            <w:noWrap/>
            <w:vAlign w:val="bottom"/>
            <w:hideMark/>
          </w:tcPr>
          <w:p w:rsidR="000430A4" w:rsidRPr="00291D40" w:rsidRDefault="000430A4" w:rsidP="002F32F0">
            <w:pPr>
              <w:spacing w:after="0" w:line="240" w:lineRule="auto"/>
              <w:jc w:val="center"/>
              <w:rPr>
                <w:rFonts w:ascii="Calibri" w:eastAsia="Times New Roman" w:hAnsi="Calibri" w:cs="Times New Roman"/>
                <w:color w:val="000000"/>
              </w:rPr>
            </w:pPr>
            <w:r w:rsidRPr="00291D40">
              <w:rPr>
                <w:rFonts w:ascii="Calibri" w:eastAsia="Times New Roman" w:hAnsi="Calibri" w:cs="Times New Roman"/>
                <w:color w:val="000000"/>
              </w:rPr>
              <w:t>0.3</w:t>
            </w:r>
            <w:r>
              <w:rPr>
                <w:rFonts w:ascii="Calibri" w:eastAsia="Times New Roman" w:hAnsi="Calibri" w:cs="Times New Roman"/>
                <w:color w:val="000000"/>
              </w:rPr>
              <w:t>0</w:t>
            </w:r>
          </w:p>
        </w:tc>
      </w:tr>
    </w:tbl>
    <w:p w:rsidR="000430A4" w:rsidRPr="003260F4" w:rsidRDefault="000430A4" w:rsidP="000430A4">
      <w:pPr>
        <w:pStyle w:val="Heading2"/>
        <w:spacing w:before="240"/>
      </w:pPr>
      <w:r w:rsidRPr="003260F4">
        <w:t>Complaints</w:t>
      </w:r>
    </w:p>
    <w:p w:rsidR="000430A4" w:rsidRPr="00CE52A1" w:rsidRDefault="000430A4" w:rsidP="000430A4">
      <w:pPr>
        <w:jc w:val="both"/>
      </w:pPr>
      <w:r w:rsidRPr="009B278B">
        <w:lastRenderedPageBreak/>
        <w:t>In 2014-2015, the OIC received 8 complaints</w:t>
      </w:r>
      <w:r>
        <w:rPr>
          <w:rStyle w:val="FootnoteReference"/>
        </w:rPr>
        <w:footnoteReference w:id="48"/>
      </w:r>
      <w:r w:rsidRPr="009B278B">
        <w:t xml:space="preserve"> against INFC. 6 were administrative and 2 </w:t>
      </w:r>
      <w:r>
        <w:t xml:space="preserve">were </w:t>
      </w:r>
      <w:r w:rsidRPr="009B278B">
        <w:t>refusal</w:t>
      </w:r>
      <w:r>
        <w:t>s,</w:t>
      </w:r>
      <w:r w:rsidRPr="009B278B">
        <w:t xml:space="preserve"> 1 complaint was not well-founded, and 5 were discontinued</w:t>
      </w:r>
      <w:r>
        <w:t>.</w:t>
      </w:r>
    </w:p>
    <w:p w:rsidR="000430A4" w:rsidRDefault="000430A4">
      <w:r>
        <w:br w:type="page"/>
      </w:r>
    </w:p>
    <w:p w:rsidR="000430A4" w:rsidRPr="006157C1" w:rsidRDefault="000430A4" w:rsidP="000430A4">
      <w:pPr>
        <w:rPr>
          <w:b/>
          <w:sz w:val="24"/>
        </w:rPr>
      </w:pPr>
      <w:r w:rsidRPr="006157C1">
        <w:rPr>
          <w:rStyle w:val="Heading1Char"/>
        </w:rPr>
        <w:lastRenderedPageBreak/>
        <w:t>Global Affairs Canada</w:t>
      </w:r>
      <w:r w:rsidRPr="006157C1">
        <w:rPr>
          <w:rStyle w:val="FootnoteReference"/>
          <w:b/>
          <w:sz w:val="24"/>
        </w:rPr>
        <w:footnoteReference w:id="49"/>
      </w:r>
    </w:p>
    <w:p w:rsidR="000430A4" w:rsidRPr="00F31309" w:rsidRDefault="000430A4" w:rsidP="000430A4">
      <w:pPr>
        <w:pStyle w:val="Heading2"/>
      </w:pPr>
      <w:r w:rsidRPr="00F31309">
        <w:t>Overall Performance</w:t>
      </w:r>
      <w:r w:rsidRPr="00D427B7">
        <w:rPr>
          <w:rStyle w:val="FootnoteReference"/>
          <w:color w:val="000000" w:themeColor="text1"/>
        </w:rPr>
        <w:footnoteReference w:id="50"/>
      </w:r>
    </w:p>
    <w:p w:rsidR="000430A4" w:rsidRDefault="000430A4" w:rsidP="000430A4">
      <w:pPr>
        <w:jc w:val="both"/>
        <w:rPr>
          <w:color w:val="000000" w:themeColor="text1"/>
        </w:rPr>
      </w:pPr>
      <w:r>
        <w:rPr>
          <w:color w:val="000000" w:themeColor="text1"/>
        </w:rPr>
        <w:t xml:space="preserve">In 2014-2015, </w:t>
      </w:r>
      <w:r w:rsidRPr="00D427B7">
        <w:rPr>
          <w:color w:val="000000" w:themeColor="text1"/>
        </w:rPr>
        <w:t>Global Affairs Canada (GAC)</w:t>
      </w:r>
      <w:r w:rsidRPr="00D427B7">
        <w:rPr>
          <w:rStyle w:val="FootnoteReference"/>
          <w:b/>
        </w:rPr>
        <w:footnoteReference w:id="51"/>
      </w:r>
      <w:r>
        <w:rPr>
          <w:color w:val="000000" w:themeColor="text1"/>
        </w:rPr>
        <w:t xml:space="preserve"> experienced</w:t>
      </w:r>
      <w:r w:rsidRPr="00D427B7">
        <w:rPr>
          <w:color w:val="000000" w:themeColor="text1"/>
        </w:rPr>
        <w:t xml:space="preserve"> a decrease of 24.9% in the number of requests received</w:t>
      </w:r>
      <w:r>
        <w:rPr>
          <w:color w:val="000000" w:themeColor="text1"/>
        </w:rPr>
        <w:t>. T</w:t>
      </w:r>
      <w:r w:rsidRPr="00D427B7">
        <w:rPr>
          <w:color w:val="000000" w:themeColor="text1"/>
        </w:rPr>
        <w:t>he percentage of requests</w:t>
      </w:r>
      <w:r>
        <w:rPr>
          <w:color w:val="000000" w:themeColor="text1"/>
        </w:rPr>
        <w:t xml:space="preserve"> completed within 30 days decreased by 0.1%.</w:t>
      </w:r>
      <w:r w:rsidRPr="00D427B7">
        <w:rPr>
          <w:color w:val="000000" w:themeColor="text1"/>
        </w:rPr>
        <w:t xml:space="preserve"> This report provides comparative statistics for the last three periods (2012-2015).</w:t>
      </w:r>
    </w:p>
    <w:p w:rsidR="000430A4" w:rsidRPr="00F31309" w:rsidRDefault="000430A4" w:rsidP="000430A4">
      <w:pPr>
        <w:pStyle w:val="Heading2"/>
      </w:pPr>
      <w:r w:rsidRPr="00F31309">
        <w:t>Workload</w:t>
      </w:r>
    </w:p>
    <w:p w:rsidR="000430A4" w:rsidRDefault="000430A4" w:rsidP="000430A4">
      <w:pPr>
        <w:jc w:val="both"/>
        <w:rPr>
          <w:color w:val="000000" w:themeColor="text1"/>
        </w:rPr>
      </w:pPr>
      <w:r w:rsidRPr="00823589">
        <w:rPr>
          <w:color w:val="000000" w:themeColor="text1"/>
        </w:rPr>
        <w:t xml:space="preserve">GAC received </w:t>
      </w:r>
      <w:r>
        <w:rPr>
          <w:color w:val="000000" w:themeColor="text1"/>
        </w:rPr>
        <w:t>871</w:t>
      </w:r>
      <w:r w:rsidRPr="00823589">
        <w:rPr>
          <w:color w:val="000000" w:themeColor="text1"/>
        </w:rPr>
        <w:t xml:space="preserve"> requests under the </w:t>
      </w:r>
      <w:r w:rsidRPr="004433A1">
        <w:rPr>
          <w:i/>
          <w:color w:val="000000" w:themeColor="text1"/>
        </w:rPr>
        <w:t>Access to Information Act</w:t>
      </w:r>
      <w:r>
        <w:rPr>
          <w:color w:val="000000" w:themeColor="text1"/>
        </w:rPr>
        <w:t xml:space="preserve"> (the Act), which represents 1.3</w:t>
      </w:r>
      <w:r w:rsidRPr="00823589">
        <w:rPr>
          <w:color w:val="000000" w:themeColor="text1"/>
        </w:rPr>
        <w:t xml:space="preserve">% of total requests received </w:t>
      </w:r>
      <w:r>
        <w:rPr>
          <w:color w:val="000000" w:themeColor="text1"/>
        </w:rPr>
        <w:t xml:space="preserve">across </w:t>
      </w:r>
      <w:r w:rsidRPr="00823589">
        <w:rPr>
          <w:color w:val="000000" w:themeColor="text1"/>
        </w:rPr>
        <w:t>government in 2014-2015. The majority of requests received were from the</w:t>
      </w:r>
      <w:r>
        <w:rPr>
          <w:color w:val="000000" w:themeColor="text1"/>
        </w:rPr>
        <w:t xml:space="preserve"> media </w:t>
      </w:r>
      <w:r w:rsidRPr="002C3E65">
        <w:rPr>
          <w:color w:val="000000" w:themeColor="text1"/>
        </w:rPr>
        <w:t>(54.8%) and the public (21.0%). The number of requests received from organizations dropped by 45.2% compared to the previous period.</w:t>
      </w:r>
    </w:p>
    <w:p w:rsidR="000430A4" w:rsidRPr="00674A9A" w:rsidRDefault="000430A4" w:rsidP="000430A4">
      <w:pPr>
        <w:jc w:val="both"/>
      </w:pPr>
      <w:r w:rsidRPr="00823589">
        <w:rPr>
          <w:color w:val="000000" w:themeColor="text1"/>
        </w:rPr>
        <w:t xml:space="preserve">GAC </w:t>
      </w:r>
      <w:r w:rsidRPr="002C3E65">
        <w:rPr>
          <w:color w:val="000000" w:themeColor="text1"/>
        </w:rPr>
        <w:t>completed 984 requests</w:t>
      </w:r>
      <w:r w:rsidRPr="00823589">
        <w:rPr>
          <w:color w:val="000000" w:themeColor="text1"/>
        </w:rPr>
        <w:t xml:space="preserve"> this reporting period</w:t>
      </w:r>
      <w:r>
        <w:rPr>
          <w:color w:val="000000" w:themeColor="text1"/>
        </w:rPr>
        <w:t>, which is more than the number of requests it received</w:t>
      </w:r>
      <w:r w:rsidRPr="00823589">
        <w:rPr>
          <w:color w:val="000000" w:themeColor="text1"/>
        </w:rPr>
        <w:t>. The completion rate</w:t>
      </w:r>
      <w:r>
        <w:rPr>
          <w:rStyle w:val="FootnoteReference"/>
          <w:color w:val="000000" w:themeColor="text1"/>
        </w:rPr>
        <w:footnoteReference w:id="52"/>
      </w:r>
      <w:r w:rsidRPr="00823589">
        <w:rPr>
          <w:color w:val="000000" w:themeColor="text1"/>
        </w:rPr>
        <w:t xml:space="preserve"> was </w:t>
      </w:r>
      <w:r>
        <w:rPr>
          <w:color w:val="000000" w:themeColor="text1"/>
        </w:rPr>
        <w:t>71.9</w:t>
      </w:r>
      <w:r w:rsidRPr="00823589">
        <w:rPr>
          <w:color w:val="000000" w:themeColor="text1"/>
        </w:rPr>
        <w:t>%</w:t>
      </w:r>
      <w:r>
        <w:rPr>
          <w:color w:val="000000" w:themeColor="text1"/>
        </w:rPr>
        <w:t>,</w:t>
      </w:r>
      <w:r w:rsidRPr="00823589">
        <w:rPr>
          <w:color w:val="000000" w:themeColor="text1"/>
        </w:rPr>
        <w:t xml:space="preserve"> which is </w:t>
      </w:r>
      <w:r>
        <w:rPr>
          <w:color w:val="000000" w:themeColor="text1"/>
        </w:rPr>
        <w:t>lower than the government-wide rate of 85.1%. In 2013-2014</w:t>
      </w:r>
      <w:r w:rsidRPr="00D427B7">
        <w:rPr>
          <w:color w:val="000000" w:themeColor="text1"/>
        </w:rPr>
        <w:t>, the c</w:t>
      </w:r>
      <w:r>
        <w:rPr>
          <w:color w:val="000000" w:themeColor="text1"/>
        </w:rPr>
        <w:t xml:space="preserve">ompletion rate for GAC </w:t>
      </w:r>
      <w:r w:rsidRPr="002C3E65">
        <w:rPr>
          <w:color w:val="000000" w:themeColor="text1"/>
        </w:rPr>
        <w:t>was 54.7%. GAC</w:t>
      </w:r>
      <w:r w:rsidRPr="00D427B7">
        <w:rPr>
          <w:color w:val="000000" w:themeColor="text1"/>
        </w:rPr>
        <w:t xml:space="preserve"> also received 744 informal requests in 2014-2015 and 42.2% of these were completed within 30 days.</w:t>
      </w:r>
      <w:r w:rsidRPr="00D427B7">
        <w:t xml:space="preserve"> The number of consultations received by GAC from other federal government institutions decreased from 898 to 645, representing a decrease of 28.2% compared to 2013-2014.</w:t>
      </w:r>
    </w:p>
    <w:p w:rsidR="000430A4" w:rsidRDefault="000430A4" w:rsidP="000430A4">
      <w:pPr>
        <w:jc w:val="both"/>
        <w:rPr>
          <w:color w:val="000000" w:themeColor="text1"/>
        </w:rPr>
      </w:pPr>
      <w:r w:rsidRPr="00823589">
        <w:rPr>
          <w:color w:val="000000" w:themeColor="text1"/>
        </w:rPr>
        <w:t>The total number of pages process</w:t>
      </w:r>
      <w:r>
        <w:rPr>
          <w:color w:val="000000" w:themeColor="text1"/>
        </w:rPr>
        <w:t>ed</w:t>
      </w:r>
      <w:r w:rsidRPr="00823589">
        <w:rPr>
          <w:color w:val="000000" w:themeColor="text1"/>
        </w:rPr>
        <w:t xml:space="preserve"> </w:t>
      </w:r>
      <w:r>
        <w:rPr>
          <w:color w:val="000000" w:themeColor="text1"/>
        </w:rPr>
        <w:t>by GAC</w:t>
      </w:r>
      <w:r w:rsidRPr="00823589">
        <w:rPr>
          <w:color w:val="000000" w:themeColor="text1"/>
        </w:rPr>
        <w:t xml:space="preserve"> </w:t>
      </w:r>
      <w:r>
        <w:rPr>
          <w:color w:val="000000" w:themeColor="text1"/>
        </w:rPr>
        <w:t>was 156,160</w:t>
      </w:r>
      <w:r w:rsidRPr="00823589">
        <w:rPr>
          <w:color w:val="000000" w:themeColor="text1"/>
        </w:rPr>
        <w:t xml:space="preserve">. The average number of pages processed per completed request increased from </w:t>
      </w:r>
      <w:r>
        <w:rPr>
          <w:color w:val="000000" w:themeColor="text1"/>
        </w:rPr>
        <w:t>162</w:t>
      </w:r>
      <w:r w:rsidRPr="00823589">
        <w:rPr>
          <w:color w:val="000000" w:themeColor="text1"/>
        </w:rPr>
        <w:t xml:space="preserve"> in 2013-2014 to </w:t>
      </w:r>
      <w:r>
        <w:rPr>
          <w:color w:val="000000" w:themeColor="text1"/>
        </w:rPr>
        <w:t>183 in 2014-2015.</w:t>
      </w:r>
    </w:p>
    <w:p w:rsidR="000430A4" w:rsidRPr="00823589" w:rsidRDefault="000430A4" w:rsidP="000430A4">
      <w:pPr>
        <w:jc w:val="both"/>
        <w:rPr>
          <w:color w:val="000000" w:themeColor="text1"/>
        </w:rPr>
      </w:pPr>
      <w:r w:rsidRPr="00823589">
        <w:rPr>
          <w:color w:val="000000" w:themeColor="text1"/>
        </w:rPr>
        <w:t>The information released by GAC was mostly in paper format</w:t>
      </w:r>
      <w:r>
        <w:rPr>
          <w:color w:val="000000" w:themeColor="text1"/>
        </w:rPr>
        <w:t>: 382</w:t>
      </w:r>
      <w:r w:rsidRPr="00823589">
        <w:rPr>
          <w:color w:val="000000" w:themeColor="text1"/>
        </w:rPr>
        <w:t xml:space="preserve"> </w:t>
      </w:r>
      <w:r>
        <w:rPr>
          <w:color w:val="000000" w:themeColor="text1"/>
        </w:rPr>
        <w:t>in paper format and</w:t>
      </w:r>
      <w:r w:rsidRPr="00823589">
        <w:rPr>
          <w:color w:val="000000" w:themeColor="text1"/>
        </w:rPr>
        <w:t xml:space="preserve"> </w:t>
      </w:r>
      <w:r>
        <w:rPr>
          <w:color w:val="000000" w:themeColor="text1"/>
        </w:rPr>
        <w:t>253 requests in electronic format.</w:t>
      </w:r>
    </w:p>
    <w:p w:rsidR="000430A4" w:rsidRPr="00F31309" w:rsidRDefault="000430A4" w:rsidP="000430A4">
      <w:pPr>
        <w:pStyle w:val="Heading3"/>
      </w:pPr>
      <w:r w:rsidRPr="00F31309">
        <w:t>Table 1: Workload</w:t>
      </w:r>
    </w:p>
    <w:tbl>
      <w:tblPr>
        <w:tblW w:w="4944" w:type="pct"/>
        <w:tblInd w:w="108" w:type="dxa"/>
        <w:tblLook w:val="04A0"/>
      </w:tblPr>
      <w:tblGrid>
        <w:gridCol w:w="5882"/>
        <w:gridCol w:w="1197"/>
        <w:gridCol w:w="1197"/>
        <w:gridCol w:w="1193"/>
      </w:tblGrid>
      <w:tr w:rsidR="000430A4" w:rsidRPr="000836EB" w:rsidTr="002F32F0">
        <w:trPr>
          <w:trHeight w:val="229"/>
        </w:trPr>
        <w:tc>
          <w:tcPr>
            <w:tcW w:w="3106" w:type="pct"/>
            <w:tcBorders>
              <w:top w:val="single" w:sz="4" w:space="0" w:color="auto"/>
              <w:left w:val="single" w:sz="4" w:space="0" w:color="auto"/>
              <w:right w:val="nil"/>
            </w:tcBorders>
            <w:shd w:val="clear" w:color="auto" w:fill="auto"/>
            <w:noWrap/>
            <w:vAlign w:val="bottom"/>
            <w:hideMark/>
          </w:tcPr>
          <w:p w:rsidR="000430A4" w:rsidRPr="000836EB" w:rsidRDefault="000430A4" w:rsidP="002F32F0">
            <w:pPr>
              <w:spacing w:after="0" w:line="240" w:lineRule="auto"/>
              <w:rPr>
                <w:rFonts w:ascii="Calibri" w:eastAsia="Times New Roman" w:hAnsi="Calibri" w:cs="Times New Roman"/>
                <w:color w:val="000000"/>
              </w:rPr>
            </w:pPr>
            <w:r w:rsidRPr="000836EB">
              <w:rPr>
                <w:rFonts w:ascii="Calibri" w:eastAsia="Times New Roman" w:hAnsi="Calibri" w:cs="Times New Roman"/>
                <w:color w:val="000000"/>
              </w:rPr>
              <w:t xml:space="preserve">Measures </w:t>
            </w:r>
          </w:p>
        </w:tc>
        <w:tc>
          <w:tcPr>
            <w:tcW w:w="632" w:type="pct"/>
            <w:tcBorders>
              <w:top w:val="single" w:sz="4" w:space="0" w:color="auto"/>
              <w:left w:val="nil"/>
              <w:right w:val="nil"/>
            </w:tcBorders>
          </w:tcPr>
          <w:p w:rsidR="000430A4" w:rsidRPr="00D427B7" w:rsidRDefault="000430A4" w:rsidP="002F32F0">
            <w:pPr>
              <w:spacing w:after="0" w:line="240" w:lineRule="auto"/>
              <w:jc w:val="center"/>
              <w:rPr>
                <w:rFonts w:ascii="Calibri" w:eastAsia="Times New Roman" w:hAnsi="Calibri" w:cs="Times New Roman"/>
                <w:color w:val="000000"/>
              </w:rPr>
            </w:pPr>
            <w:r w:rsidRPr="00D427B7">
              <w:rPr>
                <w:rFonts w:ascii="Calibri" w:eastAsia="Times New Roman" w:hAnsi="Calibri" w:cs="Times New Roman"/>
                <w:color w:val="000000"/>
              </w:rPr>
              <w:t>2012-2013</w:t>
            </w:r>
          </w:p>
        </w:tc>
        <w:tc>
          <w:tcPr>
            <w:tcW w:w="632" w:type="pct"/>
            <w:tcBorders>
              <w:top w:val="single" w:sz="4" w:space="0" w:color="auto"/>
              <w:left w:val="nil"/>
              <w:right w:val="nil"/>
            </w:tcBorders>
            <w:shd w:val="clear" w:color="auto" w:fill="auto"/>
            <w:noWrap/>
            <w:vAlign w:val="bottom"/>
            <w:hideMark/>
          </w:tcPr>
          <w:p w:rsidR="000430A4" w:rsidRPr="000836EB" w:rsidRDefault="000430A4" w:rsidP="002F32F0">
            <w:pPr>
              <w:spacing w:after="0" w:line="240" w:lineRule="auto"/>
              <w:jc w:val="center"/>
              <w:rPr>
                <w:rFonts w:ascii="Calibri" w:eastAsia="Times New Roman" w:hAnsi="Calibri" w:cs="Times New Roman"/>
                <w:color w:val="000000"/>
              </w:rPr>
            </w:pPr>
            <w:r w:rsidRPr="000836EB">
              <w:rPr>
                <w:rFonts w:ascii="Calibri" w:eastAsia="Times New Roman" w:hAnsi="Calibri" w:cs="Times New Roman"/>
                <w:color w:val="000000"/>
              </w:rPr>
              <w:t>2013-2014</w:t>
            </w:r>
          </w:p>
        </w:tc>
        <w:tc>
          <w:tcPr>
            <w:tcW w:w="630" w:type="pct"/>
            <w:tcBorders>
              <w:top w:val="single" w:sz="4" w:space="0" w:color="auto"/>
              <w:left w:val="nil"/>
              <w:right w:val="single" w:sz="4" w:space="0" w:color="auto"/>
            </w:tcBorders>
            <w:shd w:val="clear" w:color="auto" w:fill="auto"/>
            <w:noWrap/>
            <w:vAlign w:val="bottom"/>
            <w:hideMark/>
          </w:tcPr>
          <w:p w:rsidR="000430A4" w:rsidRPr="000836EB" w:rsidRDefault="000430A4" w:rsidP="002F32F0">
            <w:pPr>
              <w:spacing w:after="0" w:line="240" w:lineRule="auto"/>
              <w:jc w:val="center"/>
              <w:rPr>
                <w:rFonts w:ascii="Calibri" w:eastAsia="Times New Roman" w:hAnsi="Calibri" w:cs="Times New Roman"/>
                <w:color w:val="000000"/>
              </w:rPr>
            </w:pPr>
            <w:r w:rsidRPr="000836EB">
              <w:rPr>
                <w:rFonts w:ascii="Calibri" w:eastAsia="Times New Roman" w:hAnsi="Calibri" w:cs="Times New Roman"/>
                <w:color w:val="000000"/>
              </w:rPr>
              <w:t>2014-2015</w:t>
            </w:r>
          </w:p>
        </w:tc>
      </w:tr>
      <w:tr w:rsidR="000430A4" w:rsidRPr="000836EB" w:rsidTr="002F32F0">
        <w:trPr>
          <w:trHeight w:val="329"/>
        </w:trPr>
        <w:tc>
          <w:tcPr>
            <w:tcW w:w="3106" w:type="pct"/>
            <w:tcBorders>
              <w:top w:val="nil"/>
              <w:left w:val="single" w:sz="4" w:space="0" w:color="auto"/>
              <w:bottom w:val="nil"/>
              <w:right w:val="nil"/>
            </w:tcBorders>
            <w:shd w:val="clear" w:color="000000" w:fill="DBE5F1"/>
            <w:noWrap/>
            <w:hideMark/>
          </w:tcPr>
          <w:p w:rsidR="000430A4" w:rsidRPr="000836EB" w:rsidRDefault="000430A4" w:rsidP="002F32F0">
            <w:pPr>
              <w:spacing w:after="0" w:line="240" w:lineRule="auto"/>
              <w:rPr>
                <w:rFonts w:ascii="Calibri" w:eastAsia="Times New Roman" w:hAnsi="Calibri" w:cs="Times New Roman"/>
                <w:color w:val="000000"/>
              </w:rPr>
            </w:pPr>
            <w:r w:rsidRPr="000836EB">
              <w:rPr>
                <w:rFonts w:ascii="Calibri" w:eastAsia="Times New Roman" w:hAnsi="Calibri" w:cs="Times New Roman"/>
                <w:color w:val="000000"/>
              </w:rPr>
              <w:t xml:space="preserve">Number of requests received </w:t>
            </w:r>
          </w:p>
        </w:tc>
        <w:tc>
          <w:tcPr>
            <w:tcW w:w="632" w:type="pct"/>
            <w:tcBorders>
              <w:top w:val="nil"/>
              <w:left w:val="nil"/>
              <w:bottom w:val="nil"/>
              <w:right w:val="nil"/>
            </w:tcBorders>
            <w:shd w:val="clear" w:color="000000" w:fill="DBE5F1"/>
          </w:tcPr>
          <w:p w:rsidR="000430A4" w:rsidRPr="00D427B7" w:rsidRDefault="000430A4" w:rsidP="002F32F0">
            <w:pPr>
              <w:spacing w:after="0" w:line="240" w:lineRule="auto"/>
              <w:jc w:val="center"/>
              <w:rPr>
                <w:rFonts w:ascii="Calibri" w:eastAsia="Times New Roman" w:hAnsi="Calibri" w:cs="Times New Roman"/>
                <w:b/>
                <w:bCs/>
                <w:color w:val="000000"/>
              </w:rPr>
            </w:pPr>
            <w:r w:rsidRPr="00D427B7">
              <w:rPr>
                <w:rFonts w:ascii="Calibri" w:eastAsia="Times New Roman" w:hAnsi="Calibri" w:cs="Times New Roman"/>
                <w:b/>
                <w:bCs/>
                <w:color w:val="000000"/>
              </w:rPr>
              <w:t>1</w:t>
            </w:r>
            <w:r w:rsidR="000A6BE0">
              <w:rPr>
                <w:rFonts w:ascii="Calibri" w:eastAsia="Times New Roman" w:hAnsi="Calibri" w:cs="Times New Roman"/>
                <w:b/>
                <w:bCs/>
                <w:color w:val="000000"/>
              </w:rPr>
              <w:t>,</w:t>
            </w:r>
            <w:r w:rsidRPr="00D427B7">
              <w:rPr>
                <w:rFonts w:ascii="Calibri" w:eastAsia="Times New Roman" w:hAnsi="Calibri" w:cs="Times New Roman"/>
                <w:b/>
                <w:bCs/>
                <w:color w:val="000000"/>
              </w:rPr>
              <w:t>148</w:t>
            </w:r>
          </w:p>
        </w:tc>
        <w:tc>
          <w:tcPr>
            <w:tcW w:w="632" w:type="pct"/>
            <w:tcBorders>
              <w:top w:val="nil"/>
              <w:left w:val="nil"/>
              <w:bottom w:val="nil"/>
              <w:right w:val="nil"/>
            </w:tcBorders>
            <w:shd w:val="clear" w:color="000000" w:fill="DBE5F1"/>
            <w:noWrap/>
            <w:vAlign w:val="center"/>
            <w:hideMark/>
          </w:tcPr>
          <w:p w:rsidR="000430A4" w:rsidRPr="000836EB" w:rsidRDefault="000430A4" w:rsidP="002F32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r w:rsidR="000A6BE0">
              <w:rPr>
                <w:rFonts w:ascii="Calibri" w:eastAsia="Times New Roman" w:hAnsi="Calibri" w:cs="Times New Roman"/>
                <w:b/>
                <w:bCs/>
                <w:color w:val="000000"/>
              </w:rPr>
              <w:t>,</w:t>
            </w:r>
            <w:r>
              <w:rPr>
                <w:rFonts w:ascii="Calibri" w:eastAsia="Times New Roman" w:hAnsi="Calibri" w:cs="Times New Roman"/>
                <w:b/>
                <w:bCs/>
                <w:color w:val="000000"/>
              </w:rPr>
              <w:t>159</w:t>
            </w:r>
          </w:p>
        </w:tc>
        <w:tc>
          <w:tcPr>
            <w:tcW w:w="630" w:type="pct"/>
            <w:tcBorders>
              <w:top w:val="nil"/>
              <w:left w:val="nil"/>
              <w:bottom w:val="nil"/>
              <w:right w:val="single" w:sz="4" w:space="0" w:color="auto"/>
            </w:tcBorders>
            <w:shd w:val="clear" w:color="000000" w:fill="DBE5F1"/>
            <w:noWrap/>
            <w:vAlign w:val="center"/>
            <w:hideMark/>
          </w:tcPr>
          <w:p w:rsidR="000430A4" w:rsidRPr="000836EB" w:rsidRDefault="000430A4" w:rsidP="002F32F0">
            <w:pPr>
              <w:spacing w:after="0" w:line="240" w:lineRule="auto"/>
              <w:jc w:val="center"/>
              <w:rPr>
                <w:rFonts w:ascii="Calibri" w:eastAsia="Times New Roman" w:hAnsi="Calibri" w:cs="Times New Roman"/>
                <w:b/>
                <w:bCs/>
                <w:color w:val="000000"/>
              </w:rPr>
            </w:pPr>
            <w:r w:rsidRPr="000836EB">
              <w:rPr>
                <w:rFonts w:ascii="Calibri" w:eastAsia="Times New Roman" w:hAnsi="Calibri" w:cs="Times New Roman"/>
                <w:b/>
                <w:bCs/>
                <w:color w:val="000000"/>
              </w:rPr>
              <w:t>871</w:t>
            </w:r>
          </w:p>
        </w:tc>
      </w:tr>
      <w:tr w:rsidR="000430A4" w:rsidRPr="000836EB" w:rsidTr="002F32F0">
        <w:trPr>
          <w:trHeight w:val="241"/>
        </w:trPr>
        <w:tc>
          <w:tcPr>
            <w:tcW w:w="3106" w:type="pct"/>
            <w:tcBorders>
              <w:top w:val="nil"/>
              <w:left w:val="single" w:sz="4" w:space="0" w:color="auto"/>
              <w:bottom w:val="nil"/>
              <w:right w:val="nil"/>
            </w:tcBorders>
            <w:shd w:val="clear" w:color="auto" w:fill="auto"/>
            <w:hideMark/>
          </w:tcPr>
          <w:p w:rsidR="000430A4" w:rsidRPr="000836EB" w:rsidRDefault="000430A4" w:rsidP="002F32F0">
            <w:pPr>
              <w:spacing w:after="0" w:line="240" w:lineRule="auto"/>
              <w:rPr>
                <w:rFonts w:ascii="Calibri" w:eastAsia="Times New Roman" w:hAnsi="Calibri" w:cs="Times New Roman"/>
                <w:color w:val="000000"/>
              </w:rPr>
            </w:pPr>
            <w:r w:rsidRPr="000836EB">
              <w:rPr>
                <w:rFonts w:ascii="Calibri" w:eastAsia="Times New Roman" w:hAnsi="Calibri" w:cs="Times New Roman"/>
                <w:color w:val="000000"/>
              </w:rPr>
              <w:t>Annual change (%)</w:t>
            </w:r>
          </w:p>
        </w:tc>
        <w:tc>
          <w:tcPr>
            <w:tcW w:w="632" w:type="pct"/>
            <w:tcBorders>
              <w:top w:val="nil"/>
              <w:left w:val="nil"/>
              <w:bottom w:val="nil"/>
              <w:right w:val="nil"/>
            </w:tcBorders>
          </w:tcPr>
          <w:p w:rsidR="000430A4" w:rsidRPr="00D427B7" w:rsidRDefault="000430A4" w:rsidP="002F32F0">
            <w:pPr>
              <w:spacing w:after="0" w:line="240" w:lineRule="auto"/>
              <w:jc w:val="center"/>
              <w:rPr>
                <w:rFonts w:ascii="Calibri" w:eastAsia="Times New Roman" w:hAnsi="Calibri" w:cs="Times New Roman"/>
                <w:color w:val="000000"/>
              </w:rPr>
            </w:pPr>
            <w:r w:rsidRPr="00D427B7">
              <w:rPr>
                <w:rFonts w:ascii="Calibri" w:eastAsia="Times New Roman" w:hAnsi="Calibri" w:cs="Times New Roman"/>
                <w:color w:val="000000"/>
              </w:rPr>
              <w:t>-</w:t>
            </w:r>
          </w:p>
        </w:tc>
        <w:tc>
          <w:tcPr>
            <w:tcW w:w="632" w:type="pct"/>
            <w:tcBorders>
              <w:top w:val="nil"/>
              <w:left w:val="nil"/>
              <w:bottom w:val="nil"/>
              <w:right w:val="nil"/>
            </w:tcBorders>
            <w:shd w:val="clear" w:color="auto" w:fill="auto"/>
            <w:noWrap/>
            <w:vAlign w:val="center"/>
            <w:hideMark/>
          </w:tcPr>
          <w:p w:rsidR="000430A4" w:rsidRPr="00D427B7" w:rsidRDefault="000430A4" w:rsidP="002F32F0">
            <w:pPr>
              <w:spacing w:after="0" w:line="240" w:lineRule="auto"/>
              <w:jc w:val="center"/>
              <w:rPr>
                <w:rFonts w:ascii="Calibri" w:eastAsia="Times New Roman" w:hAnsi="Calibri" w:cs="Times New Roman"/>
                <w:color w:val="000000"/>
              </w:rPr>
            </w:pPr>
            <w:r w:rsidRPr="00D427B7">
              <w:rPr>
                <w:rFonts w:ascii="Calibri" w:eastAsia="Times New Roman" w:hAnsi="Calibri" w:cs="Times New Roman"/>
                <w:color w:val="000000"/>
              </w:rPr>
              <w:t>+1.0%</w:t>
            </w:r>
          </w:p>
        </w:tc>
        <w:tc>
          <w:tcPr>
            <w:tcW w:w="630" w:type="pct"/>
            <w:tcBorders>
              <w:top w:val="nil"/>
              <w:left w:val="nil"/>
              <w:bottom w:val="nil"/>
              <w:right w:val="single" w:sz="4" w:space="0" w:color="auto"/>
            </w:tcBorders>
            <w:shd w:val="clear" w:color="auto" w:fill="auto"/>
            <w:noWrap/>
            <w:vAlign w:val="center"/>
            <w:hideMark/>
          </w:tcPr>
          <w:p w:rsidR="000430A4" w:rsidRPr="00D427B7" w:rsidRDefault="000430A4" w:rsidP="002F32F0">
            <w:pPr>
              <w:spacing w:after="0" w:line="240" w:lineRule="auto"/>
              <w:jc w:val="center"/>
              <w:rPr>
                <w:rFonts w:ascii="Calibri" w:eastAsia="Times New Roman" w:hAnsi="Calibri" w:cs="Times New Roman"/>
                <w:color w:val="000000"/>
              </w:rPr>
            </w:pPr>
            <w:r w:rsidRPr="00D427B7">
              <w:rPr>
                <w:rFonts w:ascii="Calibri" w:eastAsia="Times New Roman" w:hAnsi="Calibri" w:cs="Times New Roman"/>
                <w:color w:val="000000"/>
              </w:rPr>
              <w:t>-24.8%</w:t>
            </w:r>
          </w:p>
        </w:tc>
      </w:tr>
      <w:tr w:rsidR="000430A4" w:rsidRPr="000836EB" w:rsidTr="002F32F0">
        <w:trPr>
          <w:trHeight w:val="219"/>
        </w:trPr>
        <w:tc>
          <w:tcPr>
            <w:tcW w:w="3106" w:type="pct"/>
            <w:tcBorders>
              <w:top w:val="nil"/>
              <w:left w:val="single" w:sz="4" w:space="0" w:color="auto"/>
              <w:bottom w:val="nil"/>
              <w:right w:val="nil"/>
            </w:tcBorders>
            <w:shd w:val="clear" w:color="000000" w:fill="DBE5F1"/>
            <w:hideMark/>
          </w:tcPr>
          <w:p w:rsidR="000430A4" w:rsidRPr="000836EB" w:rsidRDefault="000430A4" w:rsidP="002F32F0">
            <w:pPr>
              <w:spacing w:after="0" w:line="240" w:lineRule="auto"/>
              <w:rPr>
                <w:rFonts w:ascii="Calibri" w:eastAsia="Times New Roman" w:hAnsi="Calibri" w:cs="Times New Roman"/>
                <w:color w:val="000000"/>
              </w:rPr>
            </w:pPr>
            <w:r w:rsidRPr="000836EB">
              <w:rPr>
                <w:rFonts w:ascii="Calibri" w:eastAsia="Times New Roman" w:hAnsi="Calibri" w:cs="Times New Roman"/>
                <w:color w:val="000000"/>
              </w:rPr>
              <w:t>Completed requests</w:t>
            </w:r>
          </w:p>
        </w:tc>
        <w:tc>
          <w:tcPr>
            <w:tcW w:w="632" w:type="pct"/>
            <w:tcBorders>
              <w:top w:val="nil"/>
              <w:left w:val="nil"/>
              <w:bottom w:val="nil"/>
              <w:right w:val="nil"/>
            </w:tcBorders>
            <w:shd w:val="clear" w:color="000000" w:fill="DBE5F1"/>
          </w:tcPr>
          <w:p w:rsidR="000430A4" w:rsidRPr="00D427B7" w:rsidRDefault="000430A4" w:rsidP="002F32F0">
            <w:pPr>
              <w:spacing w:after="0" w:line="240" w:lineRule="auto"/>
              <w:jc w:val="center"/>
              <w:rPr>
                <w:rFonts w:ascii="Calibri" w:eastAsia="Times New Roman" w:hAnsi="Calibri" w:cs="Times New Roman"/>
                <w:b/>
                <w:bCs/>
                <w:color w:val="000000"/>
              </w:rPr>
            </w:pPr>
            <w:r w:rsidRPr="00D427B7">
              <w:rPr>
                <w:rFonts w:ascii="Calibri" w:eastAsia="Times New Roman" w:hAnsi="Calibri" w:cs="Times New Roman"/>
                <w:b/>
                <w:bCs/>
                <w:color w:val="000000"/>
              </w:rPr>
              <w:t>1</w:t>
            </w:r>
            <w:r w:rsidR="000A6BE0">
              <w:rPr>
                <w:rFonts w:ascii="Calibri" w:eastAsia="Times New Roman" w:hAnsi="Calibri" w:cs="Times New Roman"/>
                <w:b/>
                <w:bCs/>
                <w:color w:val="000000"/>
              </w:rPr>
              <w:t>,</w:t>
            </w:r>
            <w:r w:rsidRPr="00D427B7">
              <w:rPr>
                <w:rFonts w:ascii="Calibri" w:eastAsia="Times New Roman" w:hAnsi="Calibri" w:cs="Times New Roman"/>
                <w:b/>
                <w:bCs/>
                <w:color w:val="000000"/>
              </w:rPr>
              <w:t>033</w:t>
            </w:r>
          </w:p>
        </w:tc>
        <w:tc>
          <w:tcPr>
            <w:tcW w:w="632" w:type="pct"/>
            <w:tcBorders>
              <w:top w:val="nil"/>
              <w:left w:val="nil"/>
              <w:bottom w:val="nil"/>
              <w:right w:val="nil"/>
            </w:tcBorders>
            <w:shd w:val="clear" w:color="000000" w:fill="DBE5F1"/>
            <w:noWrap/>
            <w:vAlign w:val="center"/>
            <w:hideMark/>
          </w:tcPr>
          <w:p w:rsidR="000430A4" w:rsidRPr="000836EB" w:rsidRDefault="000430A4" w:rsidP="002F32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1</w:t>
            </w:r>
            <w:r w:rsidR="000A6BE0">
              <w:rPr>
                <w:rFonts w:ascii="Calibri" w:eastAsia="Times New Roman" w:hAnsi="Calibri" w:cs="Times New Roman"/>
                <w:b/>
                <w:bCs/>
                <w:color w:val="000000"/>
              </w:rPr>
              <w:t>,</w:t>
            </w:r>
            <w:r>
              <w:rPr>
                <w:rFonts w:ascii="Calibri" w:eastAsia="Times New Roman" w:hAnsi="Calibri" w:cs="Times New Roman"/>
                <w:b/>
                <w:bCs/>
                <w:color w:val="000000"/>
              </w:rPr>
              <w:t>290</w:t>
            </w:r>
          </w:p>
        </w:tc>
        <w:tc>
          <w:tcPr>
            <w:tcW w:w="630" w:type="pct"/>
            <w:tcBorders>
              <w:top w:val="nil"/>
              <w:left w:val="nil"/>
              <w:bottom w:val="nil"/>
              <w:right w:val="single" w:sz="4" w:space="0" w:color="auto"/>
            </w:tcBorders>
            <w:shd w:val="clear" w:color="000000" w:fill="DBE5F1"/>
            <w:noWrap/>
            <w:vAlign w:val="center"/>
            <w:hideMark/>
          </w:tcPr>
          <w:p w:rsidR="000430A4" w:rsidRPr="000836EB" w:rsidRDefault="000430A4" w:rsidP="002F32F0">
            <w:pPr>
              <w:spacing w:after="0" w:line="240" w:lineRule="auto"/>
              <w:jc w:val="center"/>
              <w:rPr>
                <w:rFonts w:ascii="Calibri" w:eastAsia="Times New Roman" w:hAnsi="Calibri" w:cs="Times New Roman"/>
                <w:b/>
                <w:bCs/>
                <w:color w:val="000000"/>
              </w:rPr>
            </w:pPr>
            <w:r w:rsidRPr="000836EB">
              <w:rPr>
                <w:rFonts w:ascii="Calibri" w:eastAsia="Times New Roman" w:hAnsi="Calibri" w:cs="Times New Roman"/>
                <w:b/>
                <w:bCs/>
                <w:color w:val="000000"/>
              </w:rPr>
              <w:t>984</w:t>
            </w:r>
          </w:p>
        </w:tc>
      </w:tr>
      <w:tr w:rsidR="000430A4" w:rsidRPr="000836EB" w:rsidTr="002F32F0">
        <w:trPr>
          <w:trHeight w:val="229"/>
        </w:trPr>
        <w:tc>
          <w:tcPr>
            <w:tcW w:w="3106" w:type="pct"/>
            <w:tcBorders>
              <w:top w:val="nil"/>
              <w:left w:val="single" w:sz="4" w:space="0" w:color="auto"/>
              <w:right w:val="nil"/>
            </w:tcBorders>
            <w:shd w:val="clear" w:color="auto" w:fill="auto"/>
            <w:hideMark/>
          </w:tcPr>
          <w:p w:rsidR="000430A4" w:rsidRPr="000836EB" w:rsidRDefault="000430A4" w:rsidP="002F32F0">
            <w:pPr>
              <w:spacing w:after="0" w:line="240" w:lineRule="auto"/>
              <w:rPr>
                <w:rFonts w:ascii="Calibri" w:eastAsia="Times New Roman" w:hAnsi="Calibri" w:cs="Times New Roman"/>
                <w:color w:val="000000"/>
              </w:rPr>
            </w:pPr>
            <w:r w:rsidRPr="000836EB">
              <w:rPr>
                <w:rFonts w:ascii="Calibri" w:eastAsia="Times New Roman" w:hAnsi="Calibri" w:cs="Times New Roman"/>
                <w:color w:val="000000"/>
              </w:rPr>
              <w:t>Annual change</w:t>
            </w:r>
            <w:r>
              <w:rPr>
                <w:rFonts w:ascii="Calibri" w:eastAsia="Times New Roman" w:hAnsi="Calibri" w:cs="Times New Roman"/>
                <w:color w:val="000000"/>
              </w:rPr>
              <w:t xml:space="preserve"> (%)</w:t>
            </w:r>
          </w:p>
        </w:tc>
        <w:tc>
          <w:tcPr>
            <w:tcW w:w="632" w:type="pct"/>
            <w:tcBorders>
              <w:top w:val="nil"/>
              <w:left w:val="nil"/>
              <w:right w:val="nil"/>
            </w:tcBorders>
          </w:tcPr>
          <w:p w:rsidR="000430A4" w:rsidRPr="00D427B7" w:rsidRDefault="000430A4" w:rsidP="002F32F0">
            <w:pPr>
              <w:spacing w:after="0" w:line="240" w:lineRule="auto"/>
              <w:jc w:val="center"/>
              <w:rPr>
                <w:rFonts w:ascii="Calibri" w:eastAsia="Times New Roman" w:hAnsi="Calibri" w:cs="Times New Roman"/>
                <w:color w:val="000000"/>
              </w:rPr>
            </w:pPr>
            <w:r w:rsidRPr="00D427B7">
              <w:rPr>
                <w:rFonts w:ascii="Calibri" w:eastAsia="Times New Roman" w:hAnsi="Calibri" w:cs="Times New Roman"/>
                <w:color w:val="000000"/>
              </w:rPr>
              <w:t>-</w:t>
            </w:r>
          </w:p>
        </w:tc>
        <w:tc>
          <w:tcPr>
            <w:tcW w:w="632" w:type="pct"/>
            <w:tcBorders>
              <w:top w:val="nil"/>
              <w:left w:val="nil"/>
              <w:right w:val="nil"/>
            </w:tcBorders>
            <w:shd w:val="clear" w:color="auto" w:fill="auto"/>
            <w:noWrap/>
            <w:vAlign w:val="center"/>
            <w:hideMark/>
          </w:tcPr>
          <w:p w:rsidR="000430A4" w:rsidRPr="000836EB"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+24.9</w:t>
            </w:r>
            <w:r w:rsidRPr="000836EB">
              <w:rPr>
                <w:rFonts w:ascii="Calibri" w:eastAsia="Times New Roman" w:hAnsi="Calibri" w:cs="Times New Roman"/>
                <w:color w:val="000000"/>
              </w:rPr>
              <w:t>%</w:t>
            </w:r>
          </w:p>
        </w:tc>
        <w:tc>
          <w:tcPr>
            <w:tcW w:w="630" w:type="pct"/>
            <w:tcBorders>
              <w:top w:val="nil"/>
              <w:left w:val="nil"/>
              <w:right w:val="single" w:sz="4" w:space="0" w:color="auto"/>
            </w:tcBorders>
            <w:shd w:val="clear" w:color="auto" w:fill="auto"/>
            <w:noWrap/>
            <w:vAlign w:val="center"/>
            <w:hideMark/>
          </w:tcPr>
          <w:p w:rsidR="000430A4" w:rsidRPr="000836EB"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-23.7</w:t>
            </w:r>
            <w:r w:rsidRPr="000836EB">
              <w:rPr>
                <w:rFonts w:ascii="Calibri" w:eastAsia="Times New Roman" w:hAnsi="Calibri" w:cs="Times New Roman"/>
                <w:color w:val="000000"/>
              </w:rPr>
              <w:t>%</w:t>
            </w:r>
          </w:p>
        </w:tc>
      </w:tr>
      <w:tr w:rsidR="000430A4" w:rsidRPr="000836EB" w:rsidTr="002F32F0">
        <w:trPr>
          <w:trHeight w:val="380"/>
        </w:trPr>
        <w:tc>
          <w:tcPr>
            <w:tcW w:w="3106" w:type="pct"/>
            <w:tcBorders>
              <w:top w:val="nil"/>
              <w:left w:val="single" w:sz="4" w:space="0" w:color="auto"/>
              <w:right w:val="nil"/>
            </w:tcBorders>
            <w:shd w:val="clear" w:color="000000" w:fill="DBE5F1"/>
            <w:hideMark/>
          </w:tcPr>
          <w:p w:rsidR="000430A4" w:rsidRPr="000836EB" w:rsidRDefault="000430A4" w:rsidP="002F32F0">
            <w:pPr>
              <w:spacing w:after="0" w:line="240" w:lineRule="auto"/>
              <w:rPr>
                <w:rFonts w:ascii="Calibri" w:eastAsia="Times New Roman" w:hAnsi="Calibri" w:cs="Times New Roman"/>
                <w:color w:val="000000"/>
              </w:rPr>
            </w:pPr>
            <w:r w:rsidRPr="000836EB">
              <w:rPr>
                <w:rFonts w:ascii="Calibri" w:eastAsia="Times New Roman" w:hAnsi="Calibri" w:cs="Times New Roman"/>
                <w:color w:val="000000"/>
              </w:rPr>
              <w:t>Number of consultations received (from other government institutions)</w:t>
            </w:r>
          </w:p>
        </w:tc>
        <w:tc>
          <w:tcPr>
            <w:tcW w:w="632" w:type="pct"/>
            <w:tcBorders>
              <w:top w:val="nil"/>
              <w:left w:val="nil"/>
              <w:right w:val="nil"/>
            </w:tcBorders>
            <w:shd w:val="clear" w:color="000000" w:fill="DBE5F1"/>
            <w:vAlign w:val="center"/>
          </w:tcPr>
          <w:p w:rsidR="000430A4" w:rsidRPr="00D427B7" w:rsidRDefault="000430A4" w:rsidP="002F32F0">
            <w:pPr>
              <w:spacing w:after="0" w:line="240" w:lineRule="auto"/>
              <w:jc w:val="center"/>
              <w:rPr>
                <w:rFonts w:ascii="Calibri" w:eastAsia="Times New Roman" w:hAnsi="Calibri" w:cs="Times New Roman"/>
                <w:b/>
                <w:bCs/>
                <w:color w:val="000000"/>
              </w:rPr>
            </w:pPr>
            <w:r w:rsidRPr="00D427B7">
              <w:rPr>
                <w:rFonts w:ascii="Calibri" w:eastAsia="Times New Roman" w:hAnsi="Calibri" w:cs="Times New Roman"/>
                <w:b/>
                <w:bCs/>
                <w:color w:val="000000"/>
              </w:rPr>
              <w:t>1</w:t>
            </w:r>
            <w:r w:rsidR="000A6BE0">
              <w:rPr>
                <w:rFonts w:ascii="Calibri" w:eastAsia="Times New Roman" w:hAnsi="Calibri" w:cs="Times New Roman"/>
                <w:b/>
                <w:bCs/>
                <w:color w:val="000000"/>
              </w:rPr>
              <w:t>,</w:t>
            </w:r>
            <w:r w:rsidRPr="00D427B7">
              <w:rPr>
                <w:rFonts w:ascii="Calibri" w:eastAsia="Times New Roman" w:hAnsi="Calibri" w:cs="Times New Roman"/>
                <w:b/>
                <w:bCs/>
                <w:color w:val="000000"/>
              </w:rPr>
              <w:t>057</w:t>
            </w:r>
          </w:p>
        </w:tc>
        <w:tc>
          <w:tcPr>
            <w:tcW w:w="632" w:type="pct"/>
            <w:tcBorders>
              <w:top w:val="nil"/>
              <w:left w:val="nil"/>
              <w:right w:val="nil"/>
            </w:tcBorders>
            <w:shd w:val="clear" w:color="000000" w:fill="DBE5F1"/>
            <w:noWrap/>
            <w:vAlign w:val="center"/>
            <w:hideMark/>
          </w:tcPr>
          <w:p w:rsidR="000430A4" w:rsidRPr="000836EB" w:rsidRDefault="000430A4" w:rsidP="002F32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898</w:t>
            </w:r>
          </w:p>
        </w:tc>
        <w:tc>
          <w:tcPr>
            <w:tcW w:w="630" w:type="pct"/>
            <w:tcBorders>
              <w:top w:val="nil"/>
              <w:left w:val="nil"/>
              <w:right w:val="single" w:sz="4" w:space="0" w:color="auto"/>
            </w:tcBorders>
            <w:shd w:val="clear" w:color="000000" w:fill="DBE5F1"/>
            <w:noWrap/>
            <w:vAlign w:val="center"/>
            <w:hideMark/>
          </w:tcPr>
          <w:p w:rsidR="000430A4" w:rsidRPr="000836EB" w:rsidRDefault="000430A4" w:rsidP="002F32F0">
            <w:pPr>
              <w:spacing w:after="0" w:line="240" w:lineRule="auto"/>
              <w:jc w:val="center"/>
              <w:rPr>
                <w:rFonts w:ascii="Calibri" w:eastAsia="Times New Roman" w:hAnsi="Calibri" w:cs="Times New Roman"/>
                <w:b/>
                <w:bCs/>
                <w:color w:val="000000"/>
              </w:rPr>
            </w:pPr>
            <w:r w:rsidRPr="000836EB">
              <w:rPr>
                <w:rFonts w:ascii="Calibri" w:eastAsia="Times New Roman" w:hAnsi="Calibri" w:cs="Times New Roman"/>
                <w:b/>
                <w:bCs/>
                <w:color w:val="000000"/>
              </w:rPr>
              <w:t>645</w:t>
            </w:r>
          </w:p>
        </w:tc>
      </w:tr>
      <w:tr w:rsidR="000430A4" w:rsidRPr="000836EB" w:rsidTr="002F32F0">
        <w:trPr>
          <w:trHeight w:val="229"/>
        </w:trPr>
        <w:tc>
          <w:tcPr>
            <w:tcW w:w="3106" w:type="pct"/>
            <w:tcBorders>
              <w:top w:val="nil"/>
              <w:left w:val="single" w:sz="4" w:space="0" w:color="auto"/>
              <w:bottom w:val="single" w:sz="4" w:space="0" w:color="auto"/>
              <w:right w:val="nil"/>
            </w:tcBorders>
            <w:shd w:val="clear" w:color="auto" w:fill="auto"/>
            <w:hideMark/>
          </w:tcPr>
          <w:p w:rsidR="000430A4" w:rsidRPr="000836EB" w:rsidRDefault="000430A4" w:rsidP="002F32F0">
            <w:pPr>
              <w:spacing w:after="0" w:line="240" w:lineRule="auto"/>
              <w:rPr>
                <w:rFonts w:ascii="Calibri" w:eastAsia="Times New Roman" w:hAnsi="Calibri" w:cs="Times New Roman"/>
                <w:color w:val="000000"/>
              </w:rPr>
            </w:pPr>
            <w:r w:rsidRPr="000836EB">
              <w:rPr>
                <w:rFonts w:ascii="Calibri" w:eastAsia="Times New Roman" w:hAnsi="Calibri" w:cs="Times New Roman"/>
                <w:color w:val="000000"/>
              </w:rPr>
              <w:t>Annual change (%)</w:t>
            </w:r>
          </w:p>
        </w:tc>
        <w:tc>
          <w:tcPr>
            <w:tcW w:w="632" w:type="pct"/>
            <w:tcBorders>
              <w:top w:val="nil"/>
              <w:left w:val="nil"/>
              <w:bottom w:val="single" w:sz="4" w:space="0" w:color="auto"/>
              <w:right w:val="nil"/>
            </w:tcBorders>
          </w:tcPr>
          <w:p w:rsidR="000430A4" w:rsidRPr="00D427B7" w:rsidRDefault="000430A4" w:rsidP="002F32F0">
            <w:pPr>
              <w:spacing w:after="0" w:line="240" w:lineRule="auto"/>
              <w:jc w:val="center"/>
              <w:rPr>
                <w:rFonts w:ascii="Calibri" w:eastAsia="Times New Roman" w:hAnsi="Calibri" w:cs="Times New Roman"/>
                <w:color w:val="000000"/>
              </w:rPr>
            </w:pPr>
            <w:r w:rsidRPr="00D427B7">
              <w:rPr>
                <w:rFonts w:ascii="Calibri" w:eastAsia="Times New Roman" w:hAnsi="Calibri" w:cs="Times New Roman"/>
                <w:color w:val="000000"/>
              </w:rPr>
              <w:t>-</w:t>
            </w:r>
          </w:p>
        </w:tc>
        <w:tc>
          <w:tcPr>
            <w:tcW w:w="632" w:type="pct"/>
            <w:tcBorders>
              <w:top w:val="nil"/>
              <w:left w:val="nil"/>
              <w:bottom w:val="single" w:sz="4" w:space="0" w:color="auto"/>
              <w:right w:val="nil"/>
            </w:tcBorders>
            <w:shd w:val="clear" w:color="auto" w:fill="auto"/>
            <w:noWrap/>
            <w:vAlign w:val="center"/>
            <w:hideMark/>
          </w:tcPr>
          <w:p w:rsidR="000430A4" w:rsidRPr="000836EB"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-15.0%</w:t>
            </w:r>
          </w:p>
        </w:tc>
        <w:tc>
          <w:tcPr>
            <w:tcW w:w="630" w:type="pct"/>
            <w:tcBorders>
              <w:top w:val="nil"/>
              <w:left w:val="nil"/>
              <w:bottom w:val="single" w:sz="4" w:space="0" w:color="auto"/>
              <w:right w:val="single" w:sz="4" w:space="0" w:color="auto"/>
            </w:tcBorders>
            <w:shd w:val="clear" w:color="auto" w:fill="auto"/>
            <w:noWrap/>
            <w:vAlign w:val="center"/>
            <w:hideMark/>
          </w:tcPr>
          <w:p w:rsidR="000430A4" w:rsidRPr="000836EB"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-28.2</w:t>
            </w:r>
            <w:r w:rsidRPr="000836EB">
              <w:rPr>
                <w:rFonts w:ascii="Calibri" w:eastAsia="Times New Roman" w:hAnsi="Calibri" w:cs="Times New Roman"/>
                <w:color w:val="000000"/>
              </w:rPr>
              <w:t>%</w:t>
            </w:r>
          </w:p>
        </w:tc>
      </w:tr>
      <w:tr w:rsidR="000430A4" w:rsidRPr="000836EB" w:rsidTr="002F32F0">
        <w:trPr>
          <w:trHeight w:val="355"/>
        </w:trPr>
        <w:tc>
          <w:tcPr>
            <w:tcW w:w="3106" w:type="pct"/>
            <w:tcBorders>
              <w:top w:val="single" w:sz="4" w:space="0" w:color="auto"/>
              <w:left w:val="single" w:sz="4" w:space="0" w:color="auto"/>
              <w:bottom w:val="nil"/>
              <w:right w:val="nil"/>
            </w:tcBorders>
            <w:shd w:val="clear" w:color="000000" w:fill="DBE5F1"/>
            <w:hideMark/>
          </w:tcPr>
          <w:p w:rsidR="000430A4" w:rsidRPr="000836EB" w:rsidRDefault="000430A4" w:rsidP="002F32F0">
            <w:pPr>
              <w:spacing w:after="0" w:line="240" w:lineRule="auto"/>
              <w:rPr>
                <w:rFonts w:ascii="Calibri" w:eastAsia="Times New Roman" w:hAnsi="Calibri" w:cs="Times New Roman"/>
                <w:color w:val="000000"/>
              </w:rPr>
            </w:pPr>
            <w:r w:rsidRPr="000836EB">
              <w:rPr>
                <w:rFonts w:ascii="Calibri" w:eastAsia="Times New Roman" w:hAnsi="Calibri" w:cs="Times New Roman"/>
                <w:color w:val="000000"/>
              </w:rPr>
              <w:lastRenderedPageBreak/>
              <w:t>Average number of pages processed per request completed</w:t>
            </w:r>
          </w:p>
        </w:tc>
        <w:tc>
          <w:tcPr>
            <w:tcW w:w="632" w:type="pct"/>
            <w:tcBorders>
              <w:top w:val="single" w:sz="4" w:space="0" w:color="auto"/>
              <w:left w:val="nil"/>
              <w:bottom w:val="nil"/>
              <w:right w:val="nil"/>
            </w:tcBorders>
            <w:shd w:val="clear" w:color="000000" w:fill="DBE5F1"/>
          </w:tcPr>
          <w:p w:rsidR="000430A4" w:rsidRPr="00D427B7" w:rsidRDefault="000430A4" w:rsidP="002F32F0">
            <w:pPr>
              <w:spacing w:after="0" w:line="240" w:lineRule="auto"/>
              <w:jc w:val="center"/>
              <w:rPr>
                <w:rFonts w:ascii="Calibri" w:eastAsia="Times New Roman" w:hAnsi="Calibri" w:cs="Times New Roman"/>
                <w:b/>
                <w:bCs/>
                <w:color w:val="000000"/>
              </w:rPr>
            </w:pPr>
            <w:r w:rsidRPr="00D427B7">
              <w:rPr>
                <w:rFonts w:ascii="Calibri" w:eastAsia="Times New Roman" w:hAnsi="Calibri" w:cs="Times New Roman"/>
                <w:b/>
                <w:bCs/>
                <w:color w:val="000000"/>
              </w:rPr>
              <w:t>-</w:t>
            </w:r>
          </w:p>
        </w:tc>
        <w:tc>
          <w:tcPr>
            <w:tcW w:w="632" w:type="pct"/>
            <w:tcBorders>
              <w:top w:val="single" w:sz="4" w:space="0" w:color="auto"/>
              <w:left w:val="nil"/>
              <w:bottom w:val="nil"/>
              <w:right w:val="nil"/>
            </w:tcBorders>
            <w:shd w:val="clear" w:color="000000" w:fill="DBE5F1"/>
            <w:noWrap/>
            <w:vAlign w:val="center"/>
            <w:hideMark/>
          </w:tcPr>
          <w:p w:rsidR="000430A4" w:rsidRPr="000836EB" w:rsidRDefault="000430A4" w:rsidP="002F32F0">
            <w:pPr>
              <w:spacing w:after="0" w:line="240" w:lineRule="auto"/>
              <w:jc w:val="center"/>
              <w:rPr>
                <w:rFonts w:ascii="Calibri" w:eastAsia="Times New Roman" w:hAnsi="Calibri" w:cs="Times New Roman"/>
                <w:b/>
                <w:bCs/>
                <w:color w:val="000000"/>
              </w:rPr>
            </w:pPr>
            <w:r w:rsidRPr="000836EB">
              <w:rPr>
                <w:rFonts w:ascii="Calibri" w:eastAsia="Times New Roman" w:hAnsi="Calibri" w:cs="Times New Roman"/>
                <w:b/>
                <w:bCs/>
                <w:color w:val="000000"/>
              </w:rPr>
              <w:t>1</w:t>
            </w:r>
            <w:r>
              <w:rPr>
                <w:rFonts w:ascii="Calibri" w:eastAsia="Times New Roman" w:hAnsi="Calibri" w:cs="Times New Roman"/>
                <w:b/>
                <w:bCs/>
                <w:color w:val="000000"/>
              </w:rPr>
              <w:t>62</w:t>
            </w:r>
          </w:p>
        </w:tc>
        <w:tc>
          <w:tcPr>
            <w:tcW w:w="630" w:type="pct"/>
            <w:tcBorders>
              <w:top w:val="single" w:sz="4" w:space="0" w:color="auto"/>
              <w:left w:val="nil"/>
              <w:bottom w:val="nil"/>
              <w:right w:val="single" w:sz="4" w:space="0" w:color="auto"/>
            </w:tcBorders>
            <w:shd w:val="clear" w:color="000000" w:fill="DBE5F1"/>
            <w:noWrap/>
            <w:vAlign w:val="center"/>
            <w:hideMark/>
          </w:tcPr>
          <w:p w:rsidR="000430A4" w:rsidRPr="000836EB" w:rsidRDefault="000430A4" w:rsidP="002F32F0">
            <w:pPr>
              <w:spacing w:after="0" w:line="240" w:lineRule="auto"/>
              <w:jc w:val="center"/>
              <w:rPr>
                <w:rFonts w:ascii="Calibri" w:eastAsia="Times New Roman" w:hAnsi="Calibri" w:cs="Times New Roman"/>
                <w:b/>
                <w:bCs/>
                <w:color w:val="000000"/>
              </w:rPr>
            </w:pPr>
            <w:r w:rsidRPr="000836EB">
              <w:rPr>
                <w:rFonts w:ascii="Calibri" w:eastAsia="Times New Roman" w:hAnsi="Calibri" w:cs="Times New Roman"/>
                <w:b/>
                <w:bCs/>
                <w:color w:val="000000"/>
              </w:rPr>
              <w:t>183</w:t>
            </w:r>
          </w:p>
        </w:tc>
      </w:tr>
      <w:tr w:rsidR="000430A4" w:rsidRPr="000836EB" w:rsidTr="002F32F0">
        <w:trPr>
          <w:trHeight w:val="377"/>
        </w:trPr>
        <w:tc>
          <w:tcPr>
            <w:tcW w:w="3106" w:type="pct"/>
            <w:tcBorders>
              <w:top w:val="nil"/>
              <w:left w:val="single" w:sz="4" w:space="0" w:color="auto"/>
              <w:bottom w:val="single" w:sz="4" w:space="0" w:color="auto"/>
              <w:right w:val="nil"/>
            </w:tcBorders>
            <w:shd w:val="clear" w:color="auto" w:fill="auto"/>
            <w:hideMark/>
          </w:tcPr>
          <w:p w:rsidR="000430A4" w:rsidRPr="000836EB" w:rsidRDefault="000430A4" w:rsidP="002F32F0">
            <w:pPr>
              <w:spacing w:after="0" w:line="240" w:lineRule="auto"/>
              <w:rPr>
                <w:rFonts w:ascii="Calibri" w:eastAsia="Times New Roman" w:hAnsi="Calibri" w:cs="Times New Roman"/>
                <w:color w:val="000000"/>
              </w:rPr>
            </w:pPr>
            <w:r w:rsidRPr="000836EB">
              <w:rPr>
                <w:rFonts w:ascii="Calibri" w:eastAsia="Times New Roman" w:hAnsi="Calibri" w:cs="Times New Roman"/>
                <w:color w:val="000000"/>
              </w:rPr>
              <w:t>% of requests for which more than 1</w:t>
            </w:r>
            <w:r w:rsidR="000A6BE0">
              <w:rPr>
                <w:rFonts w:ascii="Calibri" w:eastAsia="Times New Roman" w:hAnsi="Calibri" w:cs="Times New Roman"/>
                <w:color w:val="000000"/>
              </w:rPr>
              <w:t>,</w:t>
            </w:r>
            <w:r w:rsidRPr="000836EB">
              <w:rPr>
                <w:rFonts w:ascii="Calibri" w:eastAsia="Times New Roman" w:hAnsi="Calibri" w:cs="Times New Roman"/>
                <w:color w:val="000000"/>
              </w:rPr>
              <w:t>000 pages were processed</w:t>
            </w:r>
          </w:p>
        </w:tc>
        <w:tc>
          <w:tcPr>
            <w:tcW w:w="632" w:type="pct"/>
            <w:tcBorders>
              <w:top w:val="nil"/>
              <w:left w:val="nil"/>
              <w:bottom w:val="single" w:sz="4" w:space="0" w:color="auto"/>
              <w:right w:val="nil"/>
            </w:tcBorders>
            <w:shd w:val="clear" w:color="auto" w:fill="auto"/>
          </w:tcPr>
          <w:p w:rsidR="000430A4" w:rsidRPr="00D427B7" w:rsidRDefault="000430A4" w:rsidP="002F32F0">
            <w:pPr>
              <w:spacing w:after="0" w:line="240" w:lineRule="auto"/>
              <w:jc w:val="center"/>
              <w:rPr>
                <w:rFonts w:ascii="Calibri" w:eastAsia="Times New Roman" w:hAnsi="Calibri" w:cs="Times New Roman"/>
                <w:color w:val="000000"/>
              </w:rPr>
            </w:pPr>
            <w:r w:rsidRPr="00D427B7">
              <w:rPr>
                <w:rFonts w:ascii="Calibri" w:eastAsia="Times New Roman" w:hAnsi="Calibri" w:cs="Times New Roman"/>
                <w:color w:val="000000"/>
              </w:rPr>
              <w:t>2.0%</w:t>
            </w:r>
          </w:p>
        </w:tc>
        <w:tc>
          <w:tcPr>
            <w:tcW w:w="632" w:type="pct"/>
            <w:tcBorders>
              <w:top w:val="nil"/>
              <w:left w:val="nil"/>
              <w:bottom w:val="single" w:sz="4" w:space="0" w:color="auto"/>
              <w:right w:val="nil"/>
            </w:tcBorders>
            <w:shd w:val="clear" w:color="auto" w:fill="auto"/>
            <w:noWrap/>
            <w:vAlign w:val="center"/>
            <w:hideMark/>
          </w:tcPr>
          <w:p w:rsidR="000430A4" w:rsidRPr="000836EB"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630" w:type="pct"/>
            <w:tcBorders>
              <w:top w:val="nil"/>
              <w:left w:val="nil"/>
              <w:bottom w:val="single" w:sz="4" w:space="0" w:color="auto"/>
              <w:right w:val="single" w:sz="4" w:space="0" w:color="auto"/>
            </w:tcBorders>
            <w:shd w:val="clear" w:color="auto" w:fill="auto"/>
            <w:noWrap/>
            <w:vAlign w:val="center"/>
            <w:hideMark/>
          </w:tcPr>
          <w:p w:rsidR="000430A4" w:rsidRPr="000836EB" w:rsidRDefault="000430A4" w:rsidP="002F32F0">
            <w:pPr>
              <w:spacing w:after="0" w:line="240" w:lineRule="auto"/>
              <w:jc w:val="center"/>
              <w:rPr>
                <w:rFonts w:ascii="Calibri" w:eastAsia="Times New Roman" w:hAnsi="Calibri" w:cs="Times New Roman"/>
                <w:color w:val="000000"/>
              </w:rPr>
            </w:pPr>
            <w:r w:rsidRPr="000836EB">
              <w:rPr>
                <w:rFonts w:ascii="Calibri" w:eastAsia="Times New Roman" w:hAnsi="Calibri" w:cs="Times New Roman"/>
                <w:color w:val="000000"/>
              </w:rPr>
              <w:t>3.6%</w:t>
            </w:r>
          </w:p>
        </w:tc>
      </w:tr>
    </w:tbl>
    <w:p w:rsidR="000430A4" w:rsidRPr="00F31309" w:rsidRDefault="000430A4" w:rsidP="000430A4">
      <w:pPr>
        <w:pStyle w:val="Heading2"/>
        <w:spacing w:before="240"/>
      </w:pPr>
      <w:r w:rsidRPr="00F31309">
        <w:t>Requests completion time</w:t>
      </w:r>
    </w:p>
    <w:p w:rsidR="000430A4" w:rsidRPr="004D30BF" w:rsidRDefault="000430A4" w:rsidP="000430A4">
      <w:pPr>
        <w:pStyle w:val="Heading4"/>
      </w:pPr>
      <w:r w:rsidRPr="004D30BF">
        <w:t>Timeliness</w:t>
      </w:r>
    </w:p>
    <w:p w:rsidR="000430A4" w:rsidRPr="00C12D02" w:rsidRDefault="000430A4" w:rsidP="000430A4">
      <w:pPr>
        <w:jc w:val="both"/>
        <w:rPr>
          <w:color w:val="000000" w:themeColor="text1"/>
        </w:rPr>
      </w:pPr>
      <w:r w:rsidRPr="00C12D02">
        <w:rPr>
          <w:color w:val="000000" w:themeColor="text1"/>
        </w:rPr>
        <w:t xml:space="preserve">Figure 1 </w:t>
      </w:r>
      <w:r>
        <w:rPr>
          <w:color w:val="000000" w:themeColor="text1"/>
        </w:rPr>
        <w:t>demonstrates</w:t>
      </w:r>
      <w:r w:rsidRPr="00C12D02">
        <w:rPr>
          <w:color w:val="000000" w:themeColor="text1"/>
        </w:rPr>
        <w:t xml:space="preserve"> that </w:t>
      </w:r>
      <w:r>
        <w:rPr>
          <w:color w:val="000000" w:themeColor="text1"/>
        </w:rPr>
        <w:t>33.7</w:t>
      </w:r>
      <w:r w:rsidRPr="00C12D02">
        <w:rPr>
          <w:color w:val="000000" w:themeColor="text1"/>
        </w:rPr>
        <w:t>%</w:t>
      </w:r>
      <w:r>
        <w:rPr>
          <w:color w:val="000000" w:themeColor="text1"/>
        </w:rPr>
        <w:t xml:space="preserve"> of GAC’s requests were completed within 30 days or less, which is similar to</w:t>
      </w:r>
      <w:r w:rsidRPr="00C12D02">
        <w:rPr>
          <w:color w:val="000000" w:themeColor="text1"/>
        </w:rPr>
        <w:t xml:space="preserve"> the results observed in 2013-2014 (</w:t>
      </w:r>
      <w:r>
        <w:rPr>
          <w:color w:val="000000" w:themeColor="text1"/>
        </w:rPr>
        <w:t>33.8</w:t>
      </w:r>
      <w:r w:rsidRPr="00C12D02">
        <w:rPr>
          <w:color w:val="000000" w:themeColor="text1"/>
        </w:rPr>
        <w:t xml:space="preserve">%). </w:t>
      </w:r>
      <w:r>
        <w:rPr>
          <w:color w:val="000000" w:themeColor="text1"/>
        </w:rPr>
        <w:t>We note that the number of requests completed between 31 and 365 days decreased from the previous period, whereas the percentage of completed requests that took more than 365 days increased by 6.8%.</w:t>
      </w:r>
    </w:p>
    <w:p w:rsidR="000430A4" w:rsidRPr="00622232" w:rsidRDefault="000430A4" w:rsidP="000430A4">
      <w:pPr>
        <w:pStyle w:val="Heading3"/>
        <w:spacing w:after="200"/>
        <w:rPr>
          <w:sz w:val="24"/>
          <w:szCs w:val="24"/>
        </w:rPr>
      </w:pPr>
      <w:r w:rsidRPr="001D6D11">
        <w:t xml:space="preserve">Figure 1: </w:t>
      </w:r>
      <w:r w:rsidRPr="00F31309">
        <w:t>Request</w:t>
      </w:r>
      <w:r w:rsidRPr="001D6D11">
        <w:t xml:space="preserve"> Completion T</w:t>
      </w:r>
      <w:r>
        <w:t>ime</w:t>
      </w:r>
      <w:r w:rsidRPr="00FE1108">
        <w:rPr>
          <w:noProof/>
          <w:color w:val="FF0000"/>
          <w:sz w:val="24"/>
          <w:szCs w:val="24"/>
        </w:rPr>
        <w:drawing>
          <wp:inline distT="0" distB="0" distL="0" distR="0">
            <wp:extent cx="6138407" cy="4110825"/>
            <wp:effectExtent l="0" t="0" r="0" b="4445"/>
            <wp:docPr id="4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430A4" w:rsidRPr="00D2368F" w:rsidRDefault="000430A4" w:rsidP="000430A4">
      <w:pPr>
        <w:pStyle w:val="Heading4"/>
      </w:pPr>
      <w:r w:rsidRPr="00D2368F">
        <w:t>Extensions</w:t>
      </w:r>
    </w:p>
    <w:p w:rsidR="000430A4" w:rsidRPr="00371900" w:rsidRDefault="000430A4" w:rsidP="000430A4">
      <w:pPr>
        <w:jc w:val="both"/>
        <w:rPr>
          <w:color w:val="000000" w:themeColor="text1"/>
        </w:rPr>
      </w:pPr>
      <w:r w:rsidRPr="00371900">
        <w:rPr>
          <w:color w:val="000000" w:themeColor="text1"/>
        </w:rPr>
        <w:t>GAC took a total of 651 extensions in 2014-2015 compared to 843 in 2013-2014. The most common reason for taking an extension was consultations (69.6%), followed by interference with operations (21.8%).</w:t>
      </w:r>
    </w:p>
    <w:p w:rsidR="000430A4" w:rsidRPr="00371900" w:rsidRDefault="000430A4" w:rsidP="000430A4">
      <w:pPr>
        <w:jc w:val="both"/>
      </w:pPr>
      <w:r w:rsidRPr="00371900">
        <w:lastRenderedPageBreak/>
        <w:t>Figure 2 shows that 24.6% of extensions were taken for 30 days or less. This measure is similar compared to 2013-2014. Figure 2 also shows that the number of requests extended between 31 and 60 days in 2014-2015 increased by 2.4% compared to the previous period.</w:t>
      </w:r>
    </w:p>
    <w:p w:rsidR="000430A4" w:rsidRDefault="000430A4" w:rsidP="000430A4">
      <w:pPr>
        <w:pStyle w:val="Heading3"/>
        <w:spacing w:after="200"/>
      </w:pPr>
      <w:r w:rsidRPr="00F31309">
        <w:t>Figure</w:t>
      </w:r>
      <w:r w:rsidRPr="001D6D11">
        <w:t xml:space="preserve"> 2: Length of E</w:t>
      </w:r>
      <w:r>
        <w:t>xtensions</w:t>
      </w:r>
      <w:r w:rsidRPr="00FE1108">
        <w:rPr>
          <w:noProof/>
        </w:rPr>
        <w:drawing>
          <wp:inline distT="0" distB="0" distL="0" distR="0">
            <wp:extent cx="6035040" cy="4134678"/>
            <wp:effectExtent l="0" t="0" r="3810" b="0"/>
            <wp:docPr id="4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430A4" w:rsidRPr="00D2368F" w:rsidRDefault="000430A4" w:rsidP="000430A4">
      <w:pPr>
        <w:pStyle w:val="Heading4"/>
      </w:pPr>
      <w:r>
        <w:t>Deemed refusals</w:t>
      </w:r>
    </w:p>
    <w:p w:rsidR="000430A4" w:rsidRPr="00371900" w:rsidRDefault="000430A4" w:rsidP="000430A4">
      <w:pPr>
        <w:jc w:val="both"/>
      </w:pPr>
      <w:r w:rsidRPr="00371900">
        <w:t>In 2014-2015, the number of requests closed past the statutory deadline was 407, which accounts for 41.4% of completed requests. This rate represents an “F” grade.</w:t>
      </w:r>
      <w:r w:rsidRPr="00371900">
        <w:rPr>
          <w:rStyle w:val="FootnoteReference"/>
        </w:rPr>
        <w:footnoteReference w:id="53"/>
      </w:r>
      <w:r w:rsidRPr="00371900">
        <w:t xml:space="preserve"> The most common reason for overdue requests was workload (58.2%), followed by consultations (23.1%) and other reasons (18.7%).</w:t>
      </w:r>
    </w:p>
    <w:p w:rsidR="000430A4" w:rsidRPr="00371900" w:rsidRDefault="000430A4" w:rsidP="000430A4">
      <w:pPr>
        <w:jc w:val="both"/>
      </w:pPr>
      <w:r w:rsidRPr="00371900">
        <w:t>Figure 3 shows that 52.3% of overdue requests were more than 181 days late, while only 18.9% were late by 30 days or less.</w:t>
      </w:r>
    </w:p>
    <w:p w:rsidR="000430A4" w:rsidRDefault="000430A4" w:rsidP="000430A4">
      <w:pPr>
        <w:pStyle w:val="Heading3"/>
        <w:spacing w:after="200"/>
      </w:pPr>
      <w:r w:rsidRPr="009B4AAC">
        <w:lastRenderedPageBreak/>
        <w:t>Figure 3: Lateness of Overdue R</w:t>
      </w:r>
      <w:r>
        <w:t>equests</w:t>
      </w:r>
      <w:r w:rsidRPr="008B3FE2">
        <w:rPr>
          <w:noProof/>
        </w:rPr>
        <w:drawing>
          <wp:inline distT="0" distB="0" distL="0" distR="0">
            <wp:extent cx="6114553" cy="4118775"/>
            <wp:effectExtent l="0" t="0" r="635" b="0"/>
            <wp:docPr id="4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430A4" w:rsidRPr="00F31309" w:rsidRDefault="000430A4" w:rsidP="000430A4">
      <w:pPr>
        <w:pStyle w:val="Heading2"/>
      </w:pPr>
      <w:r w:rsidRPr="00F31309">
        <w:t>Disclosure</w:t>
      </w:r>
    </w:p>
    <w:p w:rsidR="000430A4" w:rsidRPr="00D2368F" w:rsidRDefault="000430A4" w:rsidP="000430A4">
      <w:pPr>
        <w:pStyle w:val="Heading4"/>
      </w:pPr>
      <w:r w:rsidRPr="00D2368F">
        <w:t>Perce</w:t>
      </w:r>
      <w:r>
        <w:t>ntage of requests for which information was disclosed</w:t>
      </w:r>
    </w:p>
    <w:p w:rsidR="000430A4" w:rsidRPr="00BB4C77" w:rsidRDefault="000430A4" w:rsidP="000430A4">
      <w:pPr>
        <w:jc w:val="both"/>
      </w:pPr>
      <w:r w:rsidRPr="00BB4C77">
        <w:t xml:space="preserve">In 2014-2015, </w:t>
      </w:r>
      <w:r>
        <w:t>9.2</w:t>
      </w:r>
      <w:r w:rsidRPr="00BB4C77">
        <w:t>% of completed requests were entirely disclosed</w:t>
      </w:r>
      <w:r>
        <w:t xml:space="preserve"> which represents a slight decrease of 0.6% from the previous period</w:t>
      </w:r>
      <w:r w:rsidRPr="00BB4C77">
        <w:t xml:space="preserve"> (see Figure 4). Figure 4 also shows that the rate for partially disclosed requests was </w:t>
      </w:r>
      <w:r>
        <w:t>58.4% in 2014-2015, which is 3.3</w:t>
      </w:r>
      <w:r w:rsidRPr="00BB4C77">
        <w:t xml:space="preserve">% </w:t>
      </w:r>
      <w:r>
        <w:t>lower than</w:t>
      </w:r>
      <w:r w:rsidRPr="00BB4C77">
        <w:t xml:space="preserve"> the </w:t>
      </w:r>
      <w:r>
        <w:t>results of the previous period.</w:t>
      </w:r>
    </w:p>
    <w:p w:rsidR="000430A4" w:rsidRDefault="000430A4" w:rsidP="000430A4">
      <w:pPr>
        <w:pStyle w:val="Heading3"/>
        <w:spacing w:after="200"/>
      </w:pPr>
      <w:r w:rsidRPr="009B4AAC">
        <w:t>Figure 4: Level of Disclosure</w:t>
      </w:r>
      <w:r w:rsidRPr="00EC20E6">
        <w:rPr>
          <w:noProof/>
        </w:rPr>
        <w:drawing>
          <wp:inline distT="0" distB="0" distL="0" distR="0">
            <wp:extent cx="6074797" cy="3880236"/>
            <wp:effectExtent l="0" t="0" r="2540" b="6350"/>
            <wp:docPr id="4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430A4" w:rsidRPr="00D2368F" w:rsidRDefault="000430A4" w:rsidP="000430A4">
      <w:pPr>
        <w:pStyle w:val="Heading2"/>
      </w:pPr>
      <w:r w:rsidRPr="00D2368F">
        <w:t xml:space="preserve">Exemptions </w:t>
      </w:r>
    </w:p>
    <w:p w:rsidR="000430A4" w:rsidRPr="00371900" w:rsidRDefault="000430A4" w:rsidP="000430A4">
      <w:pPr>
        <w:jc w:val="both"/>
      </w:pPr>
      <w:r w:rsidRPr="00371900">
        <w:t>There was very little change with the average number of exemptions used per completed request, increasing slightly from 2.80 in 2013-2014 to 2.92 in 2014-2015 (see Table 2).</w:t>
      </w:r>
    </w:p>
    <w:p w:rsidR="000430A4" w:rsidRPr="00371900" w:rsidRDefault="000430A4" w:rsidP="000430A4">
      <w:pPr>
        <w:jc w:val="both"/>
      </w:pPr>
      <w:r w:rsidRPr="00371900">
        <w:t>The most common exemptions used by GAC in 2014-2015 were section 21 (Operations of Government) (28.7%), followed by section 15 (International Affairs and Defence) (19.5%) and section 19 (Personal Information) (16.9%).</w:t>
      </w:r>
    </w:p>
    <w:p w:rsidR="000430A4" w:rsidRDefault="000430A4" w:rsidP="000430A4">
      <w:pPr>
        <w:pStyle w:val="Heading3"/>
      </w:pPr>
      <w:r w:rsidRPr="00916BD0">
        <w:t xml:space="preserve">Table </w:t>
      </w:r>
      <w:r>
        <w:t>2</w:t>
      </w:r>
      <w:r w:rsidRPr="00916BD0">
        <w:t>: Exemptions</w:t>
      </w:r>
    </w:p>
    <w:tbl>
      <w:tblPr>
        <w:tblW w:w="4944" w:type="pct"/>
        <w:tblInd w:w="108" w:type="dxa"/>
        <w:tblLook w:val="04A0"/>
      </w:tblPr>
      <w:tblGrid>
        <w:gridCol w:w="5882"/>
        <w:gridCol w:w="1197"/>
        <w:gridCol w:w="1197"/>
        <w:gridCol w:w="1193"/>
      </w:tblGrid>
      <w:tr w:rsidR="000430A4" w:rsidRPr="00107F44" w:rsidTr="002F32F0">
        <w:trPr>
          <w:trHeight w:val="335"/>
        </w:trPr>
        <w:tc>
          <w:tcPr>
            <w:tcW w:w="3106" w:type="pct"/>
            <w:tcBorders>
              <w:top w:val="single" w:sz="8" w:space="0" w:color="auto"/>
              <w:left w:val="single" w:sz="8" w:space="0" w:color="auto"/>
              <w:bottom w:val="single" w:sz="8" w:space="0" w:color="auto"/>
              <w:right w:val="nil"/>
            </w:tcBorders>
            <w:shd w:val="clear" w:color="000000" w:fill="DBE5F1"/>
            <w:noWrap/>
            <w:vAlign w:val="bottom"/>
            <w:hideMark/>
          </w:tcPr>
          <w:p w:rsidR="000430A4" w:rsidRPr="00107F44" w:rsidRDefault="000430A4" w:rsidP="002F32F0">
            <w:pPr>
              <w:spacing w:after="0" w:line="240" w:lineRule="auto"/>
              <w:rPr>
                <w:rFonts w:ascii="Calibri" w:eastAsia="Times New Roman" w:hAnsi="Calibri" w:cs="Times New Roman"/>
                <w:color w:val="000000"/>
              </w:rPr>
            </w:pPr>
            <w:r w:rsidRPr="00107F44">
              <w:rPr>
                <w:rFonts w:ascii="Calibri" w:eastAsia="Times New Roman" w:hAnsi="Calibri" w:cs="Times New Roman"/>
                <w:color w:val="000000"/>
              </w:rPr>
              <w:t xml:space="preserve">Exemptions </w:t>
            </w:r>
          </w:p>
        </w:tc>
        <w:tc>
          <w:tcPr>
            <w:tcW w:w="632" w:type="pct"/>
            <w:tcBorders>
              <w:top w:val="single" w:sz="8" w:space="0" w:color="auto"/>
              <w:left w:val="nil"/>
              <w:bottom w:val="single" w:sz="8" w:space="0" w:color="auto"/>
              <w:right w:val="nil"/>
            </w:tcBorders>
            <w:shd w:val="clear" w:color="000000" w:fill="DBE5F1"/>
            <w:vAlign w:val="bottom"/>
          </w:tcPr>
          <w:p w:rsidR="000430A4" w:rsidRPr="00D91EB9" w:rsidRDefault="000430A4" w:rsidP="002F32F0">
            <w:pPr>
              <w:spacing w:after="0" w:line="240" w:lineRule="auto"/>
              <w:jc w:val="center"/>
              <w:rPr>
                <w:rFonts w:ascii="Calibri" w:eastAsia="Times New Roman" w:hAnsi="Calibri" w:cs="Times New Roman"/>
                <w:b/>
                <w:bCs/>
                <w:color w:val="000000"/>
              </w:rPr>
            </w:pPr>
            <w:r w:rsidRPr="00D91EB9">
              <w:rPr>
                <w:rFonts w:ascii="Calibri" w:eastAsia="Times New Roman" w:hAnsi="Calibri" w:cs="Times New Roman"/>
                <w:b/>
                <w:bCs/>
                <w:color w:val="000000"/>
              </w:rPr>
              <w:t>2012-2013</w:t>
            </w:r>
          </w:p>
        </w:tc>
        <w:tc>
          <w:tcPr>
            <w:tcW w:w="632" w:type="pct"/>
            <w:tcBorders>
              <w:top w:val="single" w:sz="8" w:space="0" w:color="auto"/>
              <w:left w:val="nil"/>
              <w:bottom w:val="single" w:sz="8" w:space="0" w:color="auto"/>
              <w:right w:val="nil"/>
            </w:tcBorders>
            <w:shd w:val="clear" w:color="000000" w:fill="DBE5F1"/>
            <w:noWrap/>
            <w:vAlign w:val="bottom"/>
            <w:hideMark/>
          </w:tcPr>
          <w:p w:rsidR="000430A4" w:rsidRPr="00107F44" w:rsidRDefault="000430A4" w:rsidP="002F32F0">
            <w:pPr>
              <w:spacing w:after="0" w:line="240" w:lineRule="auto"/>
              <w:jc w:val="center"/>
              <w:rPr>
                <w:rFonts w:ascii="Calibri" w:eastAsia="Times New Roman" w:hAnsi="Calibri" w:cs="Times New Roman"/>
                <w:b/>
                <w:bCs/>
                <w:color w:val="000000"/>
              </w:rPr>
            </w:pPr>
            <w:r w:rsidRPr="00107F44">
              <w:rPr>
                <w:rFonts w:ascii="Calibri" w:eastAsia="Times New Roman" w:hAnsi="Calibri" w:cs="Times New Roman"/>
                <w:b/>
                <w:bCs/>
                <w:color w:val="000000"/>
              </w:rPr>
              <w:t>2013-2014</w:t>
            </w:r>
          </w:p>
        </w:tc>
        <w:tc>
          <w:tcPr>
            <w:tcW w:w="630" w:type="pct"/>
            <w:tcBorders>
              <w:top w:val="single" w:sz="8" w:space="0" w:color="auto"/>
              <w:left w:val="nil"/>
              <w:bottom w:val="single" w:sz="8" w:space="0" w:color="auto"/>
              <w:right w:val="single" w:sz="8" w:space="0" w:color="auto"/>
            </w:tcBorders>
            <w:shd w:val="clear" w:color="000000" w:fill="DBE5F1"/>
            <w:noWrap/>
            <w:vAlign w:val="bottom"/>
            <w:hideMark/>
          </w:tcPr>
          <w:p w:rsidR="000430A4" w:rsidRPr="00107F44" w:rsidRDefault="000430A4" w:rsidP="002F32F0">
            <w:pPr>
              <w:spacing w:after="0" w:line="240" w:lineRule="auto"/>
              <w:jc w:val="center"/>
              <w:rPr>
                <w:rFonts w:ascii="Calibri" w:eastAsia="Times New Roman" w:hAnsi="Calibri" w:cs="Times New Roman"/>
                <w:b/>
                <w:bCs/>
                <w:color w:val="000000"/>
              </w:rPr>
            </w:pPr>
            <w:r w:rsidRPr="00107F44">
              <w:rPr>
                <w:rFonts w:ascii="Calibri" w:eastAsia="Times New Roman" w:hAnsi="Calibri" w:cs="Times New Roman"/>
                <w:b/>
                <w:bCs/>
                <w:color w:val="000000"/>
              </w:rPr>
              <w:t>2014-2015</w:t>
            </w:r>
          </w:p>
        </w:tc>
      </w:tr>
      <w:tr w:rsidR="000430A4" w:rsidRPr="00107F44" w:rsidTr="002F32F0">
        <w:trPr>
          <w:trHeight w:val="320"/>
        </w:trPr>
        <w:tc>
          <w:tcPr>
            <w:tcW w:w="3106" w:type="pct"/>
            <w:tcBorders>
              <w:top w:val="nil"/>
              <w:left w:val="single" w:sz="8" w:space="0" w:color="auto"/>
              <w:bottom w:val="nil"/>
              <w:right w:val="nil"/>
            </w:tcBorders>
            <w:shd w:val="clear" w:color="auto" w:fill="auto"/>
            <w:noWrap/>
            <w:vAlign w:val="bottom"/>
            <w:hideMark/>
          </w:tcPr>
          <w:p w:rsidR="000430A4" w:rsidRPr="00107F44"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107F44">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107F44">
              <w:rPr>
                <w:rFonts w:ascii="Calibri" w:eastAsia="Times New Roman" w:hAnsi="Calibri" w:cs="Times New Roman"/>
                <w:color w:val="000000"/>
              </w:rPr>
              <w:t xml:space="preserve"> </w:t>
            </w:r>
          </w:p>
        </w:tc>
        <w:tc>
          <w:tcPr>
            <w:tcW w:w="632" w:type="pct"/>
            <w:tcBorders>
              <w:top w:val="nil"/>
              <w:left w:val="nil"/>
              <w:bottom w:val="nil"/>
              <w:right w:val="nil"/>
            </w:tcBorders>
            <w:vAlign w:val="bottom"/>
          </w:tcPr>
          <w:p w:rsidR="000430A4" w:rsidRPr="00D91EB9" w:rsidRDefault="000430A4" w:rsidP="002F32F0">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2</w:t>
            </w:r>
            <w:r w:rsidR="000A6BE0">
              <w:rPr>
                <w:rFonts w:ascii="Calibri" w:eastAsia="Times New Roman" w:hAnsi="Calibri" w:cs="Times New Roman"/>
                <w:bCs/>
                <w:color w:val="000000"/>
              </w:rPr>
              <w:t>,</w:t>
            </w:r>
            <w:r>
              <w:rPr>
                <w:rFonts w:ascii="Calibri" w:eastAsia="Times New Roman" w:hAnsi="Calibri" w:cs="Times New Roman"/>
                <w:bCs/>
                <w:color w:val="000000"/>
              </w:rPr>
              <w:t>341</w:t>
            </w:r>
          </w:p>
        </w:tc>
        <w:tc>
          <w:tcPr>
            <w:tcW w:w="632" w:type="pct"/>
            <w:tcBorders>
              <w:top w:val="nil"/>
              <w:left w:val="nil"/>
              <w:bottom w:val="nil"/>
              <w:right w:val="nil"/>
            </w:tcBorders>
            <w:shd w:val="clear" w:color="auto" w:fill="auto"/>
            <w:noWrap/>
            <w:vAlign w:val="bottom"/>
            <w:hideMark/>
          </w:tcPr>
          <w:p w:rsidR="000430A4" w:rsidRPr="00107F44"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r w:rsidR="000A6BE0">
              <w:rPr>
                <w:rFonts w:ascii="Calibri" w:eastAsia="Times New Roman" w:hAnsi="Calibri" w:cs="Times New Roman"/>
                <w:color w:val="000000"/>
              </w:rPr>
              <w:t>,</w:t>
            </w:r>
            <w:r>
              <w:rPr>
                <w:rFonts w:ascii="Calibri" w:eastAsia="Times New Roman" w:hAnsi="Calibri" w:cs="Times New Roman"/>
                <w:color w:val="000000"/>
              </w:rPr>
              <w:t>615</w:t>
            </w:r>
          </w:p>
        </w:tc>
        <w:tc>
          <w:tcPr>
            <w:tcW w:w="630" w:type="pct"/>
            <w:tcBorders>
              <w:top w:val="nil"/>
              <w:left w:val="nil"/>
              <w:bottom w:val="nil"/>
              <w:right w:val="single" w:sz="8" w:space="0" w:color="auto"/>
            </w:tcBorders>
            <w:shd w:val="clear" w:color="auto" w:fill="auto"/>
            <w:noWrap/>
            <w:vAlign w:val="bottom"/>
            <w:hideMark/>
          </w:tcPr>
          <w:p w:rsidR="000430A4" w:rsidRPr="00107F44" w:rsidRDefault="000430A4" w:rsidP="002F32F0">
            <w:pPr>
              <w:spacing w:after="0" w:line="240" w:lineRule="auto"/>
              <w:jc w:val="center"/>
              <w:rPr>
                <w:rFonts w:ascii="Calibri" w:eastAsia="Times New Roman" w:hAnsi="Calibri" w:cs="Times New Roman"/>
                <w:color w:val="000000"/>
              </w:rPr>
            </w:pPr>
            <w:r w:rsidRPr="00107F44">
              <w:rPr>
                <w:rFonts w:ascii="Calibri" w:eastAsia="Times New Roman" w:hAnsi="Calibri" w:cs="Times New Roman"/>
                <w:color w:val="000000"/>
              </w:rPr>
              <w:t>2</w:t>
            </w:r>
            <w:r w:rsidR="000A6BE0">
              <w:rPr>
                <w:rFonts w:ascii="Calibri" w:eastAsia="Times New Roman" w:hAnsi="Calibri" w:cs="Times New Roman"/>
                <w:color w:val="000000"/>
              </w:rPr>
              <w:t>,</w:t>
            </w:r>
            <w:r w:rsidRPr="00107F44">
              <w:rPr>
                <w:rFonts w:ascii="Calibri" w:eastAsia="Times New Roman" w:hAnsi="Calibri" w:cs="Times New Roman"/>
                <w:color w:val="000000"/>
              </w:rPr>
              <w:t>877</w:t>
            </w:r>
          </w:p>
        </w:tc>
      </w:tr>
      <w:tr w:rsidR="000430A4" w:rsidRPr="00107F44" w:rsidTr="002F32F0">
        <w:trPr>
          <w:trHeight w:val="320"/>
        </w:trPr>
        <w:tc>
          <w:tcPr>
            <w:tcW w:w="3106" w:type="pct"/>
            <w:tcBorders>
              <w:top w:val="nil"/>
              <w:left w:val="single" w:sz="8" w:space="0" w:color="auto"/>
              <w:right w:val="nil"/>
            </w:tcBorders>
            <w:shd w:val="clear" w:color="auto" w:fill="DBE5F1" w:themeFill="accent1" w:themeFillTint="33"/>
            <w:noWrap/>
            <w:vAlign w:val="bottom"/>
            <w:hideMark/>
          </w:tcPr>
          <w:p w:rsidR="000430A4" w:rsidRPr="00107F44" w:rsidRDefault="000430A4" w:rsidP="002F32F0">
            <w:pPr>
              <w:spacing w:after="0" w:line="240" w:lineRule="auto"/>
              <w:rPr>
                <w:rFonts w:ascii="Calibri" w:eastAsia="Times New Roman" w:hAnsi="Calibri" w:cs="Times New Roman"/>
                <w:color w:val="000000"/>
              </w:rPr>
            </w:pPr>
            <w:r w:rsidRPr="00107F44">
              <w:rPr>
                <w:rFonts w:ascii="Calibri" w:eastAsia="Times New Roman" w:hAnsi="Calibri" w:cs="Times New Roman"/>
                <w:color w:val="000000"/>
              </w:rPr>
              <w:t>Total number of completed requests</w:t>
            </w:r>
          </w:p>
        </w:tc>
        <w:tc>
          <w:tcPr>
            <w:tcW w:w="632" w:type="pct"/>
            <w:tcBorders>
              <w:top w:val="nil"/>
              <w:left w:val="nil"/>
              <w:right w:val="nil"/>
            </w:tcBorders>
            <w:shd w:val="clear" w:color="auto" w:fill="DBE5F1" w:themeFill="accent1" w:themeFillTint="33"/>
            <w:vAlign w:val="bottom"/>
          </w:tcPr>
          <w:p w:rsidR="000430A4" w:rsidRPr="00D91EB9" w:rsidRDefault="000430A4" w:rsidP="002F32F0">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1</w:t>
            </w:r>
            <w:r w:rsidR="000A6BE0">
              <w:rPr>
                <w:rFonts w:ascii="Calibri" w:eastAsia="Times New Roman" w:hAnsi="Calibri" w:cs="Times New Roman"/>
                <w:bCs/>
                <w:color w:val="000000"/>
              </w:rPr>
              <w:t>,</w:t>
            </w:r>
            <w:r>
              <w:rPr>
                <w:rFonts w:ascii="Calibri" w:eastAsia="Times New Roman" w:hAnsi="Calibri" w:cs="Times New Roman"/>
                <w:bCs/>
                <w:color w:val="000000"/>
              </w:rPr>
              <w:t>033</w:t>
            </w:r>
          </w:p>
        </w:tc>
        <w:tc>
          <w:tcPr>
            <w:tcW w:w="632" w:type="pct"/>
            <w:tcBorders>
              <w:top w:val="nil"/>
              <w:left w:val="nil"/>
              <w:right w:val="nil"/>
            </w:tcBorders>
            <w:shd w:val="clear" w:color="auto" w:fill="DBE5F1" w:themeFill="accent1" w:themeFillTint="33"/>
            <w:noWrap/>
            <w:vAlign w:val="bottom"/>
            <w:hideMark/>
          </w:tcPr>
          <w:p w:rsidR="000430A4" w:rsidRPr="00107F44"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0A6BE0">
              <w:rPr>
                <w:rFonts w:ascii="Calibri" w:eastAsia="Times New Roman" w:hAnsi="Calibri" w:cs="Times New Roman"/>
                <w:color w:val="000000"/>
              </w:rPr>
              <w:t>,</w:t>
            </w:r>
            <w:r>
              <w:rPr>
                <w:rFonts w:ascii="Calibri" w:eastAsia="Times New Roman" w:hAnsi="Calibri" w:cs="Times New Roman"/>
                <w:color w:val="000000"/>
              </w:rPr>
              <w:t>290</w:t>
            </w:r>
          </w:p>
        </w:tc>
        <w:tc>
          <w:tcPr>
            <w:tcW w:w="630" w:type="pct"/>
            <w:tcBorders>
              <w:top w:val="nil"/>
              <w:left w:val="nil"/>
              <w:right w:val="single" w:sz="8" w:space="0" w:color="auto"/>
            </w:tcBorders>
            <w:shd w:val="clear" w:color="auto" w:fill="DBE5F1" w:themeFill="accent1" w:themeFillTint="33"/>
            <w:noWrap/>
            <w:vAlign w:val="bottom"/>
            <w:hideMark/>
          </w:tcPr>
          <w:p w:rsidR="000430A4" w:rsidRPr="00107F44" w:rsidRDefault="000430A4" w:rsidP="002F32F0">
            <w:pPr>
              <w:spacing w:after="0" w:line="240" w:lineRule="auto"/>
              <w:jc w:val="center"/>
              <w:rPr>
                <w:rFonts w:ascii="Calibri" w:eastAsia="Times New Roman" w:hAnsi="Calibri" w:cs="Times New Roman"/>
                <w:color w:val="000000"/>
              </w:rPr>
            </w:pPr>
            <w:r w:rsidRPr="00107F44">
              <w:rPr>
                <w:rFonts w:ascii="Calibri" w:eastAsia="Times New Roman" w:hAnsi="Calibri" w:cs="Times New Roman"/>
                <w:color w:val="000000"/>
              </w:rPr>
              <w:t>984</w:t>
            </w:r>
          </w:p>
        </w:tc>
      </w:tr>
      <w:tr w:rsidR="000430A4" w:rsidRPr="00107F44" w:rsidTr="002F32F0">
        <w:trPr>
          <w:trHeight w:val="335"/>
        </w:trPr>
        <w:tc>
          <w:tcPr>
            <w:tcW w:w="3106" w:type="pct"/>
            <w:tcBorders>
              <w:top w:val="nil"/>
              <w:left w:val="single" w:sz="8" w:space="0" w:color="auto"/>
              <w:bottom w:val="single" w:sz="4" w:space="0" w:color="auto"/>
              <w:right w:val="nil"/>
            </w:tcBorders>
            <w:shd w:val="clear" w:color="auto" w:fill="FFFFFF" w:themeFill="background1"/>
            <w:noWrap/>
            <w:vAlign w:val="bottom"/>
            <w:hideMark/>
          </w:tcPr>
          <w:p w:rsidR="000430A4" w:rsidRPr="00107F44" w:rsidRDefault="000430A4" w:rsidP="002F32F0">
            <w:pPr>
              <w:spacing w:after="0" w:line="240" w:lineRule="auto"/>
              <w:rPr>
                <w:rFonts w:ascii="Calibri" w:eastAsia="Times New Roman" w:hAnsi="Calibri" w:cs="Times New Roman"/>
                <w:color w:val="000000"/>
              </w:rPr>
            </w:pPr>
            <w:r w:rsidRPr="00107F44">
              <w:rPr>
                <w:rFonts w:ascii="Calibri" w:eastAsia="Times New Roman" w:hAnsi="Calibri" w:cs="Times New Roman"/>
                <w:color w:val="000000"/>
              </w:rPr>
              <w:t xml:space="preserve">Average number of exemptions per request </w:t>
            </w:r>
          </w:p>
        </w:tc>
        <w:tc>
          <w:tcPr>
            <w:tcW w:w="632" w:type="pct"/>
            <w:tcBorders>
              <w:top w:val="nil"/>
              <w:left w:val="nil"/>
              <w:bottom w:val="single" w:sz="4" w:space="0" w:color="auto"/>
              <w:right w:val="nil"/>
            </w:tcBorders>
            <w:shd w:val="clear" w:color="auto" w:fill="FFFFFF" w:themeFill="background1"/>
            <w:vAlign w:val="bottom"/>
          </w:tcPr>
          <w:p w:rsidR="000430A4" w:rsidRPr="00D91EB9" w:rsidRDefault="000430A4" w:rsidP="002F32F0">
            <w:pPr>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2.27</w:t>
            </w:r>
          </w:p>
        </w:tc>
        <w:tc>
          <w:tcPr>
            <w:tcW w:w="632" w:type="pct"/>
            <w:tcBorders>
              <w:top w:val="nil"/>
              <w:left w:val="nil"/>
              <w:bottom w:val="single" w:sz="4" w:space="0" w:color="auto"/>
              <w:right w:val="nil"/>
            </w:tcBorders>
            <w:shd w:val="clear" w:color="auto" w:fill="FFFFFF" w:themeFill="background1"/>
            <w:noWrap/>
            <w:vAlign w:val="bottom"/>
            <w:hideMark/>
          </w:tcPr>
          <w:p w:rsidR="000430A4" w:rsidRPr="00107F44" w:rsidRDefault="000430A4" w:rsidP="002F32F0">
            <w:pPr>
              <w:spacing w:after="0" w:line="240" w:lineRule="auto"/>
              <w:jc w:val="center"/>
              <w:rPr>
                <w:rFonts w:ascii="Calibri" w:eastAsia="Times New Roman" w:hAnsi="Calibri" w:cs="Times New Roman"/>
                <w:color w:val="000000"/>
              </w:rPr>
            </w:pPr>
            <w:r w:rsidRPr="00107F44">
              <w:rPr>
                <w:rFonts w:ascii="Calibri" w:eastAsia="Times New Roman" w:hAnsi="Calibri" w:cs="Times New Roman"/>
                <w:color w:val="000000"/>
              </w:rPr>
              <w:t>2.</w:t>
            </w:r>
            <w:r>
              <w:rPr>
                <w:rFonts w:ascii="Calibri" w:eastAsia="Times New Roman" w:hAnsi="Calibri" w:cs="Times New Roman"/>
                <w:color w:val="000000"/>
              </w:rPr>
              <w:t>80</w:t>
            </w:r>
          </w:p>
        </w:tc>
        <w:tc>
          <w:tcPr>
            <w:tcW w:w="630" w:type="pct"/>
            <w:tcBorders>
              <w:top w:val="nil"/>
              <w:left w:val="nil"/>
              <w:bottom w:val="single" w:sz="4" w:space="0" w:color="auto"/>
              <w:right w:val="single" w:sz="8" w:space="0" w:color="auto"/>
            </w:tcBorders>
            <w:shd w:val="clear" w:color="auto" w:fill="FFFFFF" w:themeFill="background1"/>
            <w:noWrap/>
            <w:vAlign w:val="bottom"/>
            <w:hideMark/>
          </w:tcPr>
          <w:p w:rsidR="000430A4" w:rsidRPr="00107F44" w:rsidRDefault="000430A4" w:rsidP="002F32F0">
            <w:pPr>
              <w:spacing w:after="0" w:line="240" w:lineRule="auto"/>
              <w:jc w:val="center"/>
              <w:rPr>
                <w:rFonts w:ascii="Calibri" w:eastAsia="Times New Roman" w:hAnsi="Calibri" w:cs="Times New Roman"/>
                <w:color w:val="000000"/>
              </w:rPr>
            </w:pPr>
            <w:r w:rsidRPr="00107F44">
              <w:rPr>
                <w:rFonts w:ascii="Calibri" w:eastAsia="Times New Roman" w:hAnsi="Calibri" w:cs="Times New Roman"/>
                <w:color w:val="000000"/>
              </w:rPr>
              <w:t>2.9</w:t>
            </w:r>
            <w:r>
              <w:rPr>
                <w:rFonts w:ascii="Calibri" w:eastAsia="Times New Roman" w:hAnsi="Calibri" w:cs="Times New Roman"/>
                <w:color w:val="000000"/>
              </w:rPr>
              <w:t>2</w:t>
            </w:r>
          </w:p>
        </w:tc>
      </w:tr>
    </w:tbl>
    <w:p w:rsidR="000430A4" w:rsidRPr="007F4EA2" w:rsidRDefault="000430A4" w:rsidP="000430A4">
      <w:pPr>
        <w:pStyle w:val="Heading2"/>
        <w:spacing w:before="240"/>
      </w:pPr>
      <w:r w:rsidRPr="007F4EA2">
        <w:t>Complaints at the OIC</w:t>
      </w:r>
    </w:p>
    <w:p w:rsidR="000430A4" w:rsidRDefault="000430A4" w:rsidP="000430A4">
      <w:pPr>
        <w:jc w:val="both"/>
      </w:pPr>
      <w:r w:rsidRPr="006122B3">
        <w:t>The number</w:t>
      </w:r>
      <w:r>
        <w:t xml:space="preserve"> of complaints received against </w:t>
      </w:r>
      <w:r w:rsidRPr="006122B3">
        <w:t>GAC was 83</w:t>
      </w:r>
      <w:r>
        <w:rPr>
          <w:rStyle w:val="FootnoteReference"/>
        </w:rPr>
        <w:footnoteReference w:id="54"/>
      </w:r>
      <w:r w:rsidRPr="006122B3">
        <w:t xml:space="preserve"> in 2014-2015, which </w:t>
      </w:r>
      <w:r>
        <w:t>is a</w:t>
      </w:r>
      <w:r w:rsidRPr="006122B3">
        <w:t xml:space="preserve"> decrease </w:t>
      </w:r>
      <w:r>
        <w:t xml:space="preserve">from 120 complaints received </w:t>
      </w:r>
      <w:r w:rsidRPr="006122B3">
        <w:t xml:space="preserve">the previous period. </w:t>
      </w:r>
      <w:r>
        <w:t>For the most part, this reduction is due to a decrease in</w:t>
      </w:r>
      <w:r w:rsidRPr="006122B3">
        <w:t xml:space="preserve"> refusal complaints (99 refusal and 21 administrative complaints in 2013-2014</w:t>
      </w:r>
      <w:r>
        <w:t xml:space="preserve"> compared to </w:t>
      </w:r>
      <w:r w:rsidRPr="006122B3">
        <w:t>63 refusal and 20 administr</w:t>
      </w:r>
      <w:r>
        <w:t>ative complaints in 2014-2015).</w:t>
      </w:r>
    </w:p>
    <w:p w:rsidR="000430A4" w:rsidRPr="00AE3232" w:rsidRDefault="000430A4" w:rsidP="000430A4">
      <w:pPr>
        <w:jc w:val="both"/>
      </w:pPr>
      <w:r w:rsidRPr="006122B3">
        <w:t xml:space="preserve">In 2014-2015, 16 complaints were well-founded, 1 was not well-founded, 20 were discontinued and 36 </w:t>
      </w:r>
      <w:r>
        <w:t xml:space="preserve">were </w:t>
      </w:r>
      <w:r w:rsidRPr="006122B3">
        <w:t>pending</w:t>
      </w:r>
      <w:r>
        <w:t xml:space="preserve"> resolution.</w:t>
      </w:r>
    </w:p>
    <w:p w:rsidR="000430A4" w:rsidRDefault="000430A4">
      <w:r>
        <w:br w:type="page"/>
      </w:r>
    </w:p>
    <w:p w:rsidR="000430A4" w:rsidRPr="00D67CF5" w:rsidRDefault="000430A4" w:rsidP="000430A4">
      <w:pPr>
        <w:pStyle w:val="Heading1"/>
      </w:pPr>
      <w:r w:rsidRPr="00D67CF5">
        <w:t>Library and Archives Canada</w:t>
      </w:r>
    </w:p>
    <w:p w:rsidR="000430A4" w:rsidRPr="00FF56CA" w:rsidRDefault="000430A4" w:rsidP="000430A4">
      <w:pPr>
        <w:pStyle w:val="Heading2"/>
      </w:pPr>
      <w:r w:rsidRPr="00FF56CA">
        <w:t>Overall performance</w:t>
      </w:r>
      <w:r>
        <w:rPr>
          <w:rStyle w:val="FootnoteReference"/>
        </w:rPr>
        <w:footnoteReference w:id="55"/>
      </w:r>
    </w:p>
    <w:p w:rsidR="000430A4" w:rsidRPr="00835C39" w:rsidRDefault="000430A4" w:rsidP="000430A4">
      <w:pPr>
        <w:jc w:val="both"/>
      </w:pPr>
      <w:r>
        <w:t xml:space="preserve">In 2014-2015, despite receiving a similar number of requests, </w:t>
      </w:r>
      <w:r w:rsidRPr="00835C39">
        <w:t xml:space="preserve">Library and Archives Canada (LAC) </w:t>
      </w:r>
      <w:r>
        <w:t>improved its</w:t>
      </w:r>
      <w:r w:rsidRPr="00835C39">
        <w:t xml:space="preserve"> </w:t>
      </w:r>
      <w:r>
        <w:t xml:space="preserve">proportion of requests </w:t>
      </w:r>
      <w:r w:rsidRPr="00835C39">
        <w:t>completed within 30 day by 9.9% compared to the previous year. This report provides comparative statistics for the last three periods (2012-2015).</w:t>
      </w:r>
    </w:p>
    <w:p w:rsidR="000430A4" w:rsidRPr="00FF56CA" w:rsidRDefault="000430A4" w:rsidP="000430A4">
      <w:pPr>
        <w:pStyle w:val="Heading2"/>
      </w:pPr>
      <w:r w:rsidRPr="00FF56CA">
        <w:t>Workload</w:t>
      </w:r>
    </w:p>
    <w:p w:rsidR="000430A4" w:rsidRPr="00835C39" w:rsidRDefault="000430A4" w:rsidP="000430A4">
      <w:pPr>
        <w:jc w:val="both"/>
      </w:pPr>
      <w:r w:rsidRPr="00835C39">
        <w:t xml:space="preserve">LAC received 829 requests under the </w:t>
      </w:r>
      <w:r w:rsidRPr="00835C39">
        <w:rPr>
          <w:i/>
        </w:rPr>
        <w:t>Access to</w:t>
      </w:r>
      <w:r w:rsidRPr="00835C39">
        <w:t xml:space="preserve"> </w:t>
      </w:r>
      <w:r w:rsidRPr="00835C39">
        <w:rPr>
          <w:i/>
        </w:rPr>
        <w:t xml:space="preserve">Information Act </w:t>
      </w:r>
      <w:r w:rsidRPr="00835C39">
        <w:t>(the Act), representing 1.2% of total requests across government in 2014-2015.</w:t>
      </w:r>
      <w:r>
        <w:t xml:space="preserve"> This similar to the last reporting period, during which 877 requests were received by LAC.</w:t>
      </w:r>
      <w:r w:rsidRPr="00835C39">
        <w:t xml:space="preserve"> The majority of requests received in 2014-2015 were from the public (85</w:t>
      </w:r>
      <w:r>
        <w:t>.3</w:t>
      </w:r>
      <w:r w:rsidRPr="00835C39">
        <w:t>%), which is an increase of 12</w:t>
      </w:r>
      <w:r>
        <w:t>.4</w:t>
      </w:r>
      <w:r w:rsidRPr="00835C39">
        <w:t>% from the previous period.</w:t>
      </w:r>
    </w:p>
    <w:p w:rsidR="000430A4" w:rsidRPr="00B2446F" w:rsidRDefault="000430A4" w:rsidP="000430A4">
      <w:pPr>
        <w:jc w:val="both"/>
      </w:pPr>
      <w:r w:rsidRPr="00835C39">
        <w:t>LAC completed 821 requests this reporting period. The completion rate</w:t>
      </w:r>
      <w:r w:rsidRPr="00835C39">
        <w:rPr>
          <w:rStyle w:val="FootnoteReference"/>
        </w:rPr>
        <w:footnoteReference w:id="56"/>
      </w:r>
      <w:r w:rsidRPr="00835C39">
        <w:t xml:space="preserve"> was 86.9%, which is higher than the government-wide rate of 85.1%. In 2013-2014, LAC’s completion rate was 88</w:t>
      </w:r>
      <w:r>
        <w:t>.8</w:t>
      </w:r>
      <w:r w:rsidRPr="00835C39">
        <w:t xml:space="preserve">%. LAC also received 6,671 informal requests and 39.6% of these were completed within 30 days. The number of consultations received by LAC from other federal government institutions increased from </w:t>
      </w:r>
      <w:r>
        <w:t>28 in</w:t>
      </w:r>
      <w:r w:rsidRPr="00835C39">
        <w:t xml:space="preserve"> 2013-2014</w:t>
      </w:r>
      <w:r>
        <w:t xml:space="preserve"> to 33</w:t>
      </w:r>
      <w:r w:rsidRPr="00835C39">
        <w:t>.</w:t>
      </w:r>
    </w:p>
    <w:p w:rsidR="000430A4" w:rsidRPr="00B2446F" w:rsidRDefault="000430A4" w:rsidP="000430A4">
      <w:pPr>
        <w:jc w:val="both"/>
      </w:pPr>
      <w:r w:rsidRPr="00B2446F">
        <w:t>The total number of pages process</w:t>
      </w:r>
      <w:r>
        <w:t xml:space="preserve">ed </w:t>
      </w:r>
      <w:r w:rsidRPr="00B2446F">
        <w:t xml:space="preserve">this reporting period was </w:t>
      </w:r>
      <w:r>
        <w:t>276,887</w:t>
      </w:r>
      <w:r w:rsidRPr="00B2446F">
        <w:t>. T</w:t>
      </w:r>
      <w:r>
        <w:t>able 1 shows that t</w:t>
      </w:r>
      <w:r w:rsidRPr="00B2446F">
        <w:t xml:space="preserve">he average number of pages processed per completed request </w:t>
      </w:r>
      <w:r>
        <w:t xml:space="preserve">decreased from 449 pages in 2013-2014 to </w:t>
      </w:r>
      <w:r w:rsidRPr="00B2446F">
        <w:t>367</w:t>
      </w:r>
      <w:r>
        <w:t xml:space="preserve"> in 2014-2015.</w:t>
      </w:r>
    </w:p>
    <w:p w:rsidR="000430A4" w:rsidRDefault="000430A4" w:rsidP="000430A4">
      <w:pPr>
        <w:jc w:val="both"/>
      </w:pPr>
      <w:r>
        <w:t>I</w:t>
      </w:r>
      <w:r w:rsidRPr="00B2446F">
        <w:t xml:space="preserve">nformation released by LAC was </w:t>
      </w:r>
      <w:r>
        <w:t>almost equally distributed in paper and electronic format: 342 and 327 requests respectively.</w:t>
      </w:r>
    </w:p>
    <w:p w:rsidR="000430A4" w:rsidRDefault="000430A4" w:rsidP="000430A4">
      <w:pPr>
        <w:pStyle w:val="Heading3"/>
      </w:pPr>
      <w:r w:rsidRPr="00D2368F">
        <w:t xml:space="preserve">Table </w:t>
      </w:r>
      <w:r>
        <w:t>1</w:t>
      </w:r>
      <w:r w:rsidRPr="00D2368F">
        <w:t xml:space="preserve">: </w:t>
      </w:r>
      <w:r w:rsidRPr="00FF56CA">
        <w:t>Workload</w:t>
      </w:r>
    </w:p>
    <w:tbl>
      <w:tblPr>
        <w:tblW w:w="9270" w:type="dxa"/>
        <w:tblInd w:w="98" w:type="dxa"/>
        <w:tblLook w:val="04A0"/>
      </w:tblPr>
      <w:tblGrid>
        <w:gridCol w:w="5019"/>
        <w:gridCol w:w="1417"/>
        <w:gridCol w:w="1417"/>
        <w:gridCol w:w="1417"/>
      </w:tblGrid>
      <w:tr w:rsidR="000430A4" w:rsidRPr="00E83635" w:rsidTr="002F32F0">
        <w:trPr>
          <w:trHeight w:val="278"/>
        </w:trPr>
        <w:tc>
          <w:tcPr>
            <w:tcW w:w="5019" w:type="dxa"/>
            <w:tcBorders>
              <w:top w:val="single" w:sz="4" w:space="0" w:color="auto"/>
              <w:left w:val="single" w:sz="4" w:space="0" w:color="auto"/>
              <w:bottom w:val="single" w:sz="8" w:space="0" w:color="auto"/>
              <w:right w:val="nil"/>
            </w:tcBorders>
            <w:shd w:val="clear" w:color="auto" w:fill="auto"/>
            <w:noWrap/>
            <w:vAlign w:val="bottom"/>
            <w:hideMark/>
          </w:tcPr>
          <w:p w:rsidR="000430A4" w:rsidRPr="00E83635" w:rsidRDefault="000430A4" w:rsidP="002F32F0">
            <w:pPr>
              <w:spacing w:after="0" w:line="240" w:lineRule="auto"/>
              <w:rPr>
                <w:rFonts w:ascii="Calibri" w:eastAsia="Times New Roman" w:hAnsi="Calibri" w:cs="Times New Roman"/>
                <w:color w:val="000000"/>
              </w:rPr>
            </w:pPr>
            <w:r w:rsidRPr="00E83635">
              <w:rPr>
                <w:rFonts w:ascii="Calibri" w:eastAsia="Times New Roman" w:hAnsi="Calibri" w:cs="Times New Roman"/>
                <w:color w:val="000000"/>
              </w:rPr>
              <w:t xml:space="preserve">Measures </w:t>
            </w:r>
          </w:p>
        </w:tc>
        <w:tc>
          <w:tcPr>
            <w:tcW w:w="1417" w:type="dxa"/>
            <w:tcBorders>
              <w:top w:val="single" w:sz="4" w:space="0" w:color="auto"/>
              <w:left w:val="nil"/>
              <w:bottom w:val="single" w:sz="8" w:space="0" w:color="auto"/>
              <w:right w:val="nil"/>
            </w:tcBorders>
            <w:shd w:val="clear" w:color="auto" w:fill="auto"/>
            <w:noWrap/>
            <w:vAlign w:val="bottom"/>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2012-2013</w:t>
            </w:r>
          </w:p>
        </w:tc>
        <w:tc>
          <w:tcPr>
            <w:tcW w:w="1417" w:type="dxa"/>
            <w:tcBorders>
              <w:top w:val="single" w:sz="4" w:space="0" w:color="auto"/>
              <w:left w:val="nil"/>
              <w:bottom w:val="single" w:sz="8" w:space="0" w:color="auto"/>
              <w:right w:val="nil"/>
            </w:tcBorders>
            <w:shd w:val="clear" w:color="auto" w:fill="auto"/>
            <w:noWrap/>
            <w:vAlign w:val="bottom"/>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2013-2014</w:t>
            </w:r>
          </w:p>
        </w:tc>
        <w:tc>
          <w:tcPr>
            <w:tcW w:w="1417" w:type="dxa"/>
            <w:tcBorders>
              <w:top w:val="single" w:sz="4" w:space="0" w:color="auto"/>
              <w:left w:val="nil"/>
              <w:bottom w:val="single" w:sz="8" w:space="0" w:color="auto"/>
              <w:right w:val="single" w:sz="4" w:space="0" w:color="auto"/>
            </w:tcBorders>
            <w:shd w:val="clear" w:color="auto" w:fill="auto"/>
            <w:noWrap/>
            <w:vAlign w:val="bottom"/>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2014-2015</w:t>
            </w:r>
          </w:p>
        </w:tc>
      </w:tr>
      <w:tr w:rsidR="000430A4" w:rsidRPr="00E83635" w:rsidTr="002F32F0">
        <w:trPr>
          <w:trHeight w:val="265"/>
        </w:trPr>
        <w:tc>
          <w:tcPr>
            <w:tcW w:w="5019" w:type="dxa"/>
            <w:tcBorders>
              <w:top w:val="nil"/>
              <w:left w:val="single" w:sz="4" w:space="0" w:color="auto"/>
              <w:bottom w:val="nil"/>
              <w:right w:val="nil"/>
            </w:tcBorders>
            <w:shd w:val="clear" w:color="000000" w:fill="DBE5F1"/>
            <w:noWrap/>
            <w:hideMark/>
          </w:tcPr>
          <w:p w:rsidR="000430A4" w:rsidRPr="00E83635" w:rsidRDefault="000430A4" w:rsidP="002F32F0">
            <w:pPr>
              <w:spacing w:after="0" w:line="240" w:lineRule="auto"/>
              <w:rPr>
                <w:rFonts w:ascii="Calibri" w:eastAsia="Times New Roman" w:hAnsi="Calibri" w:cs="Times New Roman"/>
                <w:color w:val="000000"/>
              </w:rPr>
            </w:pPr>
            <w:r w:rsidRPr="00E83635">
              <w:rPr>
                <w:rFonts w:ascii="Calibri" w:eastAsia="Times New Roman" w:hAnsi="Calibri" w:cs="Times New Roman"/>
                <w:color w:val="000000"/>
              </w:rPr>
              <w:t xml:space="preserve">Number of requests received </w:t>
            </w:r>
          </w:p>
        </w:tc>
        <w:tc>
          <w:tcPr>
            <w:tcW w:w="1417" w:type="dxa"/>
            <w:tcBorders>
              <w:top w:val="nil"/>
              <w:left w:val="nil"/>
              <w:bottom w:val="nil"/>
              <w:right w:val="nil"/>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900</w:t>
            </w:r>
          </w:p>
        </w:tc>
        <w:tc>
          <w:tcPr>
            <w:tcW w:w="1417" w:type="dxa"/>
            <w:tcBorders>
              <w:top w:val="nil"/>
              <w:left w:val="nil"/>
              <w:bottom w:val="nil"/>
              <w:right w:val="nil"/>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877</w:t>
            </w:r>
          </w:p>
        </w:tc>
        <w:tc>
          <w:tcPr>
            <w:tcW w:w="1417" w:type="dxa"/>
            <w:tcBorders>
              <w:top w:val="nil"/>
              <w:left w:val="nil"/>
              <w:bottom w:val="nil"/>
              <w:right w:val="single" w:sz="4" w:space="0" w:color="auto"/>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829</w:t>
            </w:r>
          </w:p>
        </w:tc>
      </w:tr>
      <w:tr w:rsidR="000430A4" w:rsidRPr="00E83635" w:rsidTr="002F32F0">
        <w:trPr>
          <w:trHeight w:val="265"/>
        </w:trPr>
        <w:tc>
          <w:tcPr>
            <w:tcW w:w="5019" w:type="dxa"/>
            <w:tcBorders>
              <w:top w:val="nil"/>
              <w:left w:val="single" w:sz="4" w:space="0" w:color="auto"/>
              <w:bottom w:val="nil"/>
              <w:right w:val="nil"/>
            </w:tcBorders>
            <w:shd w:val="clear" w:color="auto" w:fill="auto"/>
            <w:hideMark/>
          </w:tcPr>
          <w:p w:rsidR="000430A4" w:rsidRPr="00E83635" w:rsidRDefault="000430A4" w:rsidP="002F32F0">
            <w:pPr>
              <w:spacing w:after="0" w:line="240" w:lineRule="auto"/>
              <w:rPr>
                <w:rFonts w:ascii="Calibri" w:eastAsia="Times New Roman" w:hAnsi="Calibri" w:cs="Times New Roman"/>
                <w:color w:val="000000"/>
              </w:rPr>
            </w:pPr>
            <w:r w:rsidRPr="00E83635">
              <w:rPr>
                <w:rFonts w:ascii="Calibri" w:eastAsia="Times New Roman" w:hAnsi="Calibri" w:cs="Times New Roman"/>
                <w:color w:val="000000"/>
              </w:rPr>
              <w:t>Annual change (%)</w:t>
            </w:r>
          </w:p>
        </w:tc>
        <w:tc>
          <w:tcPr>
            <w:tcW w:w="1417" w:type="dxa"/>
            <w:tcBorders>
              <w:top w:val="nil"/>
              <w:left w:val="nil"/>
              <w:bottom w:val="nil"/>
              <w:right w:val="nil"/>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w:t>
            </w:r>
          </w:p>
        </w:tc>
        <w:tc>
          <w:tcPr>
            <w:tcW w:w="1417" w:type="dxa"/>
            <w:tcBorders>
              <w:top w:val="nil"/>
              <w:left w:val="nil"/>
              <w:bottom w:val="nil"/>
              <w:right w:val="nil"/>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-2.6%</w:t>
            </w:r>
          </w:p>
        </w:tc>
        <w:tc>
          <w:tcPr>
            <w:tcW w:w="1417" w:type="dxa"/>
            <w:tcBorders>
              <w:top w:val="nil"/>
              <w:left w:val="nil"/>
              <w:bottom w:val="nil"/>
              <w:right w:val="single" w:sz="4" w:space="0" w:color="auto"/>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-5.5%</w:t>
            </w:r>
          </w:p>
        </w:tc>
      </w:tr>
      <w:tr w:rsidR="000430A4" w:rsidRPr="00E83635" w:rsidTr="002F32F0">
        <w:trPr>
          <w:trHeight w:val="265"/>
        </w:trPr>
        <w:tc>
          <w:tcPr>
            <w:tcW w:w="5019" w:type="dxa"/>
            <w:tcBorders>
              <w:top w:val="nil"/>
              <w:left w:val="single" w:sz="4" w:space="0" w:color="auto"/>
              <w:right w:val="nil"/>
            </w:tcBorders>
            <w:shd w:val="clear" w:color="000000" w:fill="DBE5F1"/>
            <w:hideMark/>
          </w:tcPr>
          <w:p w:rsidR="000430A4" w:rsidRPr="00E83635" w:rsidRDefault="000430A4" w:rsidP="002F32F0">
            <w:pPr>
              <w:spacing w:after="0" w:line="240" w:lineRule="auto"/>
              <w:rPr>
                <w:rFonts w:ascii="Calibri" w:eastAsia="Times New Roman" w:hAnsi="Calibri" w:cs="Times New Roman"/>
                <w:color w:val="000000"/>
              </w:rPr>
            </w:pPr>
            <w:r w:rsidRPr="00E83635">
              <w:rPr>
                <w:rFonts w:ascii="Calibri" w:eastAsia="Times New Roman" w:hAnsi="Calibri" w:cs="Times New Roman"/>
                <w:color w:val="000000"/>
              </w:rPr>
              <w:t>Completed requests</w:t>
            </w:r>
          </w:p>
        </w:tc>
        <w:tc>
          <w:tcPr>
            <w:tcW w:w="1417" w:type="dxa"/>
            <w:tcBorders>
              <w:top w:val="nil"/>
              <w:left w:val="nil"/>
              <w:right w:val="nil"/>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874</w:t>
            </w:r>
          </w:p>
        </w:tc>
        <w:tc>
          <w:tcPr>
            <w:tcW w:w="1417" w:type="dxa"/>
            <w:tcBorders>
              <w:top w:val="nil"/>
              <w:left w:val="nil"/>
              <w:right w:val="nil"/>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924</w:t>
            </w:r>
          </w:p>
        </w:tc>
        <w:tc>
          <w:tcPr>
            <w:tcW w:w="1417" w:type="dxa"/>
            <w:tcBorders>
              <w:top w:val="nil"/>
              <w:left w:val="nil"/>
              <w:right w:val="single" w:sz="4" w:space="0" w:color="auto"/>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821</w:t>
            </w:r>
          </w:p>
        </w:tc>
      </w:tr>
      <w:tr w:rsidR="000430A4" w:rsidRPr="00E83635" w:rsidTr="002F32F0">
        <w:trPr>
          <w:trHeight w:val="278"/>
        </w:trPr>
        <w:tc>
          <w:tcPr>
            <w:tcW w:w="5019" w:type="dxa"/>
            <w:tcBorders>
              <w:top w:val="nil"/>
              <w:left w:val="single" w:sz="4" w:space="0" w:color="auto"/>
              <w:right w:val="nil"/>
            </w:tcBorders>
            <w:shd w:val="clear" w:color="auto" w:fill="auto"/>
            <w:hideMark/>
          </w:tcPr>
          <w:p w:rsidR="000430A4" w:rsidRPr="00E83635" w:rsidRDefault="000430A4" w:rsidP="002F32F0">
            <w:pPr>
              <w:spacing w:after="0" w:line="240" w:lineRule="auto"/>
              <w:rPr>
                <w:rFonts w:ascii="Calibri" w:eastAsia="Times New Roman" w:hAnsi="Calibri" w:cs="Times New Roman"/>
                <w:color w:val="000000"/>
              </w:rPr>
            </w:pPr>
            <w:r w:rsidRPr="00E83635">
              <w:rPr>
                <w:rFonts w:ascii="Calibri" w:eastAsia="Times New Roman" w:hAnsi="Calibri" w:cs="Times New Roman"/>
                <w:color w:val="000000"/>
              </w:rPr>
              <w:t>Annual change</w:t>
            </w:r>
          </w:p>
        </w:tc>
        <w:tc>
          <w:tcPr>
            <w:tcW w:w="1417" w:type="dxa"/>
            <w:tcBorders>
              <w:top w:val="nil"/>
              <w:left w:val="nil"/>
              <w:right w:val="nil"/>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w:t>
            </w:r>
          </w:p>
        </w:tc>
        <w:tc>
          <w:tcPr>
            <w:tcW w:w="1417" w:type="dxa"/>
            <w:tcBorders>
              <w:top w:val="nil"/>
              <w:left w:val="nil"/>
              <w:right w:val="nil"/>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5.7%</w:t>
            </w:r>
          </w:p>
        </w:tc>
        <w:tc>
          <w:tcPr>
            <w:tcW w:w="1417" w:type="dxa"/>
            <w:tcBorders>
              <w:top w:val="nil"/>
              <w:left w:val="nil"/>
              <w:right w:val="single" w:sz="4" w:space="0" w:color="auto"/>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-11.1%</w:t>
            </w:r>
          </w:p>
        </w:tc>
      </w:tr>
      <w:tr w:rsidR="000430A4" w:rsidRPr="00E83635" w:rsidTr="002F32F0">
        <w:trPr>
          <w:trHeight w:val="460"/>
        </w:trPr>
        <w:tc>
          <w:tcPr>
            <w:tcW w:w="5019" w:type="dxa"/>
            <w:tcBorders>
              <w:top w:val="nil"/>
              <w:left w:val="single" w:sz="4" w:space="0" w:color="auto"/>
              <w:right w:val="nil"/>
            </w:tcBorders>
            <w:shd w:val="clear" w:color="000000" w:fill="DBE5F1"/>
            <w:hideMark/>
          </w:tcPr>
          <w:p w:rsidR="000430A4" w:rsidRPr="00E83635" w:rsidRDefault="000430A4" w:rsidP="002F32F0">
            <w:pPr>
              <w:spacing w:after="0" w:line="240" w:lineRule="auto"/>
              <w:rPr>
                <w:rFonts w:ascii="Calibri" w:eastAsia="Times New Roman" w:hAnsi="Calibri" w:cs="Times New Roman"/>
                <w:color w:val="000000"/>
              </w:rPr>
            </w:pPr>
            <w:r w:rsidRPr="00E83635">
              <w:rPr>
                <w:rFonts w:ascii="Calibri" w:eastAsia="Times New Roman" w:hAnsi="Calibri" w:cs="Times New Roman"/>
                <w:color w:val="000000"/>
              </w:rPr>
              <w:t>Number of consultations received (from other government institutions)</w:t>
            </w:r>
          </w:p>
        </w:tc>
        <w:tc>
          <w:tcPr>
            <w:tcW w:w="1417" w:type="dxa"/>
            <w:tcBorders>
              <w:top w:val="nil"/>
              <w:left w:val="nil"/>
              <w:right w:val="nil"/>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41</w:t>
            </w:r>
          </w:p>
        </w:tc>
        <w:tc>
          <w:tcPr>
            <w:tcW w:w="1417" w:type="dxa"/>
            <w:tcBorders>
              <w:top w:val="nil"/>
              <w:left w:val="nil"/>
              <w:right w:val="nil"/>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28</w:t>
            </w:r>
          </w:p>
        </w:tc>
        <w:tc>
          <w:tcPr>
            <w:tcW w:w="1417" w:type="dxa"/>
            <w:tcBorders>
              <w:top w:val="nil"/>
              <w:left w:val="nil"/>
              <w:right w:val="single" w:sz="4" w:space="0" w:color="auto"/>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33</w:t>
            </w:r>
          </w:p>
        </w:tc>
      </w:tr>
      <w:tr w:rsidR="000430A4" w:rsidRPr="00E83635" w:rsidTr="002F32F0">
        <w:trPr>
          <w:trHeight w:val="278"/>
        </w:trPr>
        <w:tc>
          <w:tcPr>
            <w:tcW w:w="5019" w:type="dxa"/>
            <w:tcBorders>
              <w:top w:val="nil"/>
              <w:left w:val="single" w:sz="4" w:space="0" w:color="auto"/>
              <w:right w:val="nil"/>
            </w:tcBorders>
            <w:shd w:val="clear" w:color="auto" w:fill="auto"/>
            <w:hideMark/>
          </w:tcPr>
          <w:p w:rsidR="000430A4" w:rsidRPr="00E83635" w:rsidRDefault="000430A4" w:rsidP="002F32F0">
            <w:pPr>
              <w:spacing w:after="0" w:line="240" w:lineRule="auto"/>
              <w:rPr>
                <w:rFonts w:ascii="Calibri" w:eastAsia="Times New Roman" w:hAnsi="Calibri" w:cs="Times New Roman"/>
                <w:color w:val="000000"/>
              </w:rPr>
            </w:pPr>
            <w:r w:rsidRPr="00E83635">
              <w:rPr>
                <w:rFonts w:ascii="Calibri" w:eastAsia="Times New Roman" w:hAnsi="Calibri" w:cs="Times New Roman"/>
                <w:color w:val="000000"/>
              </w:rPr>
              <w:t>Annual change (%)</w:t>
            </w:r>
          </w:p>
        </w:tc>
        <w:tc>
          <w:tcPr>
            <w:tcW w:w="1417" w:type="dxa"/>
            <w:tcBorders>
              <w:top w:val="nil"/>
              <w:left w:val="nil"/>
              <w:right w:val="nil"/>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w:t>
            </w:r>
          </w:p>
        </w:tc>
        <w:tc>
          <w:tcPr>
            <w:tcW w:w="1417" w:type="dxa"/>
            <w:tcBorders>
              <w:top w:val="nil"/>
              <w:left w:val="nil"/>
              <w:right w:val="nil"/>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-31.7%</w:t>
            </w:r>
          </w:p>
        </w:tc>
        <w:tc>
          <w:tcPr>
            <w:tcW w:w="1417" w:type="dxa"/>
            <w:tcBorders>
              <w:top w:val="nil"/>
              <w:left w:val="nil"/>
              <w:right w:val="single" w:sz="4" w:space="0" w:color="auto"/>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17.9%</w:t>
            </w:r>
          </w:p>
        </w:tc>
      </w:tr>
      <w:tr w:rsidR="000430A4" w:rsidRPr="00E83635" w:rsidTr="002F32F0">
        <w:trPr>
          <w:trHeight w:val="543"/>
        </w:trPr>
        <w:tc>
          <w:tcPr>
            <w:tcW w:w="5019" w:type="dxa"/>
            <w:tcBorders>
              <w:left w:val="single" w:sz="4" w:space="0" w:color="auto"/>
              <w:bottom w:val="nil"/>
              <w:right w:val="nil"/>
            </w:tcBorders>
            <w:shd w:val="clear" w:color="000000" w:fill="DBE5F1"/>
            <w:hideMark/>
          </w:tcPr>
          <w:p w:rsidR="000430A4" w:rsidRPr="00E83635" w:rsidRDefault="000430A4" w:rsidP="002F32F0">
            <w:pPr>
              <w:spacing w:after="0" w:line="240" w:lineRule="auto"/>
              <w:rPr>
                <w:rFonts w:ascii="Calibri" w:eastAsia="Times New Roman" w:hAnsi="Calibri" w:cs="Times New Roman"/>
                <w:color w:val="000000"/>
              </w:rPr>
            </w:pPr>
            <w:r w:rsidRPr="00E83635">
              <w:rPr>
                <w:rFonts w:ascii="Calibri" w:eastAsia="Times New Roman" w:hAnsi="Calibri" w:cs="Times New Roman"/>
                <w:color w:val="000000"/>
              </w:rPr>
              <w:t>Average number of pages processed per request completed</w:t>
            </w:r>
          </w:p>
        </w:tc>
        <w:tc>
          <w:tcPr>
            <w:tcW w:w="1417" w:type="dxa"/>
            <w:tcBorders>
              <w:left w:val="nil"/>
              <w:bottom w:val="nil"/>
              <w:right w:val="nil"/>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652</w:t>
            </w:r>
          </w:p>
        </w:tc>
        <w:tc>
          <w:tcPr>
            <w:tcW w:w="1417" w:type="dxa"/>
            <w:tcBorders>
              <w:left w:val="nil"/>
              <w:bottom w:val="nil"/>
              <w:right w:val="nil"/>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449</w:t>
            </w:r>
          </w:p>
        </w:tc>
        <w:tc>
          <w:tcPr>
            <w:tcW w:w="1417" w:type="dxa"/>
            <w:tcBorders>
              <w:left w:val="nil"/>
              <w:bottom w:val="nil"/>
              <w:right w:val="single" w:sz="4" w:space="0" w:color="auto"/>
            </w:tcBorders>
            <w:shd w:val="clear" w:color="000000" w:fill="DBE5F1"/>
            <w:noWrap/>
            <w:vAlign w:val="center"/>
            <w:hideMark/>
          </w:tcPr>
          <w:p w:rsidR="000430A4" w:rsidRPr="00E83635" w:rsidRDefault="000430A4" w:rsidP="002F32F0">
            <w:pPr>
              <w:spacing w:after="0" w:line="240" w:lineRule="auto"/>
              <w:jc w:val="center"/>
              <w:rPr>
                <w:rFonts w:ascii="Calibri" w:eastAsia="Times New Roman" w:hAnsi="Calibri" w:cs="Times New Roman"/>
                <w:b/>
                <w:bCs/>
                <w:color w:val="000000"/>
              </w:rPr>
            </w:pPr>
            <w:r w:rsidRPr="00E83635">
              <w:rPr>
                <w:rFonts w:ascii="Calibri" w:eastAsia="Times New Roman" w:hAnsi="Calibri" w:cs="Times New Roman"/>
                <w:b/>
                <w:bCs/>
                <w:color w:val="000000"/>
              </w:rPr>
              <w:t>367</w:t>
            </w:r>
          </w:p>
        </w:tc>
      </w:tr>
      <w:tr w:rsidR="000430A4" w:rsidRPr="00E83635" w:rsidTr="002F32F0">
        <w:trPr>
          <w:trHeight w:val="543"/>
        </w:trPr>
        <w:tc>
          <w:tcPr>
            <w:tcW w:w="5019" w:type="dxa"/>
            <w:tcBorders>
              <w:top w:val="nil"/>
              <w:left w:val="single" w:sz="4" w:space="0" w:color="auto"/>
              <w:bottom w:val="single" w:sz="4" w:space="0" w:color="auto"/>
              <w:right w:val="nil"/>
            </w:tcBorders>
            <w:shd w:val="clear" w:color="auto" w:fill="auto"/>
            <w:hideMark/>
          </w:tcPr>
          <w:p w:rsidR="000430A4" w:rsidRPr="00E83635" w:rsidRDefault="000430A4" w:rsidP="002F32F0">
            <w:pPr>
              <w:spacing w:after="0" w:line="240" w:lineRule="auto"/>
              <w:rPr>
                <w:rFonts w:ascii="Calibri" w:eastAsia="Times New Roman" w:hAnsi="Calibri" w:cs="Times New Roman"/>
                <w:color w:val="000000"/>
              </w:rPr>
            </w:pPr>
            <w:r w:rsidRPr="00E83635">
              <w:rPr>
                <w:rFonts w:ascii="Calibri" w:eastAsia="Times New Roman" w:hAnsi="Calibri" w:cs="Times New Roman"/>
                <w:color w:val="000000"/>
              </w:rPr>
              <w:t>% of requests for which more than 1</w:t>
            </w:r>
            <w:r w:rsidR="000A6BE0">
              <w:rPr>
                <w:rFonts w:ascii="Calibri" w:eastAsia="Times New Roman" w:hAnsi="Calibri" w:cs="Times New Roman"/>
                <w:color w:val="000000"/>
              </w:rPr>
              <w:t>,</w:t>
            </w:r>
            <w:r w:rsidRPr="00E83635">
              <w:rPr>
                <w:rFonts w:ascii="Calibri" w:eastAsia="Times New Roman" w:hAnsi="Calibri" w:cs="Times New Roman"/>
                <w:color w:val="000000"/>
              </w:rPr>
              <w:t>000 pages were processed</w:t>
            </w:r>
          </w:p>
        </w:tc>
        <w:tc>
          <w:tcPr>
            <w:tcW w:w="1417" w:type="dxa"/>
            <w:tcBorders>
              <w:top w:val="nil"/>
              <w:left w:val="nil"/>
              <w:bottom w:val="single" w:sz="4" w:space="0" w:color="auto"/>
              <w:right w:val="nil"/>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18.0%</w:t>
            </w:r>
          </w:p>
        </w:tc>
        <w:tc>
          <w:tcPr>
            <w:tcW w:w="1417" w:type="dxa"/>
            <w:tcBorders>
              <w:top w:val="nil"/>
              <w:left w:val="nil"/>
              <w:bottom w:val="single" w:sz="4" w:space="0" w:color="auto"/>
              <w:right w:val="nil"/>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11.8%</w:t>
            </w:r>
          </w:p>
        </w:tc>
        <w:tc>
          <w:tcPr>
            <w:tcW w:w="1417" w:type="dxa"/>
            <w:tcBorders>
              <w:top w:val="nil"/>
              <w:left w:val="nil"/>
              <w:bottom w:val="single" w:sz="4" w:space="0" w:color="auto"/>
              <w:right w:val="single" w:sz="4" w:space="0" w:color="auto"/>
            </w:tcBorders>
            <w:shd w:val="clear" w:color="auto" w:fill="auto"/>
            <w:noWrap/>
            <w:vAlign w:val="center"/>
            <w:hideMark/>
          </w:tcPr>
          <w:p w:rsidR="000430A4" w:rsidRPr="00E83635" w:rsidRDefault="000430A4" w:rsidP="002F32F0">
            <w:pPr>
              <w:spacing w:after="0" w:line="240" w:lineRule="auto"/>
              <w:jc w:val="center"/>
              <w:rPr>
                <w:rFonts w:ascii="Calibri" w:eastAsia="Times New Roman" w:hAnsi="Calibri" w:cs="Times New Roman"/>
                <w:color w:val="000000"/>
              </w:rPr>
            </w:pPr>
            <w:r w:rsidRPr="00E83635">
              <w:rPr>
                <w:rFonts w:ascii="Calibri" w:eastAsia="Times New Roman" w:hAnsi="Calibri" w:cs="Times New Roman"/>
                <w:color w:val="000000"/>
              </w:rPr>
              <w:t>9.7%</w:t>
            </w:r>
          </w:p>
        </w:tc>
      </w:tr>
    </w:tbl>
    <w:p w:rsidR="000430A4" w:rsidRPr="00FF56CA" w:rsidRDefault="000A6BE0" w:rsidP="000430A4">
      <w:pPr>
        <w:pStyle w:val="Heading2"/>
        <w:spacing w:before="240"/>
      </w:pPr>
      <w:r>
        <w:t>Request</w:t>
      </w:r>
      <w:r w:rsidR="000430A4" w:rsidRPr="00FF56CA">
        <w:t xml:space="preserve"> completion time</w:t>
      </w:r>
    </w:p>
    <w:p w:rsidR="000430A4" w:rsidRPr="004D30BF" w:rsidRDefault="000430A4" w:rsidP="000430A4">
      <w:pPr>
        <w:pStyle w:val="Heading4"/>
      </w:pPr>
      <w:r w:rsidRPr="004D30BF">
        <w:t>Timeliness</w:t>
      </w:r>
    </w:p>
    <w:p w:rsidR="000430A4" w:rsidRPr="00664E54" w:rsidRDefault="000430A4" w:rsidP="000430A4">
      <w:pPr>
        <w:jc w:val="both"/>
      </w:pPr>
      <w:r w:rsidRPr="00664E54">
        <w:t>Figure 1 reveals that 77.3% of requests were completed within 30 days or less</w:t>
      </w:r>
      <w:r>
        <w:t>. This is</w:t>
      </w:r>
      <w:r w:rsidRPr="00664E54">
        <w:t xml:space="preserve"> </w:t>
      </w:r>
      <w:r>
        <w:t>9.9</w:t>
      </w:r>
      <w:r w:rsidRPr="00664E54">
        <w:t>% higher than the</w:t>
      </w:r>
      <w:r>
        <w:t xml:space="preserve"> results observed in 2013-2014.</w:t>
      </w:r>
    </w:p>
    <w:p w:rsidR="000430A4" w:rsidRPr="00F93822" w:rsidRDefault="000430A4" w:rsidP="000430A4">
      <w:pPr>
        <w:pStyle w:val="Heading3"/>
        <w:spacing w:after="200"/>
        <w:rPr>
          <w:sz w:val="24"/>
          <w:szCs w:val="24"/>
        </w:rPr>
      </w:pPr>
      <w:r w:rsidRPr="005B6D1A">
        <w:t xml:space="preserve">Figure 1: </w:t>
      </w:r>
      <w:r w:rsidRPr="00FF56CA">
        <w:t>Request</w:t>
      </w:r>
      <w:r w:rsidRPr="005B6D1A">
        <w:t xml:space="preserve"> Completion T</w:t>
      </w:r>
      <w:r>
        <w:t>ime</w:t>
      </w:r>
      <w:r w:rsidRPr="0088399E">
        <w:rPr>
          <w:noProof/>
          <w:color w:val="FF0000"/>
          <w:sz w:val="24"/>
          <w:szCs w:val="24"/>
        </w:rPr>
        <w:drawing>
          <wp:inline distT="0" distB="0" distL="0" distR="0">
            <wp:extent cx="6050943" cy="4023360"/>
            <wp:effectExtent l="0" t="0" r="26035" b="15240"/>
            <wp:docPr id="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430A4" w:rsidRPr="00D2368F" w:rsidRDefault="000430A4" w:rsidP="000430A4">
      <w:pPr>
        <w:pStyle w:val="Heading4"/>
      </w:pPr>
      <w:r w:rsidRPr="00D2368F">
        <w:t>Extensions</w:t>
      </w:r>
    </w:p>
    <w:p w:rsidR="000430A4" w:rsidRPr="00AE1EE5" w:rsidRDefault="000430A4" w:rsidP="000430A4">
      <w:pPr>
        <w:jc w:val="both"/>
      </w:pPr>
      <w:r w:rsidRPr="00AE1EE5">
        <w:t>LAC took a total of 187 extensions in 2014-2015 compared to 356 in 2013-2014. The most common reason for taking an extension was consultations (84.5%).</w:t>
      </w:r>
    </w:p>
    <w:p w:rsidR="000430A4" w:rsidRPr="00AE1EE5" w:rsidRDefault="000430A4" w:rsidP="000430A4">
      <w:pPr>
        <w:jc w:val="both"/>
      </w:pPr>
      <w:r w:rsidRPr="00AE1EE5">
        <w:t>Figure 2 shows that 8.6% of extensions were taken for less than 30 days, which is similar to the results in the previous year. We also observed that the number of extensions taken between 31 and 60 days in 2014-2015 decreased by 5.1% compared to 2013-2014. Extensions taken between 121 and 180 days increased by 10.3% in 2014-2015.</w:t>
      </w:r>
    </w:p>
    <w:p w:rsidR="000430A4" w:rsidRDefault="000430A4" w:rsidP="000430A4">
      <w:pPr>
        <w:pStyle w:val="Heading3"/>
        <w:spacing w:after="200"/>
      </w:pPr>
      <w:r w:rsidRPr="005B6D1A">
        <w:t>Figure 2: Length of E</w:t>
      </w:r>
      <w:r>
        <w:t>xtensions</w:t>
      </w:r>
      <w:r w:rsidRPr="0088399E">
        <w:rPr>
          <w:noProof/>
        </w:rPr>
        <w:drawing>
          <wp:inline distT="0" distB="0" distL="0" distR="0">
            <wp:extent cx="5947258" cy="3862425"/>
            <wp:effectExtent l="0" t="0" r="0" b="5080"/>
            <wp:docPr id="4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430A4" w:rsidRPr="00D2368F" w:rsidRDefault="000430A4" w:rsidP="000430A4">
      <w:pPr>
        <w:pStyle w:val="Heading4"/>
      </w:pPr>
      <w:r>
        <w:t>Deemed refusals</w:t>
      </w:r>
    </w:p>
    <w:p w:rsidR="000430A4" w:rsidRPr="00AE1EE5" w:rsidRDefault="000430A4" w:rsidP="000430A4">
      <w:pPr>
        <w:jc w:val="both"/>
      </w:pPr>
      <w:r w:rsidRPr="00AE1EE5">
        <w:t>In 2014-2015, the number of requests closed past the statutory deadline was 36 which accounts for 4.4% of completed requests. This rate represents an “A” grade.</w:t>
      </w:r>
      <w:r w:rsidRPr="00AE1EE5">
        <w:rPr>
          <w:rStyle w:val="FootnoteReference"/>
        </w:rPr>
        <w:footnoteReference w:id="57"/>
      </w:r>
      <w:r w:rsidRPr="00AE1EE5">
        <w:t xml:space="preserve"> The most common reason for overdue requests was external consultations (33.3%) and other reasons (44.4%). Figure 3 shows that 47.2% of overdue requests were late for 30 days or less.</w:t>
      </w:r>
    </w:p>
    <w:p w:rsidR="000430A4" w:rsidRPr="00842844" w:rsidRDefault="000430A4" w:rsidP="000430A4">
      <w:pPr>
        <w:pStyle w:val="Heading3"/>
        <w:spacing w:after="200"/>
      </w:pPr>
      <w:r w:rsidRPr="00842844">
        <w:t>Figure 3: Lateness of Overdue R</w:t>
      </w:r>
      <w:r>
        <w:t>equests</w:t>
      </w:r>
      <w:r w:rsidRPr="00842844">
        <w:rPr>
          <w:noProof/>
        </w:rPr>
        <w:drawing>
          <wp:inline distT="0" distB="0" distL="0" distR="0">
            <wp:extent cx="5888736" cy="3877056"/>
            <wp:effectExtent l="0" t="0" r="0" b="0"/>
            <wp:docPr id="4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430A4" w:rsidRPr="00FF56CA" w:rsidRDefault="000430A4" w:rsidP="000430A4">
      <w:pPr>
        <w:pStyle w:val="Heading2"/>
      </w:pPr>
      <w:r w:rsidRPr="00FF56CA">
        <w:t>Disclosure</w:t>
      </w:r>
    </w:p>
    <w:p w:rsidR="000430A4" w:rsidRPr="00D2368F" w:rsidRDefault="000430A4" w:rsidP="000430A4">
      <w:pPr>
        <w:pStyle w:val="Heading4"/>
      </w:pPr>
      <w:r w:rsidRPr="00D2368F">
        <w:t xml:space="preserve">Percentage of requests for </w:t>
      </w:r>
      <w:r>
        <w:t>which information was disclosed</w:t>
      </w:r>
    </w:p>
    <w:p w:rsidR="000430A4" w:rsidRPr="00C10724" w:rsidRDefault="000430A4" w:rsidP="000430A4">
      <w:pPr>
        <w:jc w:val="both"/>
      </w:pPr>
      <w:r w:rsidRPr="00C10724">
        <w:t xml:space="preserve">In 2014-2015, </w:t>
      </w:r>
      <w:r>
        <w:t>33.6</w:t>
      </w:r>
      <w:r w:rsidRPr="00C10724">
        <w:t xml:space="preserve">% of completed requests were entirely disclosed, which </w:t>
      </w:r>
      <w:r>
        <w:t xml:space="preserve">is similar to </w:t>
      </w:r>
      <w:r w:rsidRPr="00C10724">
        <w:t xml:space="preserve">the previous period (see Figure 4). Figure 4 also shows that the rate for partially disclosed requests was </w:t>
      </w:r>
      <w:r>
        <w:t>47.9</w:t>
      </w:r>
      <w:r w:rsidRPr="00C10724">
        <w:t xml:space="preserve">% in 2014-2015, which </w:t>
      </w:r>
      <w:r>
        <w:t>represents a</w:t>
      </w:r>
      <w:r w:rsidRPr="00C10724">
        <w:t xml:space="preserve"> </w:t>
      </w:r>
      <w:r>
        <w:t>3.1</w:t>
      </w:r>
      <w:r w:rsidRPr="00C10724">
        <w:t xml:space="preserve">% </w:t>
      </w:r>
      <w:r>
        <w:t>decrease from</w:t>
      </w:r>
      <w:r w:rsidRPr="00C10724">
        <w:t xml:space="preserve"> the </w:t>
      </w:r>
      <w:r>
        <w:t>results of the previous period.</w:t>
      </w:r>
    </w:p>
    <w:p w:rsidR="000430A4" w:rsidRDefault="000430A4" w:rsidP="000430A4">
      <w:pPr>
        <w:pStyle w:val="Heading3"/>
        <w:spacing w:after="200"/>
      </w:pPr>
      <w:r w:rsidRPr="005B6D1A">
        <w:t>Figure 4: Level of Disclosure</w:t>
      </w:r>
      <w:r w:rsidRPr="0088399E">
        <w:rPr>
          <w:noProof/>
        </w:rPr>
        <w:drawing>
          <wp:inline distT="0" distB="0" distL="0" distR="0">
            <wp:extent cx="6166714" cy="4016045"/>
            <wp:effectExtent l="0" t="0" r="5715" b="3810"/>
            <wp:docPr id="4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430A4" w:rsidRPr="00D2368F" w:rsidRDefault="000430A4" w:rsidP="000430A4">
      <w:pPr>
        <w:pStyle w:val="Heading4"/>
      </w:pPr>
      <w:r w:rsidRPr="00D2368F">
        <w:t>Exemptions</w:t>
      </w:r>
    </w:p>
    <w:p w:rsidR="000430A4" w:rsidRPr="00AE1EE5" w:rsidRDefault="000430A4" w:rsidP="000430A4">
      <w:pPr>
        <w:jc w:val="both"/>
      </w:pPr>
      <w:r w:rsidRPr="00AE1EE5">
        <w:t>In 2014-2015, LAC applied 530 exemptions compared to 591 in the previous year. The average number of exemptions used per completed request was similar to the one observed in the previous period (0.64 in 2013-2014 and 0.65 2014-2015) (see Table 2).</w:t>
      </w:r>
    </w:p>
    <w:p w:rsidR="000430A4" w:rsidRPr="00AE1EE5" w:rsidRDefault="000430A4" w:rsidP="000430A4">
      <w:pPr>
        <w:jc w:val="both"/>
      </w:pPr>
      <w:r w:rsidRPr="00AE1EE5">
        <w:t>The most common exemptions used in 2014-2015 were section 19 (Personal Information) (63.4%), followed by section 13 (Information Obtained in Confidence) (12.5%). The number of exemptions applied for section 13 provisions decreased by 3.1%, whereas the number of exemptions under section 19 increased by 3.9% from the previous period.</w:t>
      </w:r>
    </w:p>
    <w:p w:rsidR="000430A4" w:rsidRDefault="000430A4" w:rsidP="000430A4">
      <w:pPr>
        <w:pStyle w:val="Heading3"/>
      </w:pPr>
      <w:r w:rsidRPr="00916BD0">
        <w:t xml:space="preserve">Table </w:t>
      </w:r>
      <w:r>
        <w:t>2</w:t>
      </w:r>
      <w:r w:rsidRPr="00916BD0">
        <w:t>: Exemptions</w:t>
      </w:r>
    </w:p>
    <w:tbl>
      <w:tblPr>
        <w:tblW w:w="9504" w:type="dxa"/>
        <w:tblInd w:w="98" w:type="dxa"/>
        <w:tblLook w:val="04A0"/>
      </w:tblPr>
      <w:tblGrid>
        <w:gridCol w:w="5457"/>
        <w:gridCol w:w="1349"/>
        <w:gridCol w:w="1349"/>
        <w:gridCol w:w="1349"/>
      </w:tblGrid>
      <w:tr w:rsidR="000430A4" w:rsidRPr="009466B5" w:rsidTr="002F32F0">
        <w:trPr>
          <w:trHeight w:val="294"/>
        </w:trPr>
        <w:tc>
          <w:tcPr>
            <w:tcW w:w="5457"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9466B5" w:rsidRDefault="000430A4" w:rsidP="002F32F0">
            <w:pPr>
              <w:spacing w:after="0" w:line="240" w:lineRule="auto"/>
              <w:rPr>
                <w:rFonts w:ascii="Calibri" w:eastAsia="Times New Roman" w:hAnsi="Calibri" w:cs="Times New Roman"/>
                <w:color w:val="000000"/>
              </w:rPr>
            </w:pPr>
            <w:r w:rsidRPr="009466B5">
              <w:rPr>
                <w:rFonts w:ascii="Calibri" w:eastAsia="Times New Roman" w:hAnsi="Calibri" w:cs="Times New Roman"/>
                <w:color w:val="000000"/>
              </w:rPr>
              <w:t xml:space="preserve">Exemptions </w:t>
            </w:r>
          </w:p>
        </w:tc>
        <w:tc>
          <w:tcPr>
            <w:tcW w:w="1349" w:type="dxa"/>
            <w:tcBorders>
              <w:top w:val="single" w:sz="8" w:space="0" w:color="auto"/>
              <w:left w:val="nil"/>
              <w:bottom w:val="single" w:sz="8" w:space="0" w:color="auto"/>
              <w:right w:val="nil"/>
            </w:tcBorders>
            <w:shd w:val="clear" w:color="000000" w:fill="DBE5F1"/>
            <w:noWrap/>
            <w:vAlign w:val="bottom"/>
            <w:hideMark/>
          </w:tcPr>
          <w:p w:rsidR="000430A4" w:rsidRPr="009466B5" w:rsidRDefault="000430A4" w:rsidP="002F32F0">
            <w:pPr>
              <w:spacing w:after="0" w:line="240" w:lineRule="auto"/>
              <w:jc w:val="center"/>
              <w:rPr>
                <w:rFonts w:ascii="Calibri" w:eastAsia="Times New Roman" w:hAnsi="Calibri" w:cs="Times New Roman"/>
                <w:b/>
                <w:bCs/>
                <w:color w:val="000000"/>
              </w:rPr>
            </w:pPr>
            <w:r w:rsidRPr="009466B5">
              <w:rPr>
                <w:rFonts w:ascii="Calibri" w:eastAsia="Times New Roman" w:hAnsi="Calibri" w:cs="Times New Roman"/>
                <w:b/>
                <w:bCs/>
                <w:color w:val="000000"/>
              </w:rPr>
              <w:t>2012-2013</w:t>
            </w:r>
          </w:p>
        </w:tc>
        <w:tc>
          <w:tcPr>
            <w:tcW w:w="1349" w:type="dxa"/>
            <w:tcBorders>
              <w:top w:val="single" w:sz="8" w:space="0" w:color="auto"/>
              <w:left w:val="nil"/>
              <w:bottom w:val="single" w:sz="8" w:space="0" w:color="auto"/>
              <w:right w:val="nil"/>
            </w:tcBorders>
            <w:shd w:val="clear" w:color="000000" w:fill="DBE5F1"/>
            <w:noWrap/>
            <w:vAlign w:val="bottom"/>
            <w:hideMark/>
          </w:tcPr>
          <w:p w:rsidR="000430A4" w:rsidRPr="009466B5" w:rsidRDefault="000430A4" w:rsidP="002F32F0">
            <w:pPr>
              <w:spacing w:after="0" w:line="240" w:lineRule="auto"/>
              <w:jc w:val="center"/>
              <w:rPr>
                <w:rFonts w:ascii="Calibri" w:eastAsia="Times New Roman" w:hAnsi="Calibri" w:cs="Times New Roman"/>
                <w:b/>
                <w:bCs/>
                <w:color w:val="000000"/>
              </w:rPr>
            </w:pPr>
            <w:r w:rsidRPr="009466B5">
              <w:rPr>
                <w:rFonts w:ascii="Calibri" w:eastAsia="Times New Roman" w:hAnsi="Calibri" w:cs="Times New Roman"/>
                <w:b/>
                <w:bCs/>
                <w:color w:val="000000"/>
              </w:rPr>
              <w:t>2013-2014</w:t>
            </w:r>
          </w:p>
        </w:tc>
        <w:tc>
          <w:tcPr>
            <w:tcW w:w="1349"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9466B5" w:rsidRDefault="000430A4" w:rsidP="002F32F0">
            <w:pPr>
              <w:spacing w:after="0" w:line="240" w:lineRule="auto"/>
              <w:jc w:val="center"/>
              <w:rPr>
                <w:rFonts w:ascii="Calibri" w:eastAsia="Times New Roman" w:hAnsi="Calibri" w:cs="Times New Roman"/>
                <w:b/>
                <w:bCs/>
                <w:color w:val="000000"/>
              </w:rPr>
            </w:pPr>
            <w:r w:rsidRPr="009466B5">
              <w:rPr>
                <w:rFonts w:ascii="Calibri" w:eastAsia="Times New Roman" w:hAnsi="Calibri" w:cs="Times New Roman"/>
                <w:b/>
                <w:bCs/>
                <w:color w:val="000000"/>
              </w:rPr>
              <w:t>2014-2015</w:t>
            </w:r>
          </w:p>
        </w:tc>
      </w:tr>
      <w:tr w:rsidR="000430A4" w:rsidRPr="009466B5" w:rsidTr="002F32F0">
        <w:trPr>
          <w:trHeight w:val="280"/>
        </w:trPr>
        <w:tc>
          <w:tcPr>
            <w:tcW w:w="5457" w:type="dxa"/>
            <w:tcBorders>
              <w:top w:val="nil"/>
              <w:left w:val="single" w:sz="8" w:space="0" w:color="auto"/>
              <w:bottom w:val="nil"/>
              <w:right w:val="nil"/>
            </w:tcBorders>
            <w:shd w:val="clear" w:color="auto" w:fill="auto"/>
            <w:noWrap/>
            <w:vAlign w:val="bottom"/>
            <w:hideMark/>
          </w:tcPr>
          <w:p w:rsidR="000430A4" w:rsidRPr="009466B5"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9466B5">
              <w:rPr>
                <w:rFonts w:ascii="Calibri" w:eastAsia="Times New Roman" w:hAnsi="Calibri" w:cs="Times New Roman"/>
                <w:color w:val="000000"/>
              </w:rPr>
              <w:t xml:space="preserve">umber </w:t>
            </w:r>
            <w:r>
              <w:rPr>
                <w:rFonts w:ascii="Calibri" w:eastAsia="Times New Roman" w:hAnsi="Calibri" w:cs="Times New Roman"/>
                <w:color w:val="000000"/>
              </w:rPr>
              <w:t>of exemptions</w:t>
            </w:r>
          </w:p>
        </w:tc>
        <w:tc>
          <w:tcPr>
            <w:tcW w:w="1349" w:type="dxa"/>
            <w:tcBorders>
              <w:top w:val="nil"/>
              <w:left w:val="nil"/>
              <w:bottom w:val="nil"/>
              <w:right w:val="nil"/>
            </w:tcBorders>
            <w:shd w:val="clear" w:color="auto" w:fill="auto"/>
            <w:noWrap/>
            <w:vAlign w:val="bottom"/>
            <w:hideMark/>
          </w:tcPr>
          <w:p w:rsidR="000430A4" w:rsidRPr="009466B5" w:rsidRDefault="000430A4" w:rsidP="002F32F0">
            <w:pPr>
              <w:spacing w:after="0" w:line="240" w:lineRule="auto"/>
              <w:jc w:val="center"/>
              <w:rPr>
                <w:rFonts w:ascii="Calibri" w:eastAsia="Times New Roman" w:hAnsi="Calibri" w:cs="Times New Roman"/>
                <w:color w:val="000000"/>
              </w:rPr>
            </w:pPr>
            <w:r w:rsidRPr="009466B5">
              <w:rPr>
                <w:rFonts w:ascii="Calibri" w:eastAsia="Times New Roman" w:hAnsi="Calibri" w:cs="Times New Roman"/>
                <w:color w:val="000000"/>
              </w:rPr>
              <w:t>533</w:t>
            </w:r>
          </w:p>
        </w:tc>
        <w:tc>
          <w:tcPr>
            <w:tcW w:w="1349" w:type="dxa"/>
            <w:tcBorders>
              <w:top w:val="nil"/>
              <w:left w:val="nil"/>
              <w:bottom w:val="nil"/>
              <w:right w:val="nil"/>
            </w:tcBorders>
            <w:shd w:val="clear" w:color="auto" w:fill="auto"/>
            <w:noWrap/>
            <w:vAlign w:val="bottom"/>
            <w:hideMark/>
          </w:tcPr>
          <w:p w:rsidR="000430A4" w:rsidRPr="009466B5" w:rsidRDefault="000430A4" w:rsidP="002F32F0">
            <w:pPr>
              <w:spacing w:after="0" w:line="240" w:lineRule="auto"/>
              <w:jc w:val="center"/>
              <w:rPr>
                <w:rFonts w:ascii="Calibri" w:eastAsia="Times New Roman" w:hAnsi="Calibri" w:cs="Times New Roman"/>
                <w:color w:val="000000"/>
              </w:rPr>
            </w:pPr>
            <w:r w:rsidRPr="009466B5">
              <w:rPr>
                <w:rFonts w:ascii="Calibri" w:eastAsia="Times New Roman" w:hAnsi="Calibri" w:cs="Times New Roman"/>
                <w:color w:val="000000"/>
              </w:rPr>
              <w:t>591</w:t>
            </w:r>
          </w:p>
        </w:tc>
        <w:tc>
          <w:tcPr>
            <w:tcW w:w="1349" w:type="dxa"/>
            <w:tcBorders>
              <w:top w:val="nil"/>
              <w:left w:val="nil"/>
              <w:bottom w:val="nil"/>
              <w:right w:val="single" w:sz="8" w:space="0" w:color="auto"/>
            </w:tcBorders>
            <w:shd w:val="clear" w:color="auto" w:fill="auto"/>
            <w:noWrap/>
            <w:vAlign w:val="bottom"/>
            <w:hideMark/>
          </w:tcPr>
          <w:p w:rsidR="000430A4" w:rsidRPr="009466B5" w:rsidRDefault="000430A4" w:rsidP="002F32F0">
            <w:pPr>
              <w:spacing w:after="0" w:line="240" w:lineRule="auto"/>
              <w:jc w:val="center"/>
              <w:rPr>
                <w:rFonts w:ascii="Calibri" w:eastAsia="Times New Roman" w:hAnsi="Calibri" w:cs="Times New Roman"/>
                <w:color w:val="000000"/>
              </w:rPr>
            </w:pPr>
            <w:r w:rsidRPr="009466B5">
              <w:rPr>
                <w:rFonts w:ascii="Calibri" w:eastAsia="Times New Roman" w:hAnsi="Calibri" w:cs="Times New Roman"/>
                <w:color w:val="000000"/>
              </w:rPr>
              <w:t>530</w:t>
            </w:r>
          </w:p>
        </w:tc>
      </w:tr>
      <w:tr w:rsidR="000430A4" w:rsidRPr="009466B5" w:rsidTr="002F32F0">
        <w:trPr>
          <w:trHeight w:val="280"/>
        </w:trPr>
        <w:tc>
          <w:tcPr>
            <w:tcW w:w="5457" w:type="dxa"/>
            <w:tcBorders>
              <w:top w:val="nil"/>
              <w:left w:val="single" w:sz="8" w:space="0" w:color="auto"/>
              <w:bottom w:val="nil"/>
              <w:right w:val="nil"/>
            </w:tcBorders>
            <w:shd w:val="clear" w:color="auto" w:fill="auto"/>
            <w:noWrap/>
            <w:vAlign w:val="bottom"/>
            <w:hideMark/>
          </w:tcPr>
          <w:p w:rsidR="000430A4" w:rsidRPr="009466B5" w:rsidRDefault="000430A4" w:rsidP="002F32F0">
            <w:pPr>
              <w:spacing w:after="0" w:line="240" w:lineRule="auto"/>
              <w:rPr>
                <w:rFonts w:ascii="Calibri" w:eastAsia="Times New Roman" w:hAnsi="Calibri" w:cs="Times New Roman"/>
                <w:color w:val="000000"/>
              </w:rPr>
            </w:pPr>
            <w:r w:rsidRPr="009466B5">
              <w:rPr>
                <w:rFonts w:ascii="Calibri" w:eastAsia="Times New Roman" w:hAnsi="Calibri" w:cs="Times New Roman"/>
                <w:color w:val="000000"/>
              </w:rPr>
              <w:t>Total number of completed requests</w:t>
            </w:r>
          </w:p>
        </w:tc>
        <w:tc>
          <w:tcPr>
            <w:tcW w:w="1349" w:type="dxa"/>
            <w:tcBorders>
              <w:top w:val="nil"/>
              <w:left w:val="nil"/>
              <w:bottom w:val="nil"/>
              <w:right w:val="nil"/>
            </w:tcBorders>
            <w:shd w:val="clear" w:color="auto" w:fill="auto"/>
            <w:noWrap/>
            <w:vAlign w:val="bottom"/>
            <w:hideMark/>
          </w:tcPr>
          <w:p w:rsidR="000430A4" w:rsidRPr="009466B5" w:rsidRDefault="000430A4" w:rsidP="002F32F0">
            <w:pPr>
              <w:spacing w:after="0" w:line="240" w:lineRule="auto"/>
              <w:jc w:val="center"/>
              <w:rPr>
                <w:rFonts w:ascii="Calibri" w:eastAsia="Times New Roman" w:hAnsi="Calibri" w:cs="Times New Roman"/>
                <w:color w:val="000000"/>
              </w:rPr>
            </w:pPr>
            <w:r w:rsidRPr="009466B5">
              <w:rPr>
                <w:rFonts w:ascii="Calibri" w:eastAsia="Times New Roman" w:hAnsi="Calibri" w:cs="Times New Roman"/>
                <w:color w:val="000000"/>
              </w:rPr>
              <w:t>874</w:t>
            </w:r>
          </w:p>
        </w:tc>
        <w:tc>
          <w:tcPr>
            <w:tcW w:w="1349" w:type="dxa"/>
            <w:tcBorders>
              <w:top w:val="nil"/>
              <w:left w:val="nil"/>
              <w:bottom w:val="nil"/>
              <w:right w:val="nil"/>
            </w:tcBorders>
            <w:shd w:val="clear" w:color="auto" w:fill="auto"/>
            <w:noWrap/>
            <w:vAlign w:val="bottom"/>
            <w:hideMark/>
          </w:tcPr>
          <w:p w:rsidR="000430A4" w:rsidRPr="009466B5" w:rsidRDefault="000430A4" w:rsidP="002F32F0">
            <w:pPr>
              <w:spacing w:after="0" w:line="240" w:lineRule="auto"/>
              <w:jc w:val="center"/>
              <w:rPr>
                <w:rFonts w:ascii="Calibri" w:eastAsia="Times New Roman" w:hAnsi="Calibri" w:cs="Times New Roman"/>
                <w:color w:val="000000"/>
              </w:rPr>
            </w:pPr>
            <w:r w:rsidRPr="009466B5">
              <w:rPr>
                <w:rFonts w:ascii="Calibri" w:eastAsia="Times New Roman" w:hAnsi="Calibri" w:cs="Times New Roman"/>
                <w:color w:val="000000"/>
              </w:rPr>
              <w:t>924</w:t>
            </w:r>
          </w:p>
        </w:tc>
        <w:tc>
          <w:tcPr>
            <w:tcW w:w="1349" w:type="dxa"/>
            <w:tcBorders>
              <w:top w:val="nil"/>
              <w:left w:val="nil"/>
              <w:bottom w:val="nil"/>
              <w:right w:val="single" w:sz="8" w:space="0" w:color="auto"/>
            </w:tcBorders>
            <w:shd w:val="clear" w:color="auto" w:fill="auto"/>
            <w:noWrap/>
            <w:vAlign w:val="bottom"/>
            <w:hideMark/>
          </w:tcPr>
          <w:p w:rsidR="000430A4" w:rsidRPr="009466B5" w:rsidRDefault="000430A4" w:rsidP="002F32F0">
            <w:pPr>
              <w:spacing w:after="0" w:line="240" w:lineRule="auto"/>
              <w:jc w:val="center"/>
              <w:rPr>
                <w:rFonts w:ascii="Calibri" w:eastAsia="Times New Roman" w:hAnsi="Calibri" w:cs="Times New Roman"/>
                <w:color w:val="000000"/>
              </w:rPr>
            </w:pPr>
            <w:r w:rsidRPr="009466B5">
              <w:rPr>
                <w:rFonts w:ascii="Calibri" w:eastAsia="Times New Roman" w:hAnsi="Calibri" w:cs="Times New Roman"/>
                <w:color w:val="000000"/>
              </w:rPr>
              <w:t>821</w:t>
            </w:r>
          </w:p>
        </w:tc>
      </w:tr>
      <w:tr w:rsidR="000430A4" w:rsidRPr="009466B5" w:rsidTr="002F32F0">
        <w:trPr>
          <w:trHeight w:val="294"/>
        </w:trPr>
        <w:tc>
          <w:tcPr>
            <w:tcW w:w="5457" w:type="dxa"/>
            <w:tcBorders>
              <w:top w:val="nil"/>
              <w:left w:val="single" w:sz="8" w:space="0" w:color="auto"/>
              <w:bottom w:val="single" w:sz="8" w:space="0" w:color="auto"/>
              <w:right w:val="nil"/>
            </w:tcBorders>
            <w:shd w:val="clear" w:color="000000" w:fill="DBE5F1"/>
            <w:noWrap/>
            <w:vAlign w:val="bottom"/>
            <w:hideMark/>
          </w:tcPr>
          <w:p w:rsidR="000430A4" w:rsidRPr="009466B5" w:rsidRDefault="000430A4" w:rsidP="002F32F0">
            <w:pPr>
              <w:spacing w:after="0" w:line="240" w:lineRule="auto"/>
              <w:rPr>
                <w:rFonts w:ascii="Calibri" w:eastAsia="Times New Roman" w:hAnsi="Calibri" w:cs="Times New Roman"/>
                <w:color w:val="000000"/>
              </w:rPr>
            </w:pPr>
            <w:r w:rsidRPr="009466B5">
              <w:rPr>
                <w:rFonts w:ascii="Calibri" w:eastAsia="Times New Roman" w:hAnsi="Calibri" w:cs="Times New Roman"/>
                <w:color w:val="000000"/>
              </w:rPr>
              <w:t xml:space="preserve">Average number of exemptions per request </w:t>
            </w:r>
          </w:p>
        </w:tc>
        <w:tc>
          <w:tcPr>
            <w:tcW w:w="1349" w:type="dxa"/>
            <w:tcBorders>
              <w:top w:val="nil"/>
              <w:left w:val="nil"/>
              <w:bottom w:val="single" w:sz="8" w:space="0" w:color="auto"/>
              <w:right w:val="nil"/>
            </w:tcBorders>
            <w:shd w:val="clear" w:color="000000" w:fill="DBE5F1"/>
            <w:noWrap/>
            <w:vAlign w:val="bottom"/>
            <w:hideMark/>
          </w:tcPr>
          <w:p w:rsidR="000430A4" w:rsidRPr="009466B5" w:rsidRDefault="000430A4" w:rsidP="002F32F0">
            <w:pPr>
              <w:spacing w:after="0" w:line="240" w:lineRule="auto"/>
              <w:jc w:val="center"/>
              <w:rPr>
                <w:rFonts w:ascii="Calibri" w:eastAsia="Times New Roman" w:hAnsi="Calibri" w:cs="Times New Roman"/>
                <w:color w:val="000000"/>
              </w:rPr>
            </w:pPr>
            <w:r w:rsidRPr="009466B5">
              <w:rPr>
                <w:rFonts w:ascii="Calibri" w:eastAsia="Times New Roman" w:hAnsi="Calibri" w:cs="Times New Roman"/>
                <w:color w:val="000000"/>
              </w:rPr>
              <w:t>0.6</w:t>
            </w:r>
            <w:r>
              <w:rPr>
                <w:rFonts w:ascii="Calibri" w:eastAsia="Times New Roman" w:hAnsi="Calibri" w:cs="Times New Roman"/>
                <w:color w:val="000000"/>
              </w:rPr>
              <w:t>1</w:t>
            </w:r>
          </w:p>
        </w:tc>
        <w:tc>
          <w:tcPr>
            <w:tcW w:w="1349" w:type="dxa"/>
            <w:tcBorders>
              <w:top w:val="nil"/>
              <w:left w:val="nil"/>
              <w:bottom w:val="single" w:sz="8" w:space="0" w:color="auto"/>
              <w:right w:val="nil"/>
            </w:tcBorders>
            <w:shd w:val="clear" w:color="000000" w:fill="DBE5F1"/>
            <w:noWrap/>
            <w:vAlign w:val="bottom"/>
            <w:hideMark/>
          </w:tcPr>
          <w:p w:rsidR="000430A4" w:rsidRPr="009466B5" w:rsidRDefault="000430A4" w:rsidP="002F32F0">
            <w:pPr>
              <w:spacing w:after="0" w:line="240" w:lineRule="auto"/>
              <w:jc w:val="center"/>
              <w:rPr>
                <w:rFonts w:ascii="Calibri" w:eastAsia="Times New Roman" w:hAnsi="Calibri" w:cs="Times New Roman"/>
                <w:color w:val="000000"/>
              </w:rPr>
            </w:pPr>
            <w:r w:rsidRPr="009466B5">
              <w:rPr>
                <w:rFonts w:ascii="Calibri" w:eastAsia="Times New Roman" w:hAnsi="Calibri" w:cs="Times New Roman"/>
                <w:color w:val="000000"/>
              </w:rPr>
              <w:t>0.6</w:t>
            </w:r>
            <w:r>
              <w:rPr>
                <w:rFonts w:ascii="Calibri" w:eastAsia="Times New Roman" w:hAnsi="Calibri" w:cs="Times New Roman"/>
                <w:color w:val="000000"/>
              </w:rPr>
              <w:t>4</w:t>
            </w:r>
          </w:p>
        </w:tc>
        <w:tc>
          <w:tcPr>
            <w:tcW w:w="1349" w:type="dxa"/>
            <w:tcBorders>
              <w:top w:val="nil"/>
              <w:left w:val="nil"/>
              <w:bottom w:val="single" w:sz="8" w:space="0" w:color="auto"/>
              <w:right w:val="single" w:sz="8" w:space="0" w:color="auto"/>
            </w:tcBorders>
            <w:shd w:val="clear" w:color="000000" w:fill="DBE5F1"/>
            <w:noWrap/>
            <w:vAlign w:val="bottom"/>
            <w:hideMark/>
          </w:tcPr>
          <w:p w:rsidR="000430A4" w:rsidRPr="009466B5" w:rsidRDefault="000430A4" w:rsidP="002F32F0">
            <w:pPr>
              <w:spacing w:after="0" w:line="240" w:lineRule="auto"/>
              <w:jc w:val="center"/>
              <w:rPr>
                <w:rFonts w:ascii="Calibri" w:eastAsia="Times New Roman" w:hAnsi="Calibri" w:cs="Times New Roman"/>
                <w:color w:val="000000"/>
              </w:rPr>
            </w:pPr>
            <w:r w:rsidRPr="009466B5">
              <w:rPr>
                <w:rFonts w:ascii="Calibri" w:eastAsia="Times New Roman" w:hAnsi="Calibri" w:cs="Times New Roman"/>
                <w:color w:val="000000"/>
              </w:rPr>
              <w:t>0.6</w:t>
            </w:r>
            <w:r>
              <w:rPr>
                <w:rFonts w:ascii="Calibri" w:eastAsia="Times New Roman" w:hAnsi="Calibri" w:cs="Times New Roman"/>
                <w:color w:val="000000"/>
              </w:rPr>
              <w:t>5</w:t>
            </w:r>
          </w:p>
        </w:tc>
      </w:tr>
    </w:tbl>
    <w:p w:rsidR="000430A4" w:rsidRPr="00FF56CA" w:rsidRDefault="000430A4" w:rsidP="000430A4">
      <w:pPr>
        <w:pStyle w:val="Heading2"/>
        <w:spacing w:before="240"/>
      </w:pPr>
      <w:r w:rsidRPr="00FF56CA">
        <w:t>Complaints at the OIC</w:t>
      </w:r>
    </w:p>
    <w:p w:rsidR="000430A4" w:rsidRDefault="000430A4" w:rsidP="000430A4">
      <w:pPr>
        <w:jc w:val="both"/>
      </w:pPr>
      <w:r w:rsidRPr="00E37BD6">
        <w:t>In 2014-2015, the OIC received 9 complaints</w:t>
      </w:r>
      <w:r>
        <w:rPr>
          <w:rStyle w:val="FootnoteReference"/>
        </w:rPr>
        <w:footnoteReference w:id="58"/>
      </w:r>
      <w:r w:rsidRPr="00E37BD6">
        <w:t xml:space="preserve"> against LAC, which is a slight decline from </w:t>
      </w:r>
      <w:r>
        <w:t xml:space="preserve">13 </w:t>
      </w:r>
      <w:r w:rsidRPr="00E37BD6">
        <w:t>the previous period. There were 5 refusal and 4 administrative complaints</w:t>
      </w:r>
      <w:r>
        <w:t>. Three</w:t>
      </w:r>
      <w:r w:rsidRPr="00E37BD6">
        <w:t xml:space="preserve"> complaints were well</w:t>
      </w:r>
      <w:r>
        <w:t>-founded, while 2 were not well-</w:t>
      </w:r>
      <w:r w:rsidRPr="00E37BD6">
        <w:t xml:space="preserve">founded, 1 was discontinued and 3 </w:t>
      </w:r>
      <w:r>
        <w:t>were pending resolution.</w:t>
      </w:r>
    </w:p>
    <w:p w:rsidR="000430A4" w:rsidRDefault="000430A4">
      <w:r>
        <w:br w:type="page"/>
      </w:r>
    </w:p>
    <w:p w:rsidR="000430A4" w:rsidRDefault="000430A4" w:rsidP="000430A4">
      <w:pPr>
        <w:pStyle w:val="Heading1"/>
      </w:pPr>
      <w:r w:rsidRPr="00C11055">
        <w:t>Innovation, Science and Economic Development Canada</w:t>
      </w:r>
      <w:r>
        <w:rPr>
          <w:rStyle w:val="FootnoteReference"/>
        </w:rPr>
        <w:footnoteReference w:id="59"/>
      </w:r>
    </w:p>
    <w:p w:rsidR="000430A4" w:rsidRPr="0099525A" w:rsidRDefault="000430A4" w:rsidP="000430A4">
      <w:pPr>
        <w:pStyle w:val="Heading2"/>
      </w:pPr>
      <w:r w:rsidRPr="0099525A">
        <w:t>Overall performance</w:t>
      </w:r>
      <w:r>
        <w:rPr>
          <w:rStyle w:val="FootnoteReference"/>
        </w:rPr>
        <w:footnoteReference w:id="60"/>
      </w:r>
    </w:p>
    <w:p w:rsidR="000430A4" w:rsidRPr="00A25827" w:rsidRDefault="000430A4" w:rsidP="000430A4">
      <w:pPr>
        <w:jc w:val="both"/>
        <w:rPr>
          <w:color w:val="000000" w:themeColor="text1"/>
        </w:rPr>
      </w:pPr>
      <w:r w:rsidRPr="00A25827">
        <w:t>Innovation, Science and Economic Development Canada (ISED) had fewer requests in 2014-2015 and also improved the percentage of requests</w:t>
      </w:r>
      <w:r>
        <w:t xml:space="preserve"> completed</w:t>
      </w:r>
      <w:r w:rsidRPr="00A25827">
        <w:t xml:space="preserve"> within 30 days by 7.4%</w:t>
      </w:r>
      <w:r>
        <w:t xml:space="preserve"> compared to 2013-2014</w:t>
      </w:r>
      <w:r w:rsidRPr="00A25827">
        <w:t xml:space="preserve">. ISED also improved the percentage of requests fully disclosed by 32.3%. </w:t>
      </w:r>
      <w:r w:rsidRPr="00A25827">
        <w:rPr>
          <w:color w:val="000000" w:themeColor="text1"/>
        </w:rPr>
        <w:t>This report provides comparative statistics for the last three periods (2012-2015).</w:t>
      </w:r>
    </w:p>
    <w:p w:rsidR="000430A4" w:rsidRPr="0099525A" w:rsidRDefault="000430A4" w:rsidP="000430A4">
      <w:pPr>
        <w:pStyle w:val="Heading2"/>
      </w:pPr>
      <w:r w:rsidRPr="0099525A">
        <w:t>Workload</w:t>
      </w:r>
    </w:p>
    <w:p w:rsidR="000430A4" w:rsidRPr="00A25827" w:rsidRDefault="000430A4" w:rsidP="000430A4">
      <w:pPr>
        <w:jc w:val="both"/>
      </w:pPr>
      <w:r w:rsidRPr="00A25827">
        <w:t xml:space="preserve">ISED received 749 requests under the </w:t>
      </w:r>
      <w:r w:rsidRPr="00A25827">
        <w:rPr>
          <w:i/>
        </w:rPr>
        <w:t>Access to Information Act</w:t>
      </w:r>
      <w:r w:rsidRPr="00A25827">
        <w:t xml:space="preserve"> (the Act), representing 1</w:t>
      </w:r>
      <w:r>
        <w:t>.1</w:t>
      </w:r>
      <w:r w:rsidRPr="00A25827">
        <w:t>% of total requests received government-wide in 2014-2015. This represents a decreased of 12.6% compared to the 857 requests received in the previous period. The majority of requests were from the media (51.3%) followed by the business sector (17.6%). The number of requests</w:t>
      </w:r>
      <w:r>
        <w:t xml:space="preserve"> from media decreased by 28.0</w:t>
      </w:r>
      <w:r w:rsidRPr="00A25827">
        <w:t>% compared to 2013-2014, while requests from other sectors increased.</w:t>
      </w:r>
    </w:p>
    <w:p w:rsidR="000430A4" w:rsidRDefault="000430A4" w:rsidP="000430A4">
      <w:pPr>
        <w:jc w:val="both"/>
      </w:pPr>
      <w:r w:rsidRPr="00A25827">
        <w:t>ISED completed 705 requests this reporting period. The completion rate</w:t>
      </w:r>
      <w:r w:rsidRPr="00A25827">
        <w:rPr>
          <w:rStyle w:val="FootnoteReference"/>
        </w:rPr>
        <w:footnoteReference w:id="61"/>
      </w:r>
      <w:r w:rsidRPr="00A25827">
        <w:t xml:space="preserve"> was 83.7%, which is slightly lower that the government-wide rate of 85.1%. In 2013-2014, the completion rate for ISED was 90.3%. ISED also received 197 informal requests, all of which were completed within 30 days. The number of consultations received by ISED from other federal government institutions decreased from 252 to 172, representing a decrease of 31.7% compared to 2013-2014.</w:t>
      </w:r>
    </w:p>
    <w:p w:rsidR="000430A4" w:rsidRDefault="000430A4" w:rsidP="000430A4">
      <w:pPr>
        <w:jc w:val="both"/>
      </w:pPr>
      <w:r w:rsidRPr="00636EDB">
        <w:t>The total number of pages process</w:t>
      </w:r>
      <w:r>
        <w:t>ed</w:t>
      </w:r>
      <w:r w:rsidRPr="00636EDB">
        <w:t xml:space="preserve"> in this reporting period was </w:t>
      </w:r>
      <w:r>
        <w:t>1,354,646</w:t>
      </w:r>
      <w:r w:rsidRPr="00636EDB">
        <w:t xml:space="preserve">. The average number of pages processed per completed request </w:t>
      </w:r>
      <w:r>
        <w:t>decreased substantially from 9,649 in 2013-2014 to 2,265 in 2014-2015.</w:t>
      </w:r>
    </w:p>
    <w:p w:rsidR="000430A4" w:rsidRPr="003219D2" w:rsidRDefault="000430A4" w:rsidP="000430A4">
      <w:pPr>
        <w:jc w:val="both"/>
      </w:pPr>
      <w:r w:rsidRPr="003219D2">
        <w:t>The information released by ISED was mostly in paper format</w:t>
      </w:r>
      <w:r>
        <w:t xml:space="preserve">: 289 requests in paper and </w:t>
      </w:r>
      <w:r w:rsidRPr="003219D2">
        <w:t>219</w:t>
      </w:r>
      <w:r>
        <w:t xml:space="preserve"> requests in</w:t>
      </w:r>
      <w:r w:rsidRPr="003219D2">
        <w:t xml:space="preserve"> electronic format. </w:t>
      </w:r>
      <w:r>
        <w:t>Compared to the previous period, there is a significant increase in t</w:t>
      </w:r>
      <w:r w:rsidRPr="003219D2">
        <w:t xml:space="preserve">he number of requests released in </w:t>
      </w:r>
      <w:r>
        <w:t>electronic</w:t>
      </w:r>
      <w:r w:rsidRPr="003219D2">
        <w:t xml:space="preserve"> format</w:t>
      </w:r>
      <w:r>
        <w:t xml:space="preserve"> (264 in paper and 119 in electronic format in 2013-2014)</w:t>
      </w:r>
      <w:r w:rsidRPr="003219D2">
        <w:t>.</w:t>
      </w:r>
    </w:p>
    <w:p w:rsidR="000430A4" w:rsidRPr="0099525A" w:rsidRDefault="000430A4" w:rsidP="000430A4">
      <w:pPr>
        <w:pStyle w:val="Heading3"/>
      </w:pPr>
      <w:r w:rsidRPr="0099525A">
        <w:t>Table 1: Workload</w:t>
      </w:r>
    </w:p>
    <w:tbl>
      <w:tblPr>
        <w:tblW w:w="9375" w:type="dxa"/>
        <w:tblInd w:w="98" w:type="dxa"/>
        <w:tblLook w:val="04A0"/>
      </w:tblPr>
      <w:tblGrid>
        <w:gridCol w:w="5169"/>
        <w:gridCol w:w="1402"/>
        <w:gridCol w:w="1402"/>
        <w:gridCol w:w="1402"/>
      </w:tblGrid>
      <w:tr w:rsidR="000430A4" w:rsidRPr="00B22C36" w:rsidTr="002F32F0">
        <w:trPr>
          <w:trHeight w:val="278"/>
        </w:trPr>
        <w:tc>
          <w:tcPr>
            <w:tcW w:w="5169" w:type="dxa"/>
            <w:tcBorders>
              <w:top w:val="single" w:sz="4" w:space="0" w:color="auto"/>
              <w:left w:val="single" w:sz="4" w:space="0" w:color="auto"/>
              <w:bottom w:val="single" w:sz="8" w:space="0" w:color="auto"/>
              <w:right w:val="nil"/>
            </w:tcBorders>
            <w:shd w:val="clear" w:color="auto" w:fill="auto"/>
            <w:noWrap/>
            <w:vAlign w:val="bottom"/>
            <w:hideMark/>
          </w:tcPr>
          <w:p w:rsidR="000430A4" w:rsidRPr="00B22C36" w:rsidRDefault="000430A4" w:rsidP="002F32F0">
            <w:pPr>
              <w:spacing w:after="0" w:line="240" w:lineRule="auto"/>
              <w:rPr>
                <w:rFonts w:ascii="Calibri" w:eastAsia="Times New Roman" w:hAnsi="Calibri" w:cs="Times New Roman"/>
                <w:color w:val="000000"/>
              </w:rPr>
            </w:pPr>
            <w:r w:rsidRPr="00B22C36">
              <w:rPr>
                <w:rFonts w:ascii="Calibri" w:eastAsia="Times New Roman" w:hAnsi="Calibri" w:cs="Times New Roman"/>
                <w:color w:val="000000"/>
              </w:rPr>
              <w:t xml:space="preserve">Measures </w:t>
            </w:r>
          </w:p>
        </w:tc>
        <w:tc>
          <w:tcPr>
            <w:tcW w:w="1402" w:type="dxa"/>
            <w:tcBorders>
              <w:top w:val="single" w:sz="4" w:space="0" w:color="auto"/>
              <w:left w:val="nil"/>
              <w:bottom w:val="single" w:sz="8" w:space="0" w:color="auto"/>
              <w:right w:val="nil"/>
            </w:tcBorders>
            <w:shd w:val="clear" w:color="auto" w:fill="auto"/>
            <w:noWrap/>
            <w:vAlign w:val="bottom"/>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2012-2013</w:t>
            </w:r>
          </w:p>
        </w:tc>
        <w:tc>
          <w:tcPr>
            <w:tcW w:w="1402" w:type="dxa"/>
            <w:tcBorders>
              <w:top w:val="single" w:sz="4" w:space="0" w:color="auto"/>
              <w:left w:val="nil"/>
              <w:bottom w:val="single" w:sz="8" w:space="0" w:color="auto"/>
              <w:right w:val="nil"/>
            </w:tcBorders>
            <w:shd w:val="clear" w:color="auto" w:fill="auto"/>
            <w:noWrap/>
            <w:vAlign w:val="bottom"/>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2013-2014</w:t>
            </w:r>
          </w:p>
        </w:tc>
        <w:tc>
          <w:tcPr>
            <w:tcW w:w="1402" w:type="dxa"/>
            <w:tcBorders>
              <w:top w:val="single" w:sz="4" w:space="0" w:color="auto"/>
              <w:left w:val="nil"/>
              <w:bottom w:val="single" w:sz="8" w:space="0" w:color="auto"/>
              <w:right w:val="single" w:sz="4" w:space="0" w:color="auto"/>
            </w:tcBorders>
            <w:shd w:val="clear" w:color="auto" w:fill="auto"/>
            <w:noWrap/>
            <w:vAlign w:val="bottom"/>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2014-2015</w:t>
            </w:r>
          </w:p>
        </w:tc>
      </w:tr>
      <w:tr w:rsidR="000430A4" w:rsidRPr="00B22C36" w:rsidTr="002F32F0">
        <w:trPr>
          <w:trHeight w:val="253"/>
        </w:trPr>
        <w:tc>
          <w:tcPr>
            <w:tcW w:w="5169" w:type="dxa"/>
            <w:tcBorders>
              <w:top w:val="nil"/>
              <w:left w:val="single" w:sz="4" w:space="0" w:color="auto"/>
              <w:right w:val="nil"/>
            </w:tcBorders>
            <w:shd w:val="clear" w:color="000000" w:fill="DBE5F1"/>
            <w:noWrap/>
            <w:hideMark/>
          </w:tcPr>
          <w:p w:rsidR="000430A4" w:rsidRPr="00B22C36" w:rsidRDefault="000430A4" w:rsidP="002F32F0">
            <w:pPr>
              <w:spacing w:after="0" w:line="240" w:lineRule="auto"/>
              <w:rPr>
                <w:rFonts w:ascii="Calibri" w:eastAsia="Times New Roman" w:hAnsi="Calibri" w:cs="Times New Roman"/>
                <w:color w:val="000000"/>
              </w:rPr>
            </w:pPr>
            <w:r w:rsidRPr="00B22C36">
              <w:rPr>
                <w:rFonts w:ascii="Calibri" w:eastAsia="Times New Roman" w:hAnsi="Calibri" w:cs="Times New Roman"/>
                <w:color w:val="000000"/>
              </w:rPr>
              <w:t xml:space="preserve">Number of requests received </w:t>
            </w:r>
          </w:p>
        </w:tc>
        <w:tc>
          <w:tcPr>
            <w:tcW w:w="1402" w:type="dxa"/>
            <w:tcBorders>
              <w:top w:val="nil"/>
              <w:left w:val="nil"/>
              <w:right w:val="nil"/>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741</w:t>
            </w:r>
          </w:p>
        </w:tc>
        <w:tc>
          <w:tcPr>
            <w:tcW w:w="1402" w:type="dxa"/>
            <w:tcBorders>
              <w:top w:val="nil"/>
              <w:left w:val="nil"/>
              <w:right w:val="nil"/>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857</w:t>
            </w:r>
          </w:p>
        </w:tc>
        <w:tc>
          <w:tcPr>
            <w:tcW w:w="1402" w:type="dxa"/>
            <w:tcBorders>
              <w:top w:val="nil"/>
              <w:left w:val="nil"/>
              <w:right w:val="single" w:sz="4" w:space="0" w:color="auto"/>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749</w:t>
            </w:r>
          </w:p>
        </w:tc>
      </w:tr>
      <w:tr w:rsidR="000430A4" w:rsidRPr="00B22C36" w:rsidTr="002F32F0">
        <w:trPr>
          <w:trHeight w:val="265"/>
        </w:trPr>
        <w:tc>
          <w:tcPr>
            <w:tcW w:w="5169" w:type="dxa"/>
            <w:tcBorders>
              <w:top w:val="nil"/>
              <w:left w:val="single" w:sz="4" w:space="0" w:color="auto"/>
              <w:bottom w:val="nil"/>
              <w:right w:val="nil"/>
            </w:tcBorders>
            <w:shd w:val="clear" w:color="auto" w:fill="auto"/>
            <w:hideMark/>
          </w:tcPr>
          <w:p w:rsidR="000430A4" w:rsidRPr="00B22C36" w:rsidRDefault="000430A4" w:rsidP="002F32F0">
            <w:pPr>
              <w:spacing w:after="0" w:line="240" w:lineRule="auto"/>
              <w:rPr>
                <w:rFonts w:ascii="Calibri" w:eastAsia="Times New Roman" w:hAnsi="Calibri" w:cs="Times New Roman"/>
                <w:color w:val="000000"/>
              </w:rPr>
            </w:pPr>
            <w:r w:rsidRPr="00B22C36">
              <w:rPr>
                <w:rFonts w:ascii="Calibri" w:eastAsia="Times New Roman" w:hAnsi="Calibri" w:cs="Times New Roman"/>
                <w:color w:val="000000"/>
              </w:rPr>
              <w:t>Annual change (%)</w:t>
            </w:r>
          </w:p>
        </w:tc>
        <w:tc>
          <w:tcPr>
            <w:tcW w:w="1402" w:type="dxa"/>
            <w:tcBorders>
              <w:top w:val="nil"/>
              <w:left w:val="nil"/>
              <w:bottom w:val="nil"/>
              <w:right w:val="nil"/>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w:t>
            </w:r>
          </w:p>
        </w:tc>
        <w:tc>
          <w:tcPr>
            <w:tcW w:w="1402" w:type="dxa"/>
            <w:tcBorders>
              <w:top w:val="nil"/>
              <w:left w:val="nil"/>
              <w:bottom w:val="nil"/>
              <w:right w:val="nil"/>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15.7%</w:t>
            </w:r>
          </w:p>
        </w:tc>
        <w:tc>
          <w:tcPr>
            <w:tcW w:w="1402" w:type="dxa"/>
            <w:tcBorders>
              <w:top w:val="nil"/>
              <w:left w:val="nil"/>
              <w:bottom w:val="nil"/>
              <w:right w:val="single" w:sz="4" w:space="0" w:color="auto"/>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-12.6%</w:t>
            </w:r>
          </w:p>
        </w:tc>
      </w:tr>
      <w:tr w:rsidR="000430A4" w:rsidRPr="00B22C36" w:rsidTr="002F32F0">
        <w:trPr>
          <w:trHeight w:val="265"/>
        </w:trPr>
        <w:tc>
          <w:tcPr>
            <w:tcW w:w="5169" w:type="dxa"/>
            <w:tcBorders>
              <w:top w:val="nil"/>
              <w:left w:val="single" w:sz="4" w:space="0" w:color="auto"/>
              <w:bottom w:val="nil"/>
              <w:right w:val="nil"/>
            </w:tcBorders>
            <w:shd w:val="clear" w:color="000000" w:fill="DBE5F1"/>
            <w:hideMark/>
          </w:tcPr>
          <w:p w:rsidR="000430A4" w:rsidRPr="00B22C36" w:rsidRDefault="000430A4" w:rsidP="002F32F0">
            <w:pPr>
              <w:spacing w:after="0" w:line="240" w:lineRule="auto"/>
              <w:rPr>
                <w:rFonts w:ascii="Calibri" w:eastAsia="Times New Roman" w:hAnsi="Calibri" w:cs="Times New Roman"/>
                <w:color w:val="000000"/>
              </w:rPr>
            </w:pPr>
            <w:r w:rsidRPr="00B22C36">
              <w:rPr>
                <w:rFonts w:ascii="Calibri" w:eastAsia="Times New Roman" w:hAnsi="Calibri" w:cs="Times New Roman"/>
                <w:color w:val="000000"/>
              </w:rPr>
              <w:t>Completed requests</w:t>
            </w:r>
          </w:p>
        </w:tc>
        <w:tc>
          <w:tcPr>
            <w:tcW w:w="1402" w:type="dxa"/>
            <w:tcBorders>
              <w:top w:val="nil"/>
              <w:left w:val="nil"/>
              <w:bottom w:val="nil"/>
              <w:right w:val="nil"/>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860</w:t>
            </w:r>
          </w:p>
        </w:tc>
        <w:tc>
          <w:tcPr>
            <w:tcW w:w="1402" w:type="dxa"/>
            <w:tcBorders>
              <w:top w:val="nil"/>
              <w:left w:val="nil"/>
              <w:bottom w:val="nil"/>
              <w:right w:val="nil"/>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865</w:t>
            </w:r>
          </w:p>
        </w:tc>
        <w:tc>
          <w:tcPr>
            <w:tcW w:w="1402" w:type="dxa"/>
            <w:tcBorders>
              <w:top w:val="nil"/>
              <w:left w:val="nil"/>
              <w:bottom w:val="nil"/>
              <w:right w:val="single" w:sz="4" w:space="0" w:color="auto"/>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705</w:t>
            </w:r>
          </w:p>
        </w:tc>
      </w:tr>
      <w:tr w:rsidR="000430A4" w:rsidRPr="00B22C36" w:rsidTr="002F32F0">
        <w:trPr>
          <w:trHeight w:val="278"/>
        </w:trPr>
        <w:tc>
          <w:tcPr>
            <w:tcW w:w="5169" w:type="dxa"/>
            <w:tcBorders>
              <w:top w:val="nil"/>
              <w:left w:val="single" w:sz="4" w:space="0" w:color="auto"/>
              <w:right w:val="nil"/>
            </w:tcBorders>
            <w:shd w:val="clear" w:color="auto" w:fill="auto"/>
            <w:hideMark/>
          </w:tcPr>
          <w:p w:rsidR="000430A4" w:rsidRPr="00B22C36" w:rsidRDefault="000430A4" w:rsidP="002F32F0">
            <w:pPr>
              <w:spacing w:after="0" w:line="240" w:lineRule="auto"/>
              <w:rPr>
                <w:rFonts w:ascii="Calibri" w:eastAsia="Times New Roman" w:hAnsi="Calibri" w:cs="Times New Roman"/>
                <w:color w:val="000000"/>
              </w:rPr>
            </w:pPr>
            <w:r w:rsidRPr="00B22C36">
              <w:rPr>
                <w:rFonts w:ascii="Calibri" w:eastAsia="Times New Roman" w:hAnsi="Calibri" w:cs="Times New Roman"/>
                <w:color w:val="000000"/>
              </w:rPr>
              <w:t>Annual change</w:t>
            </w:r>
            <w:r>
              <w:rPr>
                <w:rFonts w:ascii="Calibri" w:eastAsia="Times New Roman" w:hAnsi="Calibri" w:cs="Times New Roman"/>
                <w:color w:val="000000"/>
              </w:rPr>
              <w:t xml:space="preserve"> (%)</w:t>
            </w:r>
          </w:p>
        </w:tc>
        <w:tc>
          <w:tcPr>
            <w:tcW w:w="1402" w:type="dxa"/>
            <w:tcBorders>
              <w:top w:val="nil"/>
              <w:left w:val="nil"/>
              <w:right w:val="nil"/>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w:t>
            </w:r>
          </w:p>
        </w:tc>
        <w:tc>
          <w:tcPr>
            <w:tcW w:w="1402" w:type="dxa"/>
            <w:tcBorders>
              <w:top w:val="nil"/>
              <w:left w:val="nil"/>
              <w:right w:val="nil"/>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0.6%</w:t>
            </w:r>
          </w:p>
        </w:tc>
        <w:tc>
          <w:tcPr>
            <w:tcW w:w="1402" w:type="dxa"/>
            <w:tcBorders>
              <w:top w:val="nil"/>
              <w:left w:val="nil"/>
              <w:right w:val="single" w:sz="4" w:space="0" w:color="auto"/>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-18.5%</w:t>
            </w:r>
          </w:p>
        </w:tc>
      </w:tr>
      <w:tr w:rsidR="000430A4" w:rsidRPr="00B22C36" w:rsidTr="002F32F0">
        <w:trPr>
          <w:trHeight w:val="425"/>
        </w:trPr>
        <w:tc>
          <w:tcPr>
            <w:tcW w:w="5169" w:type="dxa"/>
            <w:tcBorders>
              <w:top w:val="nil"/>
              <w:left w:val="single" w:sz="4" w:space="0" w:color="auto"/>
              <w:right w:val="nil"/>
            </w:tcBorders>
            <w:shd w:val="clear" w:color="000000" w:fill="DBE5F1"/>
            <w:hideMark/>
          </w:tcPr>
          <w:p w:rsidR="000430A4" w:rsidRPr="00B22C36" w:rsidRDefault="000430A4" w:rsidP="002F32F0">
            <w:pPr>
              <w:spacing w:after="0" w:line="240" w:lineRule="auto"/>
              <w:rPr>
                <w:rFonts w:ascii="Calibri" w:eastAsia="Times New Roman" w:hAnsi="Calibri" w:cs="Times New Roman"/>
                <w:color w:val="000000"/>
              </w:rPr>
            </w:pPr>
            <w:r w:rsidRPr="00B22C36">
              <w:rPr>
                <w:rFonts w:ascii="Calibri" w:eastAsia="Times New Roman" w:hAnsi="Calibri" w:cs="Times New Roman"/>
                <w:color w:val="000000"/>
              </w:rPr>
              <w:t>Number of consultations received (from other government institutions)</w:t>
            </w:r>
          </w:p>
        </w:tc>
        <w:tc>
          <w:tcPr>
            <w:tcW w:w="1402" w:type="dxa"/>
            <w:tcBorders>
              <w:top w:val="nil"/>
              <w:left w:val="nil"/>
              <w:right w:val="nil"/>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770</w:t>
            </w:r>
          </w:p>
        </w:tc>
        <w:tc>
          <w:tcPr>
            <w:tcW w:w="1402" w:type="dxa"/>
            <w:tcBorders>
              <w:top w:val="nil"/>
              <w:left w:val="nil"/>
              <w:right w:val="nil"/>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252</w:t>
            </w:r>
          </w:p>
        </w:tc>
        <w:tc>
          <w:tcPr>
            <w:tcW w:w="1402" w:type="dxa"/>
            <w:tcBorders>
              <w:top w:val="nil"/>
              <w:left w:val="nil"/>
              <w:right w:val="single" w:sz="4" w:space="0" w:color="auto"/>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172</w:t>
            </w:r>
          </w:p>
        </w:tc>
      </w:tr>
      <w:tr w:rsidR="000430A4" w:rsidRPr="00B22C36" w:rsidTr="002F32F0">
        <w:trPr>
          <w:trHeight w:val="390"/>
        </w:trPr>
        <w:tc>
          <w:tcPr>
            <w:tcW w:w="5169" w:type="dxa"/>
            <w:tcBorders>
              <w:top w:val="nil"/>
              <w:left w:val="single" w:sz="4" w:space="0" w:color="auto"/>
              <w:right w:val="nil"/>
            </w:tcBorders>
            <w:shd w:val="clear" w:color="auto" w:fill="auto"/>
            <w:hideMark/>
          </w:tcPr>
          <w:p w:rsidR="000430A4" w:rsidRPr="00B22C36" w:rsidRDefault="000430A4" w:rsidP="002F32F0">
            <w:pPr>
              <w:spacing w:after="0" w:line="240" w:lineRule="auto"/>
              <w:rPr>
                <w:rFonts w:ascii="Calibri" w:eastAsia="Times New Roman" w:hAnsi="Calibri" w:cs="Times New Roman"/>
                <w:color w:val="000000"/>
              </w:rPr>
            </w:pPr>
            <w:r w:rsidRPr="00B22C36">
              <w:rPr>
                <w:rFonts w:ascii="Calibri" w:eastAsia="Times New Roman" w:hAnsi="Calibri" w:cs="Times New Roman"/>
                <w:color w:val="000000"/>
              </w:rPr>
              <w:t>Annual change (%)</w:t>
            </w:r>
          </w:p>
        </w:tc>
        <w:tc>
          <w:tcPr>
            <w:tcW w:w="1402" w:type="dxa"/>
            <w:tcBorders>
              <w:top w:val="nil"/>
              <w:left w:val="nil"/>
              <w:right w:val="nil"/>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w:t>
            </w:r>
          </w:p>
        </w:tc>
        <w:tc>
          <w:tcPr>
            <w:tcW w:w="1402" w:type="dxa"/>
            <w:tcBorders>
              <w:top w:val="nil"/>
              <w:left w:val="nil"/>
              <w:right w:val="nil"/>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-67.3%</w:t>
            </w:r>
          </w:p>
        </w:tc>
        <w:tc>
          <w:tcPr>
            <w:tcW w:w="1402" w:type="dxa"/>
            <w:tcBorders>
              <w:top w:val="nil"/>
              <w:left w:val="nil"/>
              <w:right w:val="single" w:sz="4" w:space="0" w:color="auto"/>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-31.7%</w:t>
            </w:r>
          </w:p>
        </w:tc>
      </w:tr>
      <w:tr w:rsidR="000430A4" w:rsidRPr="00B22C36" w:rsidTr="002F32F0">
        <w:trPr>
          <w:trHeight w:val="542"/>
        </w:trPr>
        <w:tc>
          <w:tcPr>
            <w:tcW w:w="5169" w:type="dxa"/>
            <w:tcBorders>
              <w:left w:val="single" w:sz="4" w:space="0" w:color="auto"/>
              <w:bottom w:val="nil"/>
              <w:right w:val="nil"/>
            </w:tcBorders>
            <w:shd w:val="clear" w:color="000000" w:fill="DBE5F1"/>
            <w:hideMark/>
          </w:tcPr>
          <w:p w:rsidR="000430A4" w:rsidRPr="00B22C36" w:rsidRDefault="000430A4" w:rsidP="002F32F0">
            <w:pPr>
              <w:spacing w:after="0" w:line="240" w:lineRule="auto"/>
              <w:rPr>
                <w:rFonts w:ascii="Calibri" w:eastAsia="Times New Roman" w:hAnsi="Calibri" w:cs="Times New Roman"/>
                <w:color w:val="000000"/>
              </w:rPr>
            </w:pPr>
            <w:r w:rsidRPr="00B22C36">
              <w:rPr>
                <w:rFonts w:ascii="Calibri" w:eastAsia="Times New Roman" w:hAnsi="Calibri" w:cs="Times New Roman"/>
                <w:color w:val="000000"/>
              </w:rPr>
              <w:t>Average number of pages processed per request completed</w:t>
            </w:r>
          </w:p>
        </w:tc>
        <w:tc>
          <w:tcPr>
            <w:tcW w:w="1402" w:type="dxa"/>
            <w:tcBorders>
              <w:left w:val="nil"/>
              <w:bottom w:val="nil"/>
              <w:right w:val="nil"/>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5</w:t>
            </w:r>
            <w:r w:rsidR="000A6BE0">
              <w:rPr>
                <w:rFonts w:ascii="Calibri" w:eastAsia="Times New Roman" w:hAnsi="Calibri" w:cs="Times New Roman"/>
                <w:b/>
                <w:bCs/>
                <w:color w:val="000000"/>
              </w:rPr>
              <w:t>,</w:t>
            </w:r>
            <w:r w:rsidRPr="00B22C36">
              <w:rPr>
                <w:rFonts w:ascii="Calibri" w:eastAsia="Times New Roman" w:hAnsi="Calibri" w:cs="Times New Roman"/>
                <w:b/>
                <w:bCs/>
                <w:color w:val="000000"/>
              </w:rPr>
              <w:t>050</w:t>
            </w:r>
          </w:p>
        </w:tc>
        <w:tc>
          <w:tcPr>
            <w:tcW w:w="1402" w:type="dxa"/>
            <w:tcBorders>
              <w:left w:val="nil"/>
              <w:bottom w:val="nil"/>
              <w:right w:val="nil"/>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9</w:t>
            </w:r>
            <w:r w:rsidR="000A6BE0">
              <w:rPr>
                <w:rFonts w:ascii="Calibri" w:eastAsia="Times New Roman" w:hAnsi="Calibri" w:cs="Times New Roman"/>
                <w:b/>
                <w:bCs/>
                <w:color w:val="000000"/>
              </w:rPr>
              <w:t>,</w:t>
            </w:r>
            <w:r w:rsidRPr="00B22C36">
              <w:rPr>
                <w:rFonts w:ascii="Calibri" w:eastAsia="Times New Roman" w:hAnsi="Calibri" w:cs="Times New Roman"/>
                <w:b/>
                <w:bCs/>
                <w:color w:val="000000"/>
              </w:rPr>
              <w:t>649</w:t>
            </w:r>
          </w:p>
        </w:tc>
        <w:tc>
          <w:tcPr>
            <w:tcW w:w="1402" w:type="dxa"/>
            <w:tcBorders>
              <w:left w:val="nil"/>
              <w:bottom w:val="nil"/>
              <w:right w:val="single" w:sz="4" w:space="0" w:color="auto"/>
            </w:tcBorders>
            <w:shd w:val="clear" w:color="000000" w:fill="DBE5F1"/>
            <w:noWrap/>
            <w:vAlign w:val="center"/>
            <w:hideMark/>
          </w:tcPr>
          <w:p w:rsidR="000430A4" w:rsidRPr="00B22C36" w:rsidRDefault="000430A4" w:rsidP="002F32F0">
            <w:pPr>
              <w:spacing w:after="0" w:line="240" w:lineRule="auto"/>
              <w:jc w:val="center"/>
              <w:rPr>
                <w:rFonts w:ascii="Calibri" w:eastAsia="Times New Roman" w:hAnsi="Calibri" w:cs="Times New Roman"/>
                <w:b/>
                <w:bCs/>
                <w:color w:val="000000"/>
              </w:rPr>
            </w:pPr>
            <w:r w:rsidRPr="00B22C36">
              <w:rPr>
                <w:rFonts w:ascii="Calibri" w:eastAsia="Times New Roman" w:hAnsi="Calibri" w:cs="Times New Roman"/>
                <w:b/>
                <w:bCs/>
                <w:color w:val="000000"/>
              </w:rPr>
              <w:t>2</w:t>
            </w:r>
            <w:r w:rsidR="000A6BE0">
              <w:rPr>
                <w:rFonts w:ascii="Calibri" w:eastAsia="Times New Roman" w:hAnsi="Calibri" w:cs="Times New Roman"/>
                <w:b/>
                <w:bCs/>
                <w:color w:val="000000"/>
              </w:rPr>
              <w:t>,</w:t>
            </w:r>
            <w:r w:rsidRPr="00B22C36">
              <w:rPr>
                <w:rFonts w:ascii="Calibri" w:eastAsia="Times New Roman" w:hAnsi="Calibri" w:cs="Times New Roman"/>
                <w:b/>
                <w:bCs/>
                <w:color w:val="000000"/>
              </w:rPr>
              <w:t>265</w:t>
            </w:r>
          </w:p>
        </w:tc>
      </w:tr>
      <w:tr w:rsidR="000430A4" w:rsidRPr="00B22C36" w:rsidTr="002F32F0">
        <w:trPr>
          <w:trHeight w:val="319"/>
        </w:trPr>
        <w:tc>
          <w:tcPr>
            <w:tcW w:w="5169" w:type="dxa"/>
            <w:tcBorders>
              <w:top w:val="nil"/>
              <w:left w:val="single" w:sz="4" w:space="0" w:color="auto"/>
              <w:bottom w:val="single" w:sz="4" w:space="0" w:color="auto"/>
              <w:right w:val="nil"/>
            </w:tcBorders>
            <w:shd w:val="clear" w:color="auto" w:fill="auto"/>
            <w:hideMark/>
          </w:tcPr>
          <w:p w:rsidR="000430A4" w:rsidRPr="00B22C36" w:rsidRDefault="000430A4" w:rsidP="002F32F0">
            <w:pPr>
              <w:spacing w:after="0" w:line="240" w:lineRule="auto"/>
              <w:rPr>
                <w:rFonts w:ascii="Calibri" w:eastAsia="Times New Roman" w:hAnsi="Calibri" w:cs="Times New Roman"/>
                <w:color w:val="000000"/>
              </w:rPr>
            </w:pPr>
            <w:r w:rsidRPr="00B22C36">
              <w:rPr>
                <w:rFonts w:ascii="Calibri" w:eastAsia="Times New Roman" w:hAnsi="Calibri" w:cs="Times New Roman"/>
                <w:color w:val="000000"/>
              </w:rPr>
              <w:t>% of requests for which more than 1</w:t>
            </w:r>
            <w:r w:rsidR="000A6BE0">
              <w:rPr>
                <w:rFonts w:ascii="Calibri" w:eastAsia="Times New Roman" w:hAnsi="Calibri" w:cs="Times New Roman"/>
                <w:color w:val="000000"/>
              </w:rPr>
              <w:t>,</w:t>
            </w:r>
            <w:r w:rsidRPr="00B22C36">
              <w:rPr>
                <w:rFonts w:ascii="Calibri" w:eastAsia="Times New Roman" w:hAnsi="Calibri" w:cs="Times New Roman"/>
                <w:color w:val="000000"/>
              </w:rPr>
              <w:t>000 pages were processed</w:t>
            </w:r>
          </w:p>
        </w:tc>
        <w:tc>
          <w:tcPr>
            <w:tcW w:w="1402" w:type="dxa"/>
            <w:tcBorders>
              <w:top w:val="nil"/>
              <w:left w:val="nil"/>
              <w:bottom w:val="single" w:sz="4" w:space="0" w:color="auto"/>
              <w:right w:val="nil"/>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13.4%</w:t>
            </w:r>
          </w:p>
        </w:tc>
        <w:tc>
          <w:tcPr>
            <w:tcW w:w="1402" w:type="dxa"/>
            <w:tcBorders>
              <w:top w:val="nil"/>
              <w:left w:val="nil"/>
              <w:bottom w:val="single" w:sz="4" w:space="0" w:color="auto"/>
              <w:right w:val="nil"/>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4.6%</w:t>
            </w:r>
          </w:p>
        </w:tc>
        <w:tc>
          <w:tcPr>
            <w:tcW w:w="1402" w:type="dxa"/>
            <w:tcBorders>
              <w:top w:val="nil"/>
              <w:left w:val="nil"/>
              <w:bottom w:val="single" w:sz="4" w:space="0" w:color="auto"/>
              <w:right w:val="single" w:sz="4" w:space="0" w:color="auto"/>
            </w:tcBorders>
            <w:shd w:val="clear" w:color="auto" w:fill="auto"/>
            <w:noWrap/>
            <w:vAlign w:val="center"/>
            <w:hideMark/>
          </w:tcPr>
          <w:p w:rsidR="000430A4" w:rsidRPr="00B22C36" w:rsidRDefault="000430A4" w:rsidP="002F32F0">
            <w:pPr>
              <w:spacing w:after="0" w:line="240" w:lineRule="auto"/>
              <w:jc w:val="center"/>
              <w:rPr>
                <w:rFonts w:ascii="Calibri" w:eastAsia="Times New Roman" w:hAnsi="Calibri" w:cs="Times New Roman"/>
                <w:color w:val="000000"/>
              </w:rPr>
            </w:pPr>
            <w:r w:rsidRPr="00B22C36">
              <w:rPr>
                <w:rFonts w:ascii="Calibri" w:eastAsia="Times New Roman" w:hAnsi="Calibri" w:cs="Times New Roman"/>
                <w:color w:val="000000"/>
              </w:rPr>
              <w:t>3.5%</w:t>
            </w:r>
          </w:p>
        </w:tc>
      </w:tr>
    </w:tbl>
    <w:p w:rsidR="000430A4" w:rsidRPr="0099525A" w:rsidRDefault="000430A4" w:rsidP="000430A4">
      <w:pPr>
        <w:pStyle w:val="Heading2"/>
        <w:spacing w:before="240"/>
      </w:pPr>
      <w:r w:rsidRPr="0099525A">
        <w:t>Requests completion time</w:t>
      </w:r>
    </w:p>
    <w:p w:rsidR="000430A4" w:rsidRPr="004D30BF" w:rsidRDefault="000430A4" w:rsidP="000430A4">
      <w:pPr>
        <w:pStyle w:val="Heading4"/>
      </w:pPr>
      <w:r w:rsidRPr="004D30BF">
        <w:t>Timeliness</w:t>
      </w:r>
    </w:p>
    <w:p w:rsidR="000430A4" w:rsidRPr="00FF483B" w:rsidRDefault="000430A4" w:rsidP="000430A4">
      <w:pPr>
        <w:jc w:val="both"/>
      </w:pPr>
      <w:r w:rsidRPr="00FF483B">
        <w:t xml:space="preserve">Figure 1 reveals that </w:t>
      </w:r>
      <w:r>
        <w:t>67.4</w:t>
      </w:r>
      <w:r w:rsidRPr="00FF483B">
        <w:t xml:space="preserve">% of requests were completed within 30 days or less, which is </w:t>
      </w:r>
      <w:r>
        <w:t>7.4</w:t>
      </w:r>
      <w:r w:rsidRPr="00FF483B">
        <w:t>% higher than the results observed in 2013-2014.</w:t>
      </w:r>
      <w:r>
        <w:t xml:space="preserve"> We note a small decline in all other periods.</w:t>
      </w:r>
    </w:p>
    <w:p w:rsidR="000430A4" w:rsidRPr="00162CA3" w:rsidRDefault="000430A4" w:rsidP="000430A4">
      <w:pPr>
        <w:pStyle w:val="Heading3"/>
        <w:spacing w:after="200"/>
        <w:rPr>
          <w:sz w:val="24"/>
          <w:szCs w:val="24"/>
        </w:rPr>
      </w:pPr>
      <w:r w:rsidRPr="005E2D59">
        <w:t xml:space="preserve">Figure 1: Request Completion </w:t>
      </w:r>
      <w:r w:rsidRPr="0099525A">
        <w:t>T</w:t>
      </w:r>
      <w:r>
        <w:t>ime</w:t>
      </w:r>
      <w:r w:rsidRPr="001E28D5">
        <w:rPr>
          <w:noProof/>
        </w:rPr>
        <w:drawing>
          <wp:inline distT="0" distB="0" distL="0" distR="0">
            <wp:extent cx="5943600" cy="4235570"/>
            <wp:effectExtent l="0" t="0" r="0" b="0"/>
            <wp:docPr id="4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430A4" w:rsidRPr="00D2368F" w:rsidRDefault="000430A4" w:rsidP="000430A4">
      <w:pPr>
        <w:pStyle w:val="Heading4"/>
        <w:spacing w:before="240"/>
      </w:pPr>
      <w:r w:rsidRPr="00D2368F">
        <w:t>Extensions</w:t>
      </w:r>
    </w:p>
    <w:p w:rsidR="000430A4" w:rsidRPr="00000BC9" w:rsidRDefault="000430A4" w:rsidP="000430A4">
      <w:pPr>
        <w:jc w:val="both"/>
      </w:pPr>
      <w:r w:rsidRPr="00000BC9">
        <w:t>ISED took a total of 313 extensions in 2014-2015 compared to 466 in 2013-2014. The most common reason for taking an extension was consultations (61.7%), followed by third-party notice (20.4%).</w:t>
      </w:r>
    </w:p>
    <w:p w:rsidR="000430A4" w:rsidRPr="00000BC9" w:rsidRDefault="000430A4" w:rsidP="000430A4">
      <w:pPr>
        <w:jc w:val="both"/>
      </w:pPr>
      <w:r w:rsidRPr="00000BC9">
        <w:t>Figure 2 shows that 19.5% of extensions were taken for less than 30 days, which represents a decrease of 17.4% from 2013-2014. Figure 2 also indicates that the number of extensions taken between 31 and 60 days increased by 15.1% compared to the previous period and that the number of extensions taken between 121 and 180 days decreased by 3.5%.</w:t>
      </w:r>
    </w:p>
    <w:p w:rsidR="000430A4" w:rsidRDefault="000430A4" w:rsidP="000430A4">
      <w:pPr>
        <w:pStyle w:val="Heading3"/>
        <w:spacing w:after="200"/>
      </w:pPr>
      <w:r w:rsidRPr="005E2D59">
        <w:t>Figure 2: Length of E</w:t>
      </w:r>
      <w:r>
        <w:t>xtensions</w:t>
      </w:r>
      <w:r w:rsidRPr="001E28D5">
        <w:rPr>
          <w:noProof/>
        </w:rPr>
        <w:drawing>
          <wp:inline distT="0" distB="0" distL="0" distR="0">
            <wp:extent cx="5947576" cy="4086971"/>
            <wp:effectExtent l="0" t="0" r="15240" b="27940"/>
            <wp:docPr id="4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430A4" w:rsidRPr="00D2368F" w:rsidRDefault="000430A4" w:rsidP="000430A4">
      <w:pPr>
        <w:pStyle w:val="Heading4"/>
      </w:pPr>
      <w:r>
        <w:t>Deemed refusals</w:t>
      </w:r>
    </w:p>
    <w:p w:rsidR="000430A4" w:rsidRPr="00000BC9" w:rsidRDefault="000430A4" w:rsidP="000430A4">
      <w:pPr>
        <w:jc w:val="both"/>
      </w:pPr>
      <w:r w:rsidRPr="00000BC9">
        <w:t>In 2014-2015, the number of requests closed past the statutory deadline was 37, which accounts for 5.2% of completed requests. This rate represents a “B” grade.</w:t>
      </w:r>
      <w:r w:rsidRPr="00000BC9">
        <w:rPr>
          <w:rStyle w:val="FootnoteReference"/>
        </w:rPr>
        <w:footnoteReference w:id="62"/>
      </w:r>
      <w:r w:rsidRPr="00000BC9">
        <w:t xml:space="preserve"> The main reason for not meeting the statutory deadline was workload (81.1%), followed by other reasons (16.2%).</w:t>
      </w:r>
    </w:p>
    <w:p w:rsidR="000430A4" w:rsidRPr="00000BC9" w:rsidRDefault="000430A4" w:rsidP="000430A4">
      <w:pPr>
        <w:jc w:val="both"/>
      </w:pPr>
      <w:r w:rsidRPr="00000BC9">
        <w:t>Figure 3 shows that 24.3% were late by 30 days or less and that 40.5% of overdue requests were late by more than 180 days. We note that 24.3% of overdue requests were late more than 365 days, despite the fact that no extensions were taken for more than that length of time.</w:t>
      </w:r>
    </w:p>
    <w:p w:rsidR="000430A4" w:rsidRDefault="000430A4" w:rsidP="000430A4">
      <w:pPr>
        <w:pStyle w:val="Heading3"/>
      </w:pPr>
      <w:r w:rsidRPr="005E2D59">
        <w:t>Figure 3: Lateness of Overdue R</w:t>
      </w:r>
      <w:r>
        <w:t xml:space="preserve">equests </w:t>
      </w:r>
      <w:r w:rsidRPr="001E28D5">
        <w:rPr>
          <w:noProof/>
        </w:rPr>
        <w:drawing>
          <wp:inline distT="0" distB="0" distL="0" distR="0">
            <wp:extent cx="5848709" cy="4339087"/>
            <wp:effectExtent l="0" t="0" r="0" b="4445"/>
            <wp:docPr id="5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430A4" w:rsidRPr="0099525A" w:rsidRDefault="000430A4" w:rsidP="000430A4">
      <w:pPr>
        <w:pStyle w:val="Heading2"/>
        <w:spacing w:before="240"/>
      </w:pPr>
      <w:r w:rsidRPr="0099525A">
        <w:t>Disclosure</w:t>
      </w:r>
    </w:p>
    <w:p w:rsidR="000430A4" w:rsidRPr="00D2368F" w:rsidRDefault="000430A4" w:rsidP="000430A4">
      <w:pPr>
        <w:pStyle w:val="Heading4"/>
      </w:pPr>
      <w:r w:rsidRPr="00D2368F">
        <w:t>Percentage of requests for which information was disclose</w:t>
      </w:r>
      <w:r>
        <w:t>d</w:t>
      </w:r>
    </w:p>
    <w:p w:rsidR="000430A4" w:rsidRPr="00AF7712" w:rsidRDefault="000430A4" w:rsidP="000430A4">
      <w:pPr>
        <w:jc w:val="both"/>
      </w:pPr>
      <w:r w:rsidRPr="00AF7712">
        <w:t xml:space="preserve">In 2014-2015, </w:t>
      </w:r>
      <w:r>
        <w:t>39.6</w:t>
      </w:r>
      <w:r w:rsidRPr="00AF7712">
        <w:t>% of completed requests were entirely disclosed which is</w:t>
      </w:r>
      <w:r>
        <w:t xml:space="preserve"> significantly higher compared to 7.3% in 2013-2014. The proportion of partially disclosed requests decreased by 4.8% compared to 2013-2014 (37.0% in 2013-2014 and 32.2% in 2014-2015).</w:t>
      </w:r>
    </w:p>
    <w:p w:rsidR="000430A4" w:rsidRDefault="000430A4" w:rsidP="000430A4">
      <w:pPr>
        <w:pStyle w:val="Heading3"/>
        <w:spacing w:after="200"/>
      </w:pPr>
      <w:r w:rsidRPr="005E2D59">
        <w:t>Figure 4: Level of Disclosure</w:t>
      </w:r>
      <w:r w:rsidRPr="001E28D5">
        <w:rPr>
          <w:noProof/>
        </w:rPr>
        <w:drawing>
          <wp:inline distT="0" distB="0" distL="0" distR="0">
            <wp:extent cx="5960853" cy="3838755"/>
            <wp:effectExtent l="0" t="0" r="1905" b="0"/>
            <wp:docPr id="5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430A4" w:rsidRPr="00D2368F" w:rsidRDefault="000430A4" w:rsidP="000430A4">
      <w:pPr>
        <w:pStyle w:val="Heading4"/>
      </w:pPr>
      <w:r>
        <w:t>Exemptions</w:t>
      </w:r>
    </w:p>
    <w:p w:rsidR="000430A4" w:rsidRPr="00000BC9" w:rsidRDefault="000430A4" w:rsidP="000430A4">
      <w:pPr>
        <w:jc w:val="both"/>
      </w:pPr>
      <w:r w:rsidRPr="00000BC9">
        <w:t>ISED applied 769 exemptions in 2014-2015 compared to 1,011 the previous year. We observed a decrease in the average number of exemptions used per completed request compared to the previous period (1.17 in 2013-2014 to 1.09 in 2014-2015) (see Table 2).</w:t>
      </w:r>
    </w:p>
    <w:p w:rsidR="000430A4" w:rsidRPr="00000BC9" w:rsidRDefault="000430A4" w:rsidP="000430A4">
      <w:pPr>
        <w:jc w:val="both"/>
      </w:pPr>
      <w:r w:rsidRPr="00000BC9">
        <w:t>The most common exemptions used in 2014-2015 were section 21 (Operations of Government) (41.9%), followed by section 20 (Third-Party Information) (19.5%) and section 19 (Personal Information) (14.6%). We observed that exemptions applied according to the aforementioned provisions decreased from the previous period.</w:t>
      </w:r>
    </w:p>
    <w:p w:rsidR="000430A4" w:rsidRPr="00916BD0" w:rsidRDefault="000430A4" w:rsidP="000430A4">
      <w:pPr>
        <w:pStyle w:val="Heading3"/>
      </w:pPr>
      <w:r w:rsidRPr="00916BD0">
        <w:t xml:space="preserve">Table </w:t>
      </w:r>
      <w:r>
        <w:t>2</w:t>
      </w:r>
      <w:r w:rsidRPr="00916BD0">
        <w:t>: Exemptions</w:t>
      </w:r>
    </w:p>
    <w:tbl>
      <w:tblPr>
        <w:tblW w:w="9607" w:type="dxa"/>
        <w:tblInd w:w="98" w:type="dxa"/>
        <w:tblLook w:val="04A0"/>
      </w:tblPr>
      <w:tblGrid>
        <w:gridCol w:w="5518"/>
        <w:gridCol w:w="1363"/>
        <w:gridCol w:w="1363"/>
        <w:gridCol w:w="1363"/>
      </w:tblGrid>
      <w:tr w:rsidR="000430A4" w:rsidRPr="00F72BDE" w:rsidTr="002F32F0">
        <w:trPr>
          <w:trHeight w:val="308"/>
        </w:trPr>
        <w:tc>
          <w:tcPr>
            <w:tcW w:w="5518"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F72BDE" w:rsidRDefault="000430A4" w:rsidP="002F32F0">
            <w:pPr>
              <w:spacing w:after="0" w:line="240" w:lineRule="auto"/>
              <w:rPr>
                <w:rFonts w:ascii="Calibri" w:eastAsia="Times New Roman" w:hAnsi="Calibri" w:cs="Times New Roman"/>
                <w:color w:val="000000"/>
              </w:rPr>
            </w:pPr>
            <w:r w:rsidRPr="00F72BDE">
              <w:rPr>
                <w:rFonts w:ascii="Calibri" w:eastAsia="Times New Roman" w:hAnsi="Calibri" w:cs="Times New Roman"/>
                <w:color w:val="000000"/>
              </w:rPr>
              <w:t xml:space="preserve">Exemptions </w:t>
            </w:r>
          </w:p>
        </w:tc>
        <w:tc>
          <w:tcPr>
            <w:tcW w:w="1363" w:type="dxa"/>
            <w:tcBorders>
              <w:top w:val="single" w:sz="8" w:space="0" w:color="auto"/>
              <w:left w:val="nil"/>
              <w:bottom w:val="single" w:sz="8" w:space="0" w:color="auto"/>
              <w:right w:val="nil"/>
            </w:tcBorders>
            <w:shd w:val="clear" w:color="000000" w:fill="DBE5F1"/>
            <w:noWrap/>
            <w:vAlign w:val="bottom"/>
            <w:hideMark/>
          </w:tcPr>
          <w:p w:rsidR="000430A4" w:rsidRPr="00F72BDE" w:rsidRDefault="000430A4" w:rsidP="002F32F0">
            <w:pPr>
              <w:spacing w:after="0" w:line="240" w:lineRule="auto"/>
              <w:jc w:val="center"/>
              <w:rPr>
                <w:rFonts w:ascii="Calibri" w:eastAsia="Times New Roman" w:hAnsi="Calibri" w:cs="Times New Roman"/>
                <w:b/>
                <w:bCs/>
                <w:color w:val="000000"/>
              </w:rPr>
            </w:pPr>
            <w:r w:rsidRPr="00F72BDE">
              <w:rPr>
                <w:rFonts w:ascii="Calibri" w:eastAsia="Times New Roman" w:hAnsi="Calibri" w:cs="Times New Roman"/>
                <w:b/>
                <w:bCs/>
                <w:color w:val="000000"/>
              </w:rPr>
              <w:t>2012-2013</w:t>
            </w:r>
          </w:p>
        </w:tc>
        <w:tc>
          <w:tcPr>
            <w:tcW w:w="1363" w:type="dxa"/>
            <w:tcBorders>
              <w:top w:val="single" w:sz="8" w:space="0" w:color="auto"/>
              <w:left w:val="nil"/>
              <w:bottom w:val="single" w:sz="8" w:space="0" w:color="auto"/>
              <w:right w:val="nil"/>
            </w:tcBorders>
            <w:shd w:val="clear" w:color="000000" w:fill="DBE5F1"/>
            <w:noWrap/>
            <w:vAlign w:val="bottom"/>
            <w:hideMark/>
          </w:tcPr>
          <w:p w:rsidR="000430A4" w:rsidRPr="00F72BDE" w:rsidRDefault="000430A4" w:rsidP="002F32F0">
            <w:pPr>
              <w:spacing w:after="0" w:line="240" w:lineRule="auto"/>
              <w:jc w:val="center"/>
              <w:rPr>
                <w:rFonts w:ascii="Calibri" w:eastAsia="Times New Roman" w:hAnsi="Calibri" w:cs="Times New Roman"/>
                <w:b/>
                <w:bCs/>
                <w:color w:val="000000"/>
              </w:rPr>
            </w:pPr>
            <w:r w:rsidRPr="00F72BDE">
              <w:rPr>
                <w:rFonts w:ascii="Calibri" w:eastAsia="Times New Roman" w:hAnsi="Calibri" w:cs="Times New Roman"/>
                <w:b/>
                <w:bCs/>
                <w:color w:val="000000"/>
              </w:rPr>
              <w:t>2013-2014</w:t>
            </w:r>
          </w:p>
        </w:tc>
        <w:tc>
          <w:tcPr>
            <w:tcW w:w="1363"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F72BDE" w:rsidRDefault="000430A4" w:rsidP="002F32F0">
            <w:pPr>
              <w:spacing w:after="0" w:line="240" w:lineRule="auto"/>
              <w:jc w:val="center"/>
              <w:rPr>
                <w:rFonts w:ascii="Calibri" w:eastAsia="Times New Roman" w:hAnsi="Calibri" w:cs="Times New Roman"/>
                <w:b/>
                <w:bCs/>
                <w:color w:val="000000"/>
              </w:rPr>
            </w:pPr>
            <w:r w:rsidRPr="00F72BDE">
              <w:rPr>
                <w:rFonts w:ascii="Calibri" w:eastAsia="Times New Roman" w:hAnsi="Calibri" w:cs="Times New Roman"/>
                <w:b/>
                <w:bCs/>
                <w:color w:val="000000"/>
              </w:rPr>
              <w:t>2014-2015</w:t>
            </w:r>
          </w:p>
        </w:tc>
      </w:tr>
      <w:tr w:rsidR="000430A4" w:rsidRPr="00F72BDE" w:rsidTr="002F32F0">
        <w:trPr>
          <w:trHeight w:val="293"/>
        </w:trPr>
        <w:tc>
          <w:tcPr>
            <w:tcW w:w="5518" w:type="dxa"/>
            <w:tcBorders>
              <w:top w:val="nil"/>
              <w:left w:val="single" w:sz="8" w:space="0" w:color="auto"/>
              <w:bottom w:val="nil"/>
              <w:right w:val="nil"/>
            </w:tcBorders>
            <w:shd w:val="clear" w:color="auto" w:fill="auto"/>
            <w:noWrap/>
            <w:vAlign w:val="bottom"/>
            <w:hideMark/>
          </w:tcPr>
          <w:p w:rsidR="000430A4" w:rsidRPr="00F72BDE"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F72BDE">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F72BDE">
              <w:rPr>
                <w:rFonts w:ascii="Calibri" w:eastAsia="Times New Roman" w:hAnsi="Calibri" w:cs="Times New Roman"/>
                <w:color w:val="000000"/>
              </w:rPr>
              <w:t xml:space="preserve"> </w:t>
            </w:r>
          </w:p>
        </w:tc>
        <w:tc>
          <w:tcPr>
            <w:tcW w:w="1363" w:type="dxa"/>
            <w:tcBorders>
              <w:top w:val="nil"/>
              <w:left w:val="nil"/>
              <w:bottom w:val="nil"/>
              <w:right w:val="nil"/>
            </w:tcBorders>
            <w:shd w:val="clear" w:color="auto" w:fill="auto"/>
            <w:noWrap/>
            <w:vAlign w:val="bottom"/>
            <w:hideMark/>
          </w:tcPr>
          <w:p w:rsidR="000430A4" w:rsidRPr="00F72BDE" w:rsidRDefault="000430A4" w:rsidP="002F32F0">
            <w:pPr>
              <w:spacing w:after="0" w:line="240" w:lineRule="auto"/>
              <w:jc w:val="center"/>
              <w:rPr>
                <w:rFonts w:ascii="Calibri" w:eastAsia="Times New Roman" w:hAnsi="Calibri" w:cs="Times New Roman"/>
                <w:color w:val="000000"/>
              </w:rPr>
            </w:pPr>
            <w:r w:rsidRPr="00F72BDE">
              <w:rPr>
                <w:rFonts w:ascii="Calibri" w:eastAsia="Times New Roman" w:hAnsi="Calibri" w:cs="Times New Roman"/>
                <w:color w:val="000000"/>
              </w:rPr>
              <w:t>1</w:t>
            </w:r>
            <w:r w:rsidR="000A6BE0">
              <w:rPr>
                <w:rFonts w:ascii="Calibri" w:eastAsia="Times New Roman" w:hAnsi="Calibri" w:cs="Times New Roman"/>
                <w:color w:val="000000"/>
              </w:rPr>
              <w:t>,</w:t>
            </w:r>
            <w:r w:rsidRPr="00F72BDE">
              <w:rPr>
                <w:rFonts w:ascii="Calibri" w:eastAsia="Times New Roman" w:hAnsi="Calibri" w:cs="Times New Roman"/>
                <w:color w:val="000000"/>
              </w:rPr>
              <w:t>367</w:t>
            </w:r>
          </w:p>
        </w:tc>
        <w:tc>
          <w:tcPr>
            <w:tcW w:w="1363" w:type="dxa"/>
            <w:tcBorders>
              <w:top w:val="nil"/>
              <w:left w:val="nil"/>
              <w:bottom w:val="nil"/>
              <w:right w:val="nil"/>
            </w:tcBorders>
            <w:shd w:val="clear" w:color="auto" w:fill="auto"/>
            <w:noWrap/>
            <w:vAlign w:val="bottom"/>
            <w:hideMark/>
          </w:tcPr>
          <w:p w:rsidR="000430A4" w:rsidRPr="00F72BDE" w:rsidRDefault="000430A4" w:rsidP="002F32F0">
            <w:pPr>
              <w:spacing w:after="0" w:line="240" w:lineRule="auto"/>
              <w:jc w:val="center"/>
              <w:rPr>
                <w:rFonts w:ascii="Calibri" w:eastAsia="Times New Roman" w:hAnsi="Calibri" w:cs="Times New Roman"/>
                <w:color w:val="000000"/>
              </w:rPr>
            </w:pPr>
            <w:r w:rsidRPr="00F72BDE">
              <w:rPr>
                <w:rFonts w:ascii="Calibri" w:eastAsia="Times New Roman" w:hAnsi="Calibri" w:cs="Times New Roman"/>
                <w:color w:val="000000"/>
              </w:rPr>
              <w:t>1</w:t>
            </w:r>
            <w:r w:rsidR="000A6BE0">
              <w:rPr>
                <w:rFonts w:ascii="Calibri" w:eastAsia="Times New Roman" w:hAnsi="Calibri" w:cs="Times New Roman"/>
                <w:color w:val="000000"/>
              </w:rPr>
              <w:t>,</w:t>
            </w:r>
            <w:r w:rsidRPr="00F72BDE">
              <w:rPr>
                <w:rFonts w:ascii="Calibri" w:eastAsia="Times New Roman" w:hAnsi="Calibri" w:cs="Times New Roman"/>
                <w:color w:val="000000"/>
              </w:rPr>
              <w:t>011</w:t>
            </w:r>
          </w:p>
        </w:tc>
        <w:tc>
          <w:tcPr>
            <w:tcW w:w="1363" w:type="dxa"/>
            <w:tcBorders>
              <w:top w:val="nil"/>
              <w:left w:val="nil"/>
              <w:bottom w:val="nil"/>
              <w:right w:val="single" w:sz="8" w:space="0" w:color="auto"/>
            </w:tcBorders>
            <w:shd w:val="clear" w:color="auto" w:fill="auto"/>
            <w:noWrap/>
            <w:vAlign w:val="bottom"/>
            <w:hideMark/>
          </w:tcPr>
          <w:p w:rsidR="000430A4" w:rsidRPr="00F72BDE" w:rsidRDefault="000430A4" w:rsidP="002F32F0">
            <w:pPr>
              <w:spacing w:after="0" w:line="240" w:lineRule="auto"/>
              <w:jc w:val="center"/>
              <w:rPr>
                <w:rFonts w:ascii="Calibri" w:eastAsia="Times New Roman" w:hAnsi="Calibri" w:cs="Times New Roman"/>
                <w:color w:val="000000"/>
              </w:rPr>
            </w:pPr>
            <w:r w:rsidRPr="00F72BDE">
              <w:rPr>
                <w:rFonts w:ascii="Calibri" w:eastAsia="Times New Roman" w:hAnsi="Calibri" w:cs="Times New Roman"/>
                <w:color w:val="000000"/>
              </w:rPr>
              <w:t>769</w:t>
            </w:r>
          </w:p>
        </w:tc>
      </w:tr>
      <w:tr w:rsidR="000430A4" w:rsidRPr="00F72BDE" w:rsidTr="002F32F0">
        <w:trPr>
          <w:trHeight w:val="293"/>
        </w:trPr>
        <w:tc>
          <w:tcPr>
            <w:tcW w:w="5518" w:type="dxa"/>
            <w:tcBorders>
              <w:top w:val="nil"/>
              <w:left w:val="single" w:sz="8" w:space="0" w:color="auto"/>
              <w:bottom w:val="nil"/>
              <w:right w:val="nil"/>
            </w:tcBorders>
            <w:shd w:val="clear" w:color="auto" w:fill="auto"/>
            <w:noWrap/>
            <w:vAlign w:val="bottom"/>
            <w:hideMark/>
          </w:tcPr>
          <w:p w:rsidR="000430A4" w:rsidRPr="00F72BDE" w:rsidRDefault="000430A4" w:rsidP="002F32F0">
            <w:pPr>
              <w:spacing w:after="0" w:line="240" w:lineRule="auto"/>
              <w:rPr>
                <w:rFonts w:ascii="Calibri" w:eastAsia="Times New Roman" w:hAnsi="Calibri" w:cs="Times New Roman"/>
                <w:color w:val="000000"/>
              </w:rPr>
            </w:pPr>
            <w:r w:rsidRPr="00F72BDE">
              <w:rPr>
                <w:rFonts w:ascii="Calibri" w:eastAsia="Times New Roman" w:hAnsi="Calibri" w:cs="Times New Roman"/>
                <w:color w:val="000000"/>
              </w:rPr>
              <w:t>Total number of completed requests</w:t>
            </w:r>
          </w:p>
        </w:tc>
        <w:tc>
          <w:tcPr>
            <w:tcW w:w="1363" w:type="dxa"/>
            <w:tcBorders>
              <w:top w:val="nil"/>
              <w:left w:val="nil"/>
              <w:bottom w:val="nil"/>
              <w:right w:val="nil"/>
            </w:tcBorders>
            <w:shd w:val="clear" w:color="auto" w:fill="auto"/>
            <w:noWrap/>
            <w:vAlign w:val="bottom"/>
            <w:hideMark/>
          </w:tcPr>
          <w:p w:rsidR="000430A4" w:rsidRPr="00F72BDE" w:rsidRDefault="000430A4" w:rsidP="002F32F0">
            <w:pPr>
              <w:spacing w:after="0" w:line="240" w:lineRule="auto"/>
              <w:jc w:val="center"/>
              <w:rPr>
                <w:rFonts w:ascii="Calibri" w:eastAsia="Times New Roman" w:hAnsi="Calibri" w:cs="Times New Roman"/>
                <w:color w:val="000000"/>
              </w:rPr>
            </w:pPr>
            <w:r w:rsidRPr="00F72BDE">
              <w:rPr>
                <w:rFonts w:ascii="Calibri" w:eastAsia="Times New Roman" w:hAnsi="Calibri" w:cs="Times New Roman"/>
                <w:color w:val="000000"/>
              </w:rPr>
              <w:t>860</w:t>
            </w:r>
          </w:p>
        </w:tc>
        <w:tc>
          <w:tcPr>
            <w:tcW w:w="1363" w:type="dxa"/>
            <w:tcBorders>
              <w:top w:val="nil"/>
              <w:left w:val="nil"/>
              <w:bottom w:val="nil"/>
              <w:right w:val="nil"/>
            </w:tcBorders>
            <w:shd w:val="clear" w:color="auto" w:fill="auto"/>
            <w:noWrap/>
            <w:vAlign w:val="bottom"/>
            <w:hideMark/>
          </w:tcPr>
          <w:p w:rsidR="000430A4" w:rsidRPr="00F72BDE" w:rsidRDefault="000430A4" w:rsidP="002F32F0">
            <w:pPr>
              <w:spacing w:after="0" w:line="240" w:lineRule="auto"/>
              <w:jc w:val="center"/>
              <w:rPr>
                <w:rFonts w:ascii="Calibri" w:eastAsia="Times New Roman" w:hAnsi="Calibri" w:cs="Times New Roman"/>
                <w:color w:val="000000"/>
              </w:rPr>
            </w:pPr>
            <w:r w:rsidRPr="00F72BDE">
              <w:rPr>
                <w:rFonts w:ascii="Calibri" w:eastAsia="Times New Roman" w:hAnsi="Calibri" w:cs="Times New Roman"/>
                <w:color w:val="000000"/>
              </w:rPr>
              <w:t>865</w:t>
            </w:r>
          </w:p>
        </w:tc>
        <w:tc>
          <w:tcPr>
            <w:tcW w:w="1363" w:type="dxa"/>
            <w:tcBorders>
              <w:top w:val="nil"/>
              <w:left w:val="nil"/>
              <w:bottom w:val="nil"/>
              <w:right w:val="single" w:sz="8" w:space="0" w:color="auto"/>
            </w:tcBorders>
            <w:shd w:val="clear" w:color="auto" w:fill="auto"/>
            <w:noWrap/>
            <w:vAlign w:val="bottom"/>
            <w:hideMark/>
          </w:tcPr>
          <w:p w:rsidR="000430A4" w:rsidRPr="00F72BDE" w:rsidRDefault="000430A4" w:rsidP="002F32F0">
            <w:pPr>
              <w:spacing w:after="0" w:line="240" w:lineRule="auto"/>
              <w:jc w:val="center"/>
              <w:rPr>
                <w:rFonts w:ascii="Calibri" w:eastAsia="Times New Roman" w:hAnsi="Calibri" w:cs="Times New Roman"/>
                <w:color w:val="000000"/>
              </w:rPr>
            </w:pPr>
            <w:r w:rsidRPr="00F72BDE">
              <w:rPr>
                <w:rFonts w:ascii="Calibri" w:eastAsia="Times New Roman" w:hAnsi="Calibri" w:cs="Times New Roman"/>
                <w:color w:val="000000"/>
              </w:rPr>
              <w:t>705</w:t>
            </w:r>
          </w:p>
        </w:tc>
      </w:tr>
      <w:tr w:rsidR="000430A4" w:rsidRPr="00F72BDE" w:rsidTr="002F32F0">
        <w:trPr>
          <w:trHeight w:val="308"/>
        </w:trPr>
        <w:tc>
          <w:tcPr>
            <w:tcW w:w="5518" w:type="dxa"/>
            <w:tcBorders>
              <w:top w:val="nil"/>
              <w:left w:val="single" w:sz="8" w:space="0" w:color="auto"/>
              <w:bottom w:val="single" w:sz="8" w:space="0" w:color="auto"/>
              <w:right w:val="nil"/>
            </w:tcBorders>
            <w:shd w:val="clear" w:color="000000" w:fill="DBE5F1"/>
            <w:noWrap/>
            <w:vAlign w:val="bottom"/>
            <w:hideMark/>
          </w:tcPr>
          <w:p w:rsidR="000430A4" w:rsidRPr="00F72BDE" w:rsidRDefault="000430A4" w:rsidP="002F32F0">
            <w:pPr>
              <w:spacing w:after="0" w:line="240" w:lineRule="auto"/>
              <w:rPr>
                <w:rFonts w:ascii="Calibri" w:eastAsia="Times New Roman" w:hAnsi="Calibri" w:cs="Times New Roman"/>
                <w:color w:val="000000"/>
              </w:rPr>
            </w:pPr>
            <w:r w:rsidRPr="00F72BDE">
              <w:rPr>
                <w:rFonts w:ascii="Calibri" w:eastAsia="Times New Roman" w:hAnsi="Calibri" w:cs="Times New Roman"/>
                <w:color w:val="000000"/>
              </w:rPr>
              <w:t xml:space="preserve">Average number of exemptions per request </w:t>
            </w:r>
          </w:p>
        </w:tc>
        <w:tc>
          <w:tcPr>
            <w:tcW w:w="1363" w:type="dxa"/>
            <w:tcBorders>
              <w:top w:val="nil"/>
              <w:left w:val="nil"/>
              <w:bottom w:val="single" w:sz="8" w:space="0" w:color="auto"/>
              <w:right w:val="nil"/>
            </w:tcBorders>
            <w:shd w:val="clear" w:color="000000" w:fill="DBE5F1"/>
            <w:noWrap/>
            <w:vAlign w:val="bottom"/>
            <w:hideMark/>
          </w:tcPr>
          <w:p w:rsidR="000430A4" w:rsidRPr="00F72BDE"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1.59</w:t>
            </w:r>
          </w:p>
        </w:tc>
        <w:tc>
          <w:tcPr>
            <w:tcW w:w="1363" w:type="dxa"/>
            <w:tcBorders>
              <w:top w:val="nil"/>
              <w:left w:val="nil"/>
              <w:bottom w:val="single" w:sz="8" w:space="0" w:color="auto"/>
              <w:right w:val="nil"/>
            </w:tcBorders>
            <w:shd w:val="clear" w:color="000000" w:fill="DBE5F1"/>
            <w:noWrap/>
            <w:vAlign w:val="bottom"/>
            <w:hideMark/>
          </w:tcPr>
          <w:p w:rsidR="000430A4" w:rsidRPr="00F72BDE"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1.17</w:t>
            </w:r>
          </w:p>
        </w:tc>
        <w:tc>
          <w:tcPr>
            <w:tcW w:w="1363" w:type="dxa"/>
            <w:tcBorders>
              <w:top w:val="nil"/>
              <w:left w:val="nil"/>
              <w:bottom w:val="single" w:sz="8" w:space="0" w:color="auto"/>
              <w:right w:val="single" w:sz="8" w:space="0" w:color="auto"/>
            </w:tcBorders>
            <w:shd w:val="clear" w:color="000000" w:fill="DBE5F1"/>
            <w:noWrap/>
            <w:vAlign w:val="bottom"/>
            <w:hideMark/>
          </w:tcPr>
          <w:p w:rsidR="000430A4" w:rsidRPr="00F72BDE"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1.09</w:t>
            </w:r>
          </w:p>
        </w:tc>
      </w:tr>
    </w:tbl>
    <w:p w:rsidR="000430A4" w:rsidRDefault="000430A4" w:rsidP="000430A4">
      <w:pPr>
        <w:pStyle w:val="Heading2"/>
        <w:spacing w:before="240"/>
      </w:pPr>
    </w:p>
    <w:p w:rsidR="000430A4" w:rsidRDefault="000430A4" w:rsidP="000430A4">
      <w:r>
        <w:br w:type="page"/>
      </w:r>
    </w:p>
    <w:p w:rsidR="000430A4" w:rsidRPr="0099525A" w:rsidRDefault="000430A4" w:rsidP="000430A4">
      <w:pPr>
        <w:pStyle w:val="Heading2"/>
        <w:spacing w:before="240"/>
      </w:pPr>
      <w:r>
        <w:t>Complaints</w:t>
      </w:r>
    </w:p>
    <w:p w:rsidR="000430A4" w:rsidRDefault="000430A4" w:rsidP="000430A4">
      <w:pPr>
        <w:jc w:val="both"/>
      </w:pPr>
      <w:r w:rsidRPr="00826852">
        <w:t>The OIC received 11 complaints</w:t>
      </w:r>
      <w:r>
        <w:rPr>
          <w:rStyle w:val="FootnoteReference"/>
        </w:rPr>
        <w:footnoteReference w:id="63"/>
      </w:r>
      <w:r w:rsidRPr="00826852">
        <w:t xml:space="preserve"> against ISED in 2014-2015, which </w:t>
      </w:r>
      <w:r>
        <w:t xml:space="preserve">is </w:t>
      </w:r>
      <w:r w:rsidRPr="00826852">
        <w:t xml:space="preserve">a substantial decrease compared to </w:t>
      </w:r>
      <w:r>
        <w:t xml:space="preserve">the </w:t>
      </w:r>
      <w:r w:rsidRPr="00826852">
        <w:t>42 complaints received in the previous reporting period. Similar to the last period, most o</w:t>
      </w:r>
      <w:r>
        <w:t>f the complaints were refusals.</w:t>
      </w:r>
    </w:p>
    <w:p w:rsidR="000430A4" w:rsidRDefault="000430A4" w:rsidP="000430A4">
      <w:r w:rsidRPr="00A25827">
        <w:t>In this reporting period, the OIC received 8 refusal and 3 administrative complaints, compared to 36 refusal and 6 administrative complaints in 2013-2014</w:t>
      </w:r>
      <w:r>
        <w:t xml:space="preserve">. </w:t>
      </w:r>
      <w:r w:rsidRPr="00A25827">
        <w:t>Out of those 11 complaints, 2 were well-founded, 2 were not well-founded, 6 were discontinued and 1 was pending resolution.</w:t>
      </w:r>
    </w:p>
    <w:p w:rsidR="000430A4" w:rsidRDefault="000430A4" w:rsidP="000430A4">
      <w:r>
        <w:br w:type="page"/>
      </w:r>
    </w:p>
    <w:p w:rsidR="000430A4" w:rsidRPr="00E61D44" w:rsidRDefault="000430A4" w:rsidP="000430A4">
      <w:pPr>
        <w:pStyle w:val="Heading1"/>
      </w:pPr>
      <w:r w:rsidRPr="00BD4EAE">
        <w:t>Public Services and Procurement Canada</w:t>
      </w:r>
      <w:r w:rsidRPr="00E61D44">
        <w:rPr>
          <w:rStyle w:val="FootnoteReference"/>
        </w:rPr>
        <w:footnoteReference w:id="64"/>
      </w:r>
    </w:p>
    <w:p w:rsidR="000430A4" w:rsidRPr="00340833" w:rsidRDefault="000430A4" w:rsidP="000430A4">
      <w:pPr>
        <w:pStyle w:val="Heading2"/>
      </w:pPr>
      <w:r w:rsidRPr="00340833">
        <w:t xml:space="preserve">Overall </w:t>
      </w:r>
      <w:r w:rsidRPr="002F6A86">
        <w:t>performance</w:t>
      </w:r>
      <w:r>
        <w:rPr>
          <w:rStyle w:val="FootnoteReference"/>
        </w:rPr>
        <w:footnoteReference w:id="65"/>
      </w:r>
    </w:p>
    <w:p w:rsidR="000430A4" w:rsidRPr="00467C92" w:rsidRDefault="000430A4" w:rsidP="000430A4">
      <w:pPr>
        <w:jc w:val="both"/>
      </w:pPr>
      <w:r w:rsidRPr="00467C92">
        <w:t xml:space="preserve">In 2014-2015, Public Services and Procurement Canada (PSPC) improved the percentage of requests completed within 30 days by </w:t>
      </w:r>
      <w:r>
        <w:t>8.</w:t>
      </w:r>
      <w:r w:rsidRPr="00467C92">
        <w:t>9% while experiencing a slight decrease in the number of requests received. PSPC also improved the percentage of fully disclosed records by 3.0%. This report provides comparative statistics for the last three periods (2012-2015).</w:t>
      </w:r>
    </w:p>
    <w:p w:rsidR="000430A4" w:rsidRPr="002F6A86" w:rsidRDefault="000430A4" w:rsidP="000430A4">
      <w:pPr>
        <w:pStyle w:val="Heading2"/>
      </w:pPr>
      <w:r w:rsidRPr="002F6A86">
        <w:t>Workload</w:t>
      </w:r>
    </w:p>
    <w:p w:rsidR="000430A4" w:rsidRPr="00467C92" w:rsidRDefault="000430A4" w:rsidP="000430A4">
      <w:pPr>
        <w:jc w:val="both"/>
      </w:pPr>
      <w:r w:rsidRPr="00467C92">
        <w:t xml:space="preserve">PSPC received 691 requests under the </w:t>
      </w:r>
      <w:r w:rsidRPr="00467C92">
        <w:rPr>
          <w:i/>
        </w:rPr>
        <w:t>Access to</w:t>
      </w:r>
      <w:r w:rsidRPr="00467C92">
        <w:t xml:space="preserve"> </w:t>
      </w:r>
      <w:r w:rsidRPr="00467C92">
        <w:rPr>
          <w:i/>
        </w:rPr>
        <w:t xml:space="preserve">Information Act </w:t>
      </w:r>
      <w:r w:rsidRPr="00467C92">
        <w:t>(the Act), representing 1</w:t>
      </w:r>
      <w:r>
        <w:t>.0</w:t>
      </w:r>
      <w:r w:rsidRPr="00467C92">
        <w:t xml:space="preserve">% of total requests received across government in 2014-2015. In </w:t>
      </w:r>
      <w:r>
        <w:t>comparison,</w:t>
      </w:r>
      <w:r w:rsidRPr="00467C92">
        <w:t xml:space="preserve"> PSPC received 718 requests in 2013-2014. The majority of requests</w:t>
      </w:r>
      <w:r>
        <w:t xml:space="preserve"> received</w:t>
      </w:r>
      <w:r w:rsidRPr="00467C92">
        <w:t xml:space="preserve"> in 2014-2015 originated from the media (36.8%), followed by the public (25</w:t>
      </w:r>
      <w:r>
        <w:t>.2</w:t>
      </w:r>
      <w:r w:rsidRPr="00467C92">
        <w:t>%) and the business sector (24.5%). We note a reduction in the volume of requests from nearly all sources, with the exception of the media which increased by 31.6% from 2013-2014.</w:t>
      </w:r>
    </w:p>
    <w:p w:rsidR="000430A4" w:rsidRPr="00A779FB" w:rsidRDefault="000430A4" w:rsidP="000430A4">
      <w:pPr>
        <w:jc w:val="both"/>
      </w:pPr>
      <w:r w:rsidRPr="00467C92">
        <w:t>PSPC completed 641 requests this reporting period. The completion rate</w:t>
      </w:r>
      <w:r w:rsidRPr="00467C92">
        <w:rPr>
          <w:rStyle w:val="FootnoteReference"/>
        </w:rPr>
        <w:footnoteReference w:id="66"/>
      </w:r>
      <w:r w:rsidRPr="00467C92">
        <w:t xml:space="preserve"> was 74.4%, which is lower than the government-wide rate of 85.1%. In 2013-2014, the completion rate for PSPC was 83.0%. PSPC also received 182 informal requests in 2014-2015 and </w:t>
      </w:r>
      <w:r>
        <w:t>79.7</w:t>
      </w:r>
      <w:r w:rsidRPr="00467C92">
        <w:t xml:space="preserve">% were completed within 30 days. The number of consultations received by PSPC from other federal government institutions increased from 331 </w:t>
      </w:r>
      <w:r>
        <w:t xml:space="preserve">in 2013-2014 </w:t>
      </w:r>
      <w:r w:rsidRPr="00467C92">
        <w:t>to 375.</w:t>
      </w:r>
    </w:p>
    <w:p w:rsidR="000430A4" w:rsidRDefault="000430A4" w:rsidP="000430A4">
      <w:pPr>
        <w:jc w:val="both"/>
      </w:pPr>
      <w:r>
        <w:t xml:space="preserve">In total, PSPC processed 194,435 pages which represents a significant reduction compared to the 255,377 pages processed in 2013-2014. We note that the </w:t>
      </w:r>
      <w:r w:rsidRPr="00A779FB">
        <w:t>average number of pages processed per completed request</w:t>
      </w:r>
      <w:r>
        <w:t xml:space="preserve"> decreased by 7 pages (360 pages in 2013-2014 to 352 in 2014-2015).</w:t>
      </w:r>
    </w:p>
    <w:p w:rsidR="000430A4" w:rsidRPr="00725DA3" w:rsidRDefault="000430A4" w:rsidP="000430A4">
      <w:pPr>
        <w:jc w:val="both"/>
      </w:pPr>
      <w:r w:rsidRPr="00725DA3">
        <w:t xml:space="preserve">The information released by </w:t>
      </w:r>
      <w:r>
        <w:t>PSPC</w:t>
      </w:r>
      <w:r w:rsidRPr="00725DA3">
        <w:t xml:space="preserve"> </w:t>
      </w:r>
      <w:r>
        <w:t xml:space="preserve">in 2014-2015 </w:t>
      </w:r>
      <w:r w:rsidRPr="00725DA3">
        <w:t xml:space="preserve">was mostly </w:t>
      </w:r>
      <w:r>
        <w:t>in paper format: 315 requests in paper format and 168 requests in electronic format.</w:t>
      </w:r>
    </w:p>
    <w:p w:rsidR="000430A4" w:rsidRPr="002F6A86" w:rsidRDefault="000430A4" w:rsidP="000430A4">
      <w:pPr>
        <w:pStyle w:val="Heading3"/>
      </w:pPr>
      <w:r w:rsidRPr="002F6A86">
        <w:t>Table 1: Workload</w:t>
      </w:r>
    </w:p>
    <w:tbl>
      <w:tblPr>
        <w:tblW w:w="9660" w:type="dxa"/>
        <w:tblInd w:w="98" w:type="dxa"/>
        <w:tblLook w:val="04A0"/>
      </w:tblPr>
      <w:tblGrid>
        <w:gridCol w:w="6123"/>
        <w:gridCol w:w="1179"/>
        <w:gridCol w:w="1179"/>
        <w:gridCol w:w="1179"/>
      </w:tblGrid>
      <w:tr w:rsidR="000430A4" w:rsidRPr="00E25DEB" w:rsidTr="002F32F0">
        <w:trPr>
          <w:trHeight w:val="442"/>
        </w:trPr>
        <w:tc>
          <w:tcPr>
            <w:tcW w:w="6123" w:type="dxa"/>
            <w:tcBorders>
              <w:top w:val="single" w:sz="4" w:space="0" w:color="auto"/>
              <w:left w:val="single" w:sz="4" w:space="0" w:color="auto"/>
              <w:bottom w:val="single" w:sz="8" w:space="0" w:color="auto"/>
              <w:right w:val="nil"/>
            </w:tcBorders>
            <w:shd w:val="clear" w:color="auto" w:fill="auto"/>
            <w:noWrap/>
            <w:vAlign w:val="bottom"/>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 xml:space="preserve">Measures </w:t>
            </w:r>
          </w:p>
        </w:tc>
        <w:tc>
          <w:tcPr>
            <w:tcW w:w="1179" w:type="dxa"/>
            <w:tcBorders>
              <w:top w:val="single" w:sz="4" w:space="0" w:color="auto"/>
              <w:left w:val="nil"/>
              <w:bottom w:val="single" w:sz="8" w:space="0" w:color="auto"/>
              <w:right w:val="nil"/>
            </w:tcBorders>
            <w:shd w:val="clear" w:color="auto" w:fill="auto"/>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2012-2013</w:t>
            </w:r>
          </w:p>
        </w:tc>
        <w:tc>
          <w:tcPr>
            <w:tcW w:w="1179" w:type="dxa"/>
            <w:tcBorders>
              <w:top w:val="single" w:sz="4" w:space="0" w:color="auto"/>
              <w:left w:val="nil"/>
              <w:bottom w:val="single" w:sz="8" w:space="0" w:color="auto"/>
              <w:right w:val="nil"/>
            </w:tcBorders>
            <w:shd w:val="clear" w:color="auto" w:fill="auto"/>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2013-2014</w:t>
            </w:r>
          </w:p>
        </w:tc>
        <w:tc>
          <w:tcPr>
            <w:tcW w:w="1179" w:type="dxa"/>
            <w:tcBorders>
              <w:top w:val="single" w:sz="4" w:space="0" w:color="auto"/>
              <w:left w:val="nil"/>
              <w:bottom w:val="single" w:sz="8" w:space="0" w:color="auto"/>
              <w:right w:val="single" w:sz="4" w:space="0" w:color="auto"/>
            </w:tcBorders>
            <w:shd w:val="clear" w:color="auto" w:fill="auto"/>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2014-2015</w:t>
            </w:r>
          </w:p>
        </w:tc>
      </w:tr>
      <w:tr w:rsidR="000430A4" w:rsidRPr="00E25DEB" w:rsidTr="002F32F0">
        <w:trPr>
          <w:trHeight w:val="304"/>
        </w:trPr>
        <w:tc>
          <w:tcPr>
            <w:tcW w:w="6123" w:type="dxa"/>
            <w:tcBorders>
              <w:top w:val="nil"/>
              <w:left w:val="single" w:sz="4" w:space="0" w:color="auto"/>
              <w:bottom w:val="nil"/>
              <w:right w:val="nil"/>
            </w:tcBorders>
            <w:shd w:val="clear" w:color="000000" w:fill="DBE5F1"/>
            <w:noWrap/>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 xml:space="preserve">Number of requests received </w:t>
            </w:r>
          </w:p>
        </w:tc>
        <w:tc>
          <w:tcPr>
            <w:tcW w:w="1179" w:type="dxa"/>
            <w:tcBorders>
              <w:top w:val="nil"/>
              <w:left w:val="nil"/>
              <w:bottom w:val="nil"/>
              <w:right w:val="nil"/>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810</w:t>
            </w:r>
          </w:p>
        </w:tc>
        <w:tc>
          <w:tcPr>
            <w:tcW w:w="1179" w:type="dxa"/>
            <w:tcBorders>
              <w:top w:val="nil"/>
              <w:left w:val="nil"/>
              <w:bottom w:val="nil"/>
              <w:right w:val="nil"/>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718</w:t>
            </w:r>
          </w:p>
        </w:tc>
        <w:tc>
          <w:tcPr>
            <w:tcW w:w="1179" w:type="dxa"/>
            <w:tcBorders>
              <w:top w:val="nil"/>
              <w:left w:val="nil"/>
              <w:bottom w:val="nil"/>
              <w:right w:val="single" w:sz="4" w:space="0" w:color="auto"/>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691</w:t>
            </w:r>
          </w:p>
        </w:tc>
      </w:tr>
      <w:tr w:rsidR="000430A4" w:rsidRPr="00E25DEB" w:rsidTr="002F32F0">
        <w:trPr>
          <w:trHeight w:val="500"/>
        </w:trPr>
        <w:tc>
          <w:tcPr>
            <w:tcW w:w="6123" w:type="dxa"/>
            <w:tcBorders>
              <w:top w:val="nil"/>
              <w:left w:val="single" w:sz="4" w:space="0" w:color="auto"/>
              <w:bottom w:val="nil"/>
              <w:right w:val="nil"/>
            </w:tcBorders>
            <w:shd w:val="clear" w:color="auto" w:fill="auto"/>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Annual change (%)</w:t>
            </w:r>
          </w:p>
        </w:tc>
        <w:tc>
          <w:tcPr>
            <w:tcW w:w="1179" w:type="dxa"/>
            <w:tcBorders>
              <w:top w:val="nil"/>
              <w:left w:val="nil"/>
              <w:bottom w:val="nil"/>
              <w:right w:val="nil"/>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w:t>
            </w:r>
          </w:p>
        </w:tc>
        <w:tc>
          <w:tcPr>
            <w:tcW w:w="1179" w:type="dxa"/>
            <w:tcBorders>
              <w:top w:val="nil"/>
              <w:left w:val="nil"/>
              <w:bottom w:val="nil"/>
              <w:right w:val="nil"/>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-11.4%</w:t>
            </w:r>
          </w:p>
        </w:tc>
        <w:tc>
          <w:tcPr>
            <w:tcW w:w="1179" w:type="dxa"/>
            <w:tcBorders>
              <w:top w:val="nil"/>
              <w:left w:val="nil"/>
              <w:bottom w:val="nil"/>
              <w:right w:val="single" w:sz="4" w:space="0" w:color="auto"/>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-3.8%</w:t>
            </w:r>
          </w:p>
        </w:tc>
      </w:tr>
      <w:tr w:rsidR="000430A4" w:rsidRPr="00E25DEB" w:rsidTr="002F32F0">
        <w:trPr>
          <w:trHeight w:val="435"/>
        </w:trPr>
        <w:tc>
          <w:tcPr>
            <w:tcW w:w="6123" w:type="dxa"/>
            <w:tcBorders>
              <w:top w:val="nil"/>
              <w:left w:val="single" w:sz="4" w:space="0" w:color="auto"/>
              <w:right w:val="nil"/>
            </w:tcBorders>
            <w:shd w:val="clear" w:color="000000" w:fill="DBE5F1"/>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Completed requests</w:t>
            </w:r>
          </w:p>
        </w:tc>
        <w:tc>
          <w:tcPr>
            <w:tcW w:w="1179" w:type="dxa"/>
            <w:tcBorders>
              <w:top w:val="nil"/>
              <w:left w:val="nil"/>
              <w:right w:val="nil"/>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813</w:t>
            </w:r>
          </w:p>
        </w:tc>
        <w:tc>
          <w:tcPr>
            <w:tcW w:w="1179" w:type="dxa"/>
            <w:tcBorders>
              <w:top w:val="nil"/>
              <w:left w:val="nil"/>
              <w:right w:val="nil"/>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828</w:t>
            </w:r>
          </w:p>
        </w:tc>
        <w:tc>
          <w:tcPr>
            <w:tcW w:w="1179" w:type="dxa"/>
            <w:tcBorders>
              <w:top w:val="nil"/>
              <w:left w:val="nil"/>
              <w:right w:val="single" w:sz="4" w:space="0" w:color="auto"/>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641</w:t>
            </w:r>
          </w:p>
        </w:tc>
      </w:tr>
      <w:tr w:rsidR="000430A4" w:rsidRPr="00E25DEB" w:rsidTr="002F32F0">
        <w:trPr>
          <w:trHeight w:val="413"/>
        </w:trPr>
        <w:tc>
          <w:tcPr>
            <w:tcW w:w="6123" w:type="dxa"/>
            <w:tcBorders>
              <w:top w:val="nil"/>
              <w:left w:val="single" w:sz="4" w:space="0" w:color="auto"/>
              <w:right w:val="nil"/>
            </w:tcBorders>
            <w:shd w:val="clear" w:color="auto" w:fill="auto"/>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Annual change</w:t>
            </w:r>
          </w:p>
        </w:tc>
        <w:tc>
          <w:tcPr>
            <w:tcW w:w="1179" w:type="dxa"/>
            <w:tcBorders>
              <w:top w:val="nil"/>
              <w:left w:val="nil"/>
              <w:right w:val="nil"/>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w:t>
            </w:r>
          </w:p>
        </w:tc>
        <w:tc>
          <w:tcPr>
            <w:tcW w:w="1179" w:type="dxa"/>
            <w:tcBorders>
              <w:top w:val="nil"/>
              <w:left w:val="nil"/>
              <w:right w:val="nil"/>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1.8%</w:t>
            </w:r>
          </w:p>
        </w:tc>
        <w:tc>
          <w:tcPr>
            <w:tcW w:w="1179" w:type="dxa"/>
            <w:tcBorders>
              <w:top w:val="nil"/>
              <w:left w:val="nil"/>
              <w:right w:val="single" w:sz="4" w:space="0" w:color="auto"/>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-22.6%</w:t>
            </w:r>
          </w:p>
        </w:tc>
      </w:tr>
      <w:tr w:rsidR="000430A4" w:rsidRPr="00E25DEB" w:rsidTr="002F32F0">
        <w:trPr>
          <w:trHeight w:val="554"/>
        </w:trPr>
        <w:tc>
          <w:tcPr>
            <w:tcW w:w="6123" w:type="dxa"/>
            <w:tcBorders>
              <w:top w:val="nil"/>
              <w:left w:val="single" w:sz="4" w:space="0" w:color="auto"/>
              <w:right w:val="nil"/>
            </w:tcBorders>
            <w:shd w:val="clear" w:color="000000" w:fill="DBE5F1"/>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Number of consultations received (from other government institutions)</w:t>
            </w:r>
          </w:p>
        </w:tc>
        <w:tc>
          <w:tcPr>
            <w:tcW w:w="1179" w:type="dxa"/>
            <w:tcBorders>
              <w:top w:val="nil"/>
              <w:left w:val="nil"/>
              <w:right w:val="nil"/>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316</w:t>
            </w:r>
          </w:p>
        </w:tc>
        <w:tc>
          <w:tcPr>
            <w:tcW w:w="1179" w:type="dxa"/>
            <w:tcBorders>
              <w:top w:val="nil"/>
              <w:left w:val="nil"/>
              <w:right w:val="nil"/>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331</w:t>
            </w:r>
          </w:p>
        </w:tc>
        <w:tc>
          <w:tcPr>
            <w:tcW w:w="1179" w:type="dxa"/>
            <w:tcBorders>
              <w:top w:val="nil"/>
              <w:left w:val="nil"/>
              <w:right w:val="single" w:sz="4" w:space="0" w:color="auto"/>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375</w:t>
            </w:r>
          </w:p>
        </w:tc>
      </w:tr>
      <w:tr w:rsidR="000430A4" w:rsidRPr="00E25DEB" w:rsidTr="002F32F0">
        <w:trPr>
          <w:trHeight w:val="459"/>
        </w:trPr>
        <w:tc>
          <w:tcPr>
            <w:tcW w:w="6123" w:type="dxa"/>
            <w:tcBorders>
              <w:top w:val="nil"/>
              <w:left w:val="single" w:sz="4" w:space="0" w:color="auto"/>
              <w:bottom w:val="single" w:sz="4" w:space="0" w:color="auto"/>
              <w:right w:val="nil"/>
            </w:tcBorders>
            <w:shd w:val="clear" w:color="auto" w:fill="auto"/>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Annual change (%)</w:t>
            </w:r>
          </w:p>
        </w:tc>
        <w:tc>
          <w:tcPr>
            <w:tcW w:w="1179" w:type="dxa"/>
            <w:tcBorders>
              <w:top w:val="nil"/>
              <w:left w:val="nil"/>
              <w:bottom w:val="single" w:sz="4" w:space="0" w:color="auto"/>
              <w:right w:val="nil"/>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w:t>
            </w:r>
          </w:p>
        </w:tc>
        <w:tc>
          <w:tcPr>
            <w:tcW w:w="1179" w:type="dxa"/>
            <w:tcBorders>
              <w:top w:val="nil"/>
              <w:left w:val="nil"/>
              <w:bottom w:val="single" w:sz="4" w:space="0" w:color="auto"/>
              <w:right w:val="nil"/>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4.7%</w:t>
            </w:r>
          </w:p>
        </w:tc>
        <w:tc>
          <w:tcPr>
            <w:tcW w:w="1179" w:type="dxa"/>
            <w:tcBorders>
              <w:top w:val="nil"/>
              <w:left w:val="nil"/>
              <w:bottom w:val="single" w:sz="4" w:space="0" w:color="auto"/>
              <w:right w:val="single" w:sz="4" w:space="0" w:color="auto"/>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13.3%</w:t>
            </w:r>
          </w:p>
        </w:tc>
      </w:tr>
      <w:tr w:rsidR="000430A4" w:rsidRPr="00E25DEB" w:rsidTr="002F32F0">
        <w:trPr>
          <w:trHeight w:val="623"/>
        </w:trPr>
        <w:tc>
          <w:tcPr>
            <w:tcW w:w="6123" w:type="dxa"/>
            <w:tcBorders>
              <w:top w:val="single" w:sz="4" w:space="0" w:color="auto"/>
              <w:left w:val="single" w:sz="4" w:space="0" w:color="auto"/>
              <w:bottom w:val="nil"/>
              <w:right w:val="nil"/>
            </w:tcBorders>
            <w:shd w:val="clear" w:color="000000" w:fill="DBE5F1"/>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Average number of pages processed per request completed</w:t>
            </w:r>
          </w:p>
        </w:tc>
        <w:tc>
          <w:tcPr>
            <w:tcW w:w="1179" w:type="dxa"/>
            <w:tcBorders>
              <w:top w:val="single" w:sz="4" w:space="0" w:color="auto"/>
              <w:left w:val="nil"/>
              <w:bottom w:val="nil"/>
              <w:right w:val="nil"/>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514</w:t>
            </w:r>
          </w:p>
        </w:tc>
        <w:tc>
          <w:tcPr>
            <w:tcW w:w="1179" w:type="dxa"/>
            <w:tcBorders>
              <w:top w:val="single" w:sz="4" w:space="0" w:color="auto"/>
              <w:left w:val="nil"/>
              <w:bottom w:val="nil"/>
              <w:right w:val="nil"/>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360</w:t>
            </w:r>
          </w:p>
        </w:tc>
        <w:tc>
          <w:tcPr>
            <w:tcW w:w="1179" w:type="dxa"/>
            <w:tcBorders>
              <w:top w:val="single" w:sz="4" w:space="0" w:color="auto"/>
              <w:left w:val="nil"/>
              <w:bottom w:val="nil"/>
              <w:right w:val="single" w:sz="4" w:space="0" w:color="auto"/>
            </w:tcBorders>
            <w:shd w:val="clear" w:color="000000" w:fill="DBE5F1"/>
            <w:noWrap/>
            <w:vAlign w:val="center"/>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352</w:t>
            </w:r>
          </w:p>
        </w:tc>
      </w:tr>
      <w:tr w:rsidR="000430A4" w:rsidRPr="00E25DEB" w:rsidTr="002F32F0">
        <w:trPr>
          <w:trHeight w:val="530"/>
        </w:trPr>
        <w:tc>
          <w:tcPr>
            <w:tcW w:w="6123" w:type="dxa"/>
            <w:tcBorders>
              <w:top w:val="nil"/>
              <w:left w:val="single" w:sz="4" w:space="0" w:color="auto"/>
              <w:bottom w:val="single" w:sz="4" w:space="0" w:color="auto"/>
              <w:right w:val="nil"/>
            </w:tcBorders>
            <w:shd w:val="clear" w:color="auto" w:fill="auto"/>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 of requests for which more than 1</w:t>
            </w:r>
            <w:r w:rsidR="000A6BE0">
              <w:rPr>
                <w:rFonts w:ascii="Calibri" w:eastAsia="Times New Roman" w:hAnsi="Calibri" w:cs="Times New Roman"/>
                <w:color w:val="000000"/>
              </w:rPr>
              <w:t>,</w:t>
            </w:r>
            <w:r w:rsidRPr="00E25DEB">
              <w:rPr>
                <w:rFonts w:ascii="Calibri" w:eastAsia="Times New Roman" w:hAnsi="Calibri" w:cs="Times New Roman"/>
                <w:color w:val="000000"/>
              </w:rPr>
              <w:t>000 pages were processed</w:t>
            </w:r>
          </w:p>
        </w:tc>
        <w:tc>
          <w:tcPr>
            <w:tcW w:w="1179" w:type="dxa"/>
            <w:tcBorders>
              <w:top w:val="nil"/>
              <w:left w:val="nil"/>
              <w:bottom w:val="single" w:sz="4" w:space="0" w:color="auto"/>
              <w:right w:val="nil"/>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11.9%</w:t>
            </w:r>
          </w:p>
        </w:tc>
        <w:tc>
          <w:tcPr>
            <w:tcW w:w="1179" w:type="dxa"/>
            <w:tcBorders>
              <w:top w:val="nil"/>
              <w:left w:val="nil"/>
              <w:bottom w:val="single" w:sz="4" w:space="0" w:color="auto"/>
              <w:right w:val="nil"/>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7.7%</w:t>
            </w:r>
          </w:p>
        </w:tc>
        <w:tc>
          <w:tcPr>
            <w:tcW w:w="1179" w:type="dxa"/>
            <w:tcBorders>
              <w:top w:val="nil"/>
              <w:left w:val="nil"/>
              <w:bottom w:val="single" w:sz="4" w:space="0" w:color="auto"/>
              <w:right w:val="single" w:sz="4" w:space="0" w:color="auto"/>
            </w:tcBorders>
            <w:shd w:val="clear" w:color="auto" w:fill="auto"/>
            <w:noWrap/>
            <w:vAlign w:val="center"/>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6.3%</w:t>
            </w:r>
          </w:p>
        </w:tc>
      </w:tr>
    </w:tbl>
    <w:p w:rsidR="000430A4" w:rsidRPr="002F6A86" w:rsidRDefault="000430A4" w:rsidP="000430A4">
      <w:pPr>
        <w:pStyle w:val="Heading2"/>
        <w:spacing w:before="240"/>
      </w:pPr>
      <w:r w:rsidRPr="002F6A86">
        <w:t>Requests completion time</w:t>
      </w:r>
    </w:p>
    <w:p w:rsidR="000430A4" w:rsidRPr="004D30BF" w:rsidRDefault="000430A4" w:rsidP="000430A4">
      <w:pPr>
        <w:pStyle w:val="Heading4"/>
      </w:pPr>
      <w:r w:rsidRPr="004D30BF">
        <w:t>Timeliness</w:t>
      </w:r>
    </w:p>
    <w:p w:rsidR="000430A4" w:rsidRPr="0073019A" w:rsidRDefault="000430A4" w:rsidP="000430A4">
      <w:pPr>
        <w:jc w:val="both"/>
      </w:pPr>
      <w:r w:rsidRPr="0073019A">
        <w:t xml:space="preserve">Figure 1 reveals that </w:t>
      </w:r>
      <w:r>
        <w:t>50.5</w:t>
      </w:r>
      <w:r w:rsidRPr="0073019A">
        <w:t xml:space="preserve">% of requests were completed within 30 days or less, which is </w:t>
      </w:r>
      <w:r>
        <w:t xml:space="preserve">8.9% </w:t>
      </w:r>
      <w:r w:rsidRPr="0073019A">
        <w:t>higher than the results observed in 2013-2014.</w:t>
      </w:r>
    </w:p>
    <w:p w:rsidR="000430A4" w:rsidRPr="00F54BA5" w:rsidRDefault="000430A4" w:rsidP="000430A4">
      <w:pPr>
        <w:pStyle w:val="Heading3"/>
        <w:spacing w:after="200"/>
        <w:rPr>
          <w:sz w:val="24"/>
          <w:szCs w:val="24"/>
        </w:rPr>
      </w:pPr>
      <w:r w:rsidRPr="00321311">
        <w:t>Figure 1: Request Completion T</w:t>
      </w:r>
      <w:r>
        <w:t>ime</w:t>
      </w:r>
      <w:r w:rsidRPr="00697A24">
        <w:rPr>
          <w:noProof/>
        </w:rPr>
        <w:drawing>
          <wp:inline distT="0" distB="0" distL="0" distR="0">
            <wp:extent cx="6012611" cy="3994030"/>
            <wp:effectExtent l="0" t="0" r="7620" b="6985"/>
            <wp:docPr id="5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430A4" w:rsidRPr="00D2368F" w:rsidRDefault="000430A4" w:rsidP="000430A4">
      <w:pPr>
        <w:pStyle w:val="Heading4"/>
      </w:pPr>
      <w:r w:rsidRPr="00D2368F">
        <w:t>Extensions</w:t>
      </w:r>
    </w:p>
    <w:p w:rsidR="000430A4" w:rsidRPr="006747D2" w:rsidRDefault="000430A4" w:rsidP="000430A4">
      <w:pPr>
        <w:jc w:val="both"/>
      </w:pPr>
      <w:r w:rsidRPr="006747D2">
        <w:t>PSPC took 372 extensions in 2014-2015 compared to 673 in 2013-2014. The most common reason for taking an extension was to consult (47.0%), followed by third-party notice (34.1%) and interference with operations (18.8%).</w:t>
      </w:r>
    </w:p>
    <w:p w:rsidR="000430A4" w:rsidRPr="006747D2" w:rsidRDefault="000430A4" w:rsidP="000430A4">
      <w:pPr>
        <w:jc w:val="both"/>
      </w:pPr>
      <w:r w:rsidRPr="006747D2">
        <w:t>Figure 2 shows that 15.3% of extensions were taken for 30 days or less, which represents an increase of 4.3% compared to 2013-2014. Figure 2 demonstrates that the number of extensions taken between 31 and 60 days increased by 2.3% in 2014-2015.</w:t>
      </w:r>
    </w:p>
    <w:p w:rsidR="000430A4" w:rsidRDefault="000430A4" w:rsidP="000430A4">
      <w:pPr>
        <w:pStyle w:val="Heading3"/>
        <w:spacing w:after="200"/>
      </w:pPr>
      <w:r w:rsidRPr="00321311">
        <w:t>Figure 2: Length of Extensions</w:t>
      </w:r>
      <w:r w:rsidRPr="00697A24">
        <w:rPr>
          <w:noProof/>
        </w:rPr>
        <w:drawing>
          <wp:inline distT="0" distB="0" distL="0" distR="0">
            <wp:extent cx="5891841" cy="3942272"/>
            <wp:effectExtent l="0" t="0" r="0" b="1270"/>
            <wp:docPr id="5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430A4" w:rsidRPr="00D2368F" w:rsidRDefault="000430A4" w:rsidP="000430A4">
      <w:pPr>
        <w:pStyle w:val="Heading4"/>
      </w:pPr>
      <w:r>
        <w:t>Deemed refusals</w:t>
      </w:r>
    </w:p>
    <w:p w:rsidR="000430A4" w:rsidRPr="006747D2" w:rsidRDefault="000430A4" w:rsidP="000430A4">
      <w:pPr>
        <w:jc w:val="both"/>
      </w:pPr>
      <w:r w:rsidRPr="006747D2">
        <w:t>In 2014-2015, the number of requests closed past the statutory deadline was 31, which accounts for 4.8% of completed requests. This rate represents an “A” grade.</w:t>
      </w:r>
      <w:r w:rsidRPr="006747D2">
        <w:rPr>
          <w:rStyle w:val="FootnoteReference"/>
        </w:rPr>
        <w:footnoteReference w:id="67"/>
      </w:r>
      <w:r w:rsidRPr="006747D2">
        <w:t xml:space="preserve"> This is a significant improvement in comparison to the “C” obtained in 2013-2014.</w:t>
      </w:r>
    </w:p>
    <w:p w:rsidR="000430A4" w:rsidRPr="006747D2" w:rsidRDefault="000430A4" w:rsidP="000430A4">
      <w:pPr>
        <w:jc w:val="both"/>
      </w:pPr>
      <w:r w:rsidRPr="006747D2">
        <w:t>Figure 3 shows that 45.2% of the overdue requests were late for more than 365 days which represents a large part of the overdue requests. Two requests were late by 30 days and less compared to the last period where there were 18. The main reasons for the delay were workload (67.7%) and external consultations (22.6%).</w:t>
      </w:r>
    </w:p>
    <w:p w:rsidR="000430A4" w:rsidRPr="00F54BA5" w:rsidRDefault="000430A4" w:rsidP="000430A4">
      <w:pPr>
        <w:pStyle w:val="Heading3"/>
        <w:spacing w:after="200"/>
        <w:rPr>
          <w:sz w:val="24"/>
          <w:szCs w:val="24"/>
        </w:rPr>
      </w:pPr>
      <w:r w:rsidRPr="00CA2D1F">
        <w:t>Figure 3: Lateness of Overdue Requests</w:t>
      </w:r>
      <w:r w:rsidRPr="00CA2D1F">
        <w:rPr>
          <w:noProof/>
        </w:rPr>
        <w:drawing>
          <wp:inline distT="0" distB="0" distL="0" distR="0">
            <wp:extent cx="5677231" cy="4325510"/>
            <wp:effectExtent l="0" t="0" r="19050" b="18415"/>
            <wp:docPr id="5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430A4" w:rsidRPr="002F6A86" w:rsidRDefault="000430A4" w:rsidP="000430A4">
      <w:pPr>
        <w:pStyle w:val="Heading2"/>
      </w:pPr>
      <w:r w:rsidRPr="002F6A86">
        <w:t>Disclosure</w:t>
      </w:r>
    </w:p>
    <w:p w:rsidR="000430A4" w:rsidRPr="00CA2D1F" w:rsidRDefault="000430A4" w:rsidP="000430A4">
      <w:pPr>
        <w:pStyle w:val="Heading4"/>
      </w:pPr>
      <w:r w:rsidRPr="00CA2D1F">
        <w:t xml:space="preserve">Percentage of requests for </w:t>
      </w:r>
      <w:r>
        <w:t>which information was disclosed</w:t>
      </w:r>
    </w:p>
    <w:p w:rsidR="000430A4" w:rsidRPr="00CA2D1F" w:rsidRDefault="000430A4" w:rsidP="000430A4">
      <w:pPr>
        <w:jc w:val="both"/>
      </w:pPr>
      <w:r w:rsidRPr="00CA2D1F">
        <w:t>In 2014-2015, 20.9% of completed requests were entirely disclosed, which is the highest disclosure rate since 2012 (see Figure 4). Figure 4 also shows that the rate for partially disclosed requests was similar year over year.</w:t>
      </w:r>
    </w:p>
    <w:p w:rsidR="000430A4" w:rsidRPr="002F6A86" w:rsidRDefault="000430A4" w:rsidP="000430A4">
      <w:pPr>
        <w:pStyle w:val="Heading3"/>
        <w:spacing w:after="200"/>
      </w:pPr>
      <w:r w:rsidRPr="00321311">
        <w:t>Figure 4: Level of Disclosure</w:t>
      </w:r>
      <w:r w:rsidRPr="00697A24">
        <w:rPr>
          <w:noProof/>
        </w:rPr>
        <w:drawing>
          <wp:inline distT="0" distB="0" distL="0" distR="0">
            <wp:extent cx="5831457" cy="3925018"/>
            <wp:effectExtent l="0" t="0" r="0" b="0"/>
            <wp:docPr id="5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430A4" w:rsidRPr="00D2368F" w:rsidRDefault="000430A4" w:rsidP="000430A4">
      <w:pPr>
        <w:pStyle w:val="Heading4"/>
      </w:pPr>
      <w:r>
        <w:t>Exemptions</w:t>
      </w:r>
    </w:p>
    <w:p w:rsidR="000430A4" w:rsidRPr="006747D2" w:rsidRDefault="000430A4" w:rsidP="000430A4">
      <w:pPr>
        <w:jc w:val="both"/>
      </w:pPr>
      <w:r w:rsidRPr="006747D2">
        <w:t>The average number of exemptions used per completed request decreased from 1.83 in 2013-2014 to 1.52 in 2014-2015 (see Table 2).</w:t>
      </w:r>
    </w:p>
    <w:p w:rsidR="000430A4" w:rsidRPr="006747D2" w:rsidRDefault="000430A4" w:rsidP="000430A4">
      <w:pPr>
        <w:jc w:val="both"/>
      </w:pPr>
      <w:r w:rsidRPr="006747D2">
        <w:t>The most frequent exemptions in 2014-2015 were section 20 (Third-Party information) (30.4%), followed by section 19 (Personal Information) (26.8%), and section 21 (Operations of Government) (13.9%).</w:t>
      </w:r>
    </w:p>
    <w:p w:rsidR="000430A4" w:rsidRPr="00916BD0" w:rsidRDefault="000430A4" w:rsidP="000430A4">
      <w:pPr>
        <w:pStyle w:val="Heading3"/>
      </w:pPr>
      <w:r w:rsidRPr="00916BD0">
        <w:t xml:space="preserve">Table </w:t>
      </w:r>
      <w:r>
        <w:t>2</w:t>
      </w:r>
      <w:r w:rsidRPr="00916BD0">
        <w:t xml:space="preserve">: </w:t>
      </w:r>
      <w:r w:rsidRPr="002F6A86">
        <w:rPr>
          <w:szCs w:val="24"/>
        </w:rPr>
        <w:t>Exemptions</w:t>
      </w:r>
    </w:p>
    <w:tbl>
      <w:tblPr>
        <w:tblW w:w="9676" w:type="dxa"/>
        <w:tblInd w:w="98" w:type="dxa"/>
        <w:tblLook w:val="04A0"/>
      </w:tblPr>
      <w:tblGrid>
        <w:gridCol w:w="6133"/>
        <w:gridCol w:w="1181"/>
        <w:gridCol w:w="1181"/>
        <w:gridCol w:w="1181"/>
      </w:tblGrid>
      <w:tr w:rsidR="000430A4" w:rsidRPr="00E25DEB" w:rsidTr="002F32F0">
        <w:trPr>
          <w:trHeight w:val="338"/>
        </w:trPr>
        <w:tc>
          <w:tcPr>
            <w:tcW w:w="6133"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 xml:space="preserve">Exemptions </w:t>
            </w:r>
          </w:p>
        </w:tc>
        <w:tc>
          <w:tcPr>
            <w:tcW w:w="1181" w:type="dxa"/>
            <w:tcBorders>
              <w:top w:val="single" w:sz="8" w:space="0" w:color="auto"/>
              <w:left w:val="nil"/>
              <w:bottom w:val="single" w:sz="8" w:space="0" w:color="auto"/>
              <w:right w:val="nil"/>
            </w:tcBorders>
            <w:shd w:val="clear" w:color="000000" w:fill="DBE5F1"/>
            <w:noWrap/>
            <w:vAlign w:val="bottom"/>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2012-2013</w:t>
            </w:r>
          </w:p>
        </w:tc>
        <w:tc>
          <w:tcPr>
            <w:tcW w:w="1181" w:type="dxa"/>
            <w:tcBorders>
              <w:top w:val="single" w:sz="8" w:space="0" w:color="auto"/>
              <w:left w:val="nil"/>
              <w:bottom w:val="single" w:sz="8" w:space="0" w:color="auto"/>
              <w:right w:val="nil"/>
            </w:tcBorders>
            <w:shd w:val="clear" w:color="000000" w:fill="DBE5F1"/>
            <w:noWrap/>
            <w:vAlign w:val="bottom"/>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2013-2014</w:t>
            </w:r>
          </w:p>
        </w:tc>
        <w:tc>
          <w:tcPr>
            <w:tcW w:w="1181"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E25DEB" w:rsidRDefault="000430A4" w:rsidP="002F32F0">
            <w:pPr>
              <w:spacing w:after="0" w:line="240" w:lineRule="auto"/>
              <w:jc w:val="center"/>
              <w:rPr>
                <w:rFonts w:ascii="Calibri" w:eastAsia="Times New Roman" w:hAnsi="Calibri" w:cs="Times New Roman"/>
                <w:b/>
                <w:bCs/>
                <w:color w:val="000000"/>
              </w:rPr>
            </w:pPr>
            <w:r w:rsidRPr="00E25DEB">
              <w:rPr>
                <w:rFonts w:ascii="Calibri" w:eastAsia="Times New Roman" w:hAnsi="Calibri" w:cs="Times New Roman"/>
                <w:b/>
                <w:bCs/>
                <w:color w:val="000000"/>
              </w:rPr>
              <w:t>2014-2015</w:t>
            </w:r>
          </w:p>
        </w:tc>
      </w:tr>
      <w:tr w:rsidR="000430A4" w:rsidRPr="00E25DEB" w:rsidTr="002F32F0">
        <w:trPr>
          <w:trHeight w:val="321"/>
        </w:trPr>
        <w:tc>
          <w:tcPr>
            <w:tcW w:w="6133" w:type="dxa"/>
            <w:tcBorders>
              <w:top w:val="nil"/>
              <w:left w:val="single" w:sz="8" w:space="0" w:color="auto"/>
              <w:bottom w:val="nil"/>
              <w:right w:val="nil"/>
            </w:tcBorders>
            <w:shd w:val="clear" w:color="auto" w:fill="auto"/>
            <w:noWrap/>
            <w:vAlign w:val="bottom"/>
            <w:hideMark/>
          </w:tcPr>
          <w:p w:rsidR="000430A4" w:rsidRPr="00E25DEB"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E25DEB">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E25DEB">
              <w:rPr>
                <w:rFonts w:ascii="Calibri" w:eastAsia="Times New Roman" w:hAnsi="Calibri" w:cs="Times New Roman"/>
                <w:color w:val="000000"/>
              </w:rPr>
              <w:t xml:space="preserve"> </w:t>
            </w:r>
          </w:p>
        </w:tc>
        <w:tc>
          <w:tcPr>
            <w:tcW w:w="1181" w:type="dxa"/>
            <w:tcBorders>
              <w:top w:val="nil"/>
              <w:left w:val="nil"/>
              <w:bottom w:val="nil"/>
              <w:right w:val="nil"/>
            </w:tcBorders>
            <w:shd w:val="clear" w:color="auto" w:fill="auto"/>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1</w:t>
            </w:r>
            <w:r w:rsidR="000A6BE0">
              <w:rPr>
                <w:rFonts w:ascii="Calibri" w:eastAsia="Times New Roman" w:hAnsi="Calibri" w:cs="Times New Roman"/>
                <w:color w:val="000000"/>
              </w:rPr>
              <w:t>,</w:t>
            </w:r>
            <w:r w:rsidRPr="00E25DEB">
              <w:rPr>
                <w:rFonts w:ascii="Calibri" w:eastAsia="Times New Roman" w:hAnsi="Calibri" w:cs="Times New Roman"/>
                <w:color w:val="000000"/>
              </w:rPr>
              <w:t>468</w:t>
            </w:r>
          </w:p>
        </w:tc>
        <w:tc>
          <w:tcPr>
            <w:tcW w:w="1181" w:type="dxa"/>
            <w:tcBorders>
              <w:top w:val="nil"/>
              <w:left w:val="nil"/>
              <w:bottom w:val="nil"/>
              <w:right w:val="nil"/>
            </w:tcBorders>
            <w:shd w:val="clear" w:color="auto" w:fill="auto"/>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1</w:t>
            </w:r>
            <w:r w:rsidR="000A6BE0">
              <w:rPr>
                <w:rFonts w:ascii="Calibri" w:eastAsia="Times New Roman" w:hAnsi="Calibri" w:cs="Times New Roman"/>
                <w:color w:val="000000"/>
              </w:rPr>
              <w:t>,</w:t>
            </w:r>
            <w:r w:rsidRPr="00E25DEB">
              <w:rPr>
                <w:rFonts w:ascii="Calibri" w:eastAsia="Times New Roman" w:hAnsi="Calibri" w:cs="Times New Roman"/>
                <w:color w:val="000000"/>
              </w:rPr>
              <w:t>514</w:t>
            </w:r>
          </w:p>
        </w:tc>
        <w:tc>
          <w:tcPr>
            <w:tcW w:w="1181" w:type="dxa"/>
            <w:tcBorders>
              <w:top w:val="nil"/>
              <w:left w:val="nil"/>
              <w:bottom w:val="nil"/>
              <w:right w:val="single" w:sz="8" w:space="0" w:color="auto"/>
            </w:tcBorders>
            <w:shd w:val="clear" w:color="auto" w:fill="auto"/>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974</w:t>
            </w:r>
          </w:p>
        </w:tc>
      </w:tr>
      <w:tr w:rsidR="000430A4" w:rsidRPr="00E25DEB" w:rsidTr="002F32F0">
        <w:trPr>
          <w:trHeight w:val="321"/>
        </w:trPr>
        <w:tc>
          <w:tcPr>
            <w:tcW w:w="6133" w:type="dxa"/>
            <w:tcBorders>
              <w:top w:val="nil"/>
              <w:left w:val="single" w:sz="8" w:space="0" w:color="auto"/>
              <w:bottom w:val="nil"/>
              <w:right w:val="nil"/>
            </w:tcBorders>
            <w:shd w:val="clear" w:color="auto" w:fill="auto"/>
            <w:noWrap/>
            <w:vAlign w:val="bottom"/>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Total number of completed requests</w:t>
            </w:r>
          </w:p>
        </w:tc>
        <w:tc>
          <w:tcPr>
            <w:tcW w:w="1181" w:type="dxa"/>
            <w:tcBorders>
              <w:top w:val="nil"/>
              <w:left w:val="nil"/>
              <w:bottom w:val="nil"/>
              <w:right w:val="nil"/>
            </w:tcBorders>
            <w:shd w:val="clear" w:color="auto" w:fill="auto"/>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813</w:t>
            </w:r>
          </w:p>
        </w:tc>
        <w:tc>
          <w:tcPr>
            <w:tcW w:w="1181" w:type="dxa"/>
            <w:tcBorders>
              <w:top w:val="nil"/>
              <w:left w:val="nil"/>
              <w:bottom w:val="nil"/>
              <w:right w:val="nil"/>
            </w:tcBorders>
            <w:shd w:val="clear" w:color="auto" w:fill="auto"/>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828</w:t>
            </w:r>
          </w:p>
        </w:tc>
        <w:tc>
          <w:tcPr>
            <w:tcW w:w="1181" w:type="dxa"/>
            <w:tcBorders>
              <w:top w:val="nil"/>
              <w:left w:val="nil"/>
              <w:bottom w:val="nil"/>
              <w:right w:val="single" w:sz="8" w:space="0" w:color="auto"/>
            </w:tcBorders>
            <w:shd w:val="clear" w:color="auto" w:fill="auto"/>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641</w:t>
            </w:r>
          </w:p>
        </w:tc>
      </w:tr>
      <w:tr w:rsidR="000430A4" w:rsidRPr="00E25DEB" w:rsidTr="002F32F0">
        <w:trPr>
          <w:trHeight w:val="338"/>
        </w:trPr>
        <w:tc>
          <w:tcPr>
            <w:tcW w:w="6133" w:type="dxa"/>
            <w:tcBorders>
              <w:top w:val="nil"/>
              <w:left w:val="single" w:sz="8" w:space="0" w:color="auto"/>
              <w:bottom w:val="single" w:sz="8" w:space="0" w:color="auto"/>
              <w:right w:val="nil"/>
            </w:tcBorders>
            <w:shd w:val="clear" w:color="000000" w:fill="DBE5F1"/>
            <w:noWrap/>
            <w:vAlign w:val="bottom"/>
            <w:hideMark/>
          </w:tcPr>
          <w:p w:rsidR="000430A4" w:rsidRPr="00E25DEB" w:rsidRDefault="000430A4" w:rsidP="002F32F0">
            <w:pPr>
              <w:spacing w:after="0" w:line="240" w:lineRule="auto"/>
              <w:rPr>
                <w:rFonts w:ascii="Calibri" w:eastAsia="Times New Roman" w:hAnsi="Calibri" w:cs="Times New Roman"/>
                <w:color w:val="000000"/>
              </w:rPr>
            </w:pPr>
            <w:r w:rsidRPr="00E25DEB">
              <w:rPr>
                <w:rFonts w:ascii="Calibri" w:eastAsia="Times New Roman" w:hAnsi="Calibri" w:cs="Times New Roman"/>
                <w:color w:val="000000"/>
              </w:rPr>
              <w:t xml:space="preserve">Average number of exemptions per request </w:t>
            </w:r>
          </w:p>
        </w:tc>
        <w:tc>
          <w:tcPr>
            <w:tcW w:w="1181" w:type="dxa"/>
            <w:tcBorders>
              <w:top w:val="nil"/>
              <w:left w:val="nil"/>
              <w:bottom w:val="single" w:sz="8" w:space="0" w:color="auto"/>
              <w:right w:val="nil"/>
            </w:tcBorders>
            <w:shd w:val="clear" w:color="000000" w:fill="DBE5F1"/>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1.8</w:t>
            </w:r>
            <w:r>
              <w:rPr>
                <w:rFonts w:ascii="Calibri" w:eastAsia="Times New Roman" w:hAnsi="Calibri" w:cs="Times New Roman"/>
                <w:color w:val="000000"/>
              </w:rPr>
              <w:t>1</w:t>
            </w:r>
          </w:p>
        </w:tc>
        <w:tc>
          <w:tcPr>
            <w:tcW w:w="1181" w:type="dxa"/>
            <w:tcBorders>
              <w:top w:val="nil"/>
              <w:left w:val="nil"/>
              <w:bottom w:val="single" w:sz="8" w:space="0" w:color="auto"/>
              <w:right w:val="nil"/>
            </w:tcBorders>
            <w:shd w:val="clear" w:color="000000" w:fill="DBE5F1"/>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1.8</w:t>
            </w:r>
            <w:r>
              <w:rPr>
                <w:rFonts w:ascii="Calibri" w:eastAsia="Times New Roman" w:hAnsi="Calibri" w:cs="Times New Roman"/>
                <w:color w:val="000000"/>
              </w:rPr>
              <w:t>3</w:t>
            </w:r>
          </w:p>
        </w:tc>
        <w:tc>
          <w:tcPr>
            <w:tcW w:w="1181" w:type="dxa"/>
            <w:tcBorders>
              <w:top w:val="nil"/>
              <w:left w:val="nil"/>
              <w:bottom w:val="single" w:sz="8" w:space="0" w:color="auto"/>
              <w:right w:val="single" w:sz="8" w:space="0" w:color="auto"/>
            </w:tcBorders>
            <w:shd w:val="clear" w:color="000000" w:fill="DBE5F1"/>
            <w:noWrap/>
            <w:vAlign w:val="bottom"/>
            <w:hideMark/>
          </w:tcPr>
          <w:p w:rsidR="000430A4" w:rsidRPr="00E25DEB" w:rsidRDefault="000430A4" w:rsidP="002F32F0">
            <w:pPr>
              <w:spacing w:after="0" w:line="240" w:lineRule="auto"/>
              <w:jc w:val="center"/>
              <w:rPr>
                <w:rFonts w:ascii="Calibri" w:eastAsia="Times New Roman" w:hAnsi="Calibri" w:cs="Times New Roman"/>
                <w:color w:val="000000"/>
              </w:rPr>
            </w:pPr>
            <w:r w:rsidRPr="00E25DEB">
              <w:rPr>
                <w:rFonts w:ascii="Calibri" w:eastAsia="Times New Roman" w:hAnsi="Calibri" w:cs="Times New Roman"/>
                <w:color w:val="000000"/>
              </w:rPr>
              <w:t>1.5</w:t>
            </w:r>
            <w:r>
              <w:rPr>
                <w:rFonts w:ascii="Calibri" w:eastAsia="Times New Roman" w:hAnsi="Calibri" w:cs="Times New Roman"/>
                <w:color w:val="000000"/>
              </w:rPr>
              <w:t>2</w:t>
            </w:r>
          </w:p>
        </w:tc>
      </w:tr>
    </w:tbl>
    <w:p w:rsidR="000430A4" w:rsidRDefault="000430A4" w:rsidP="000430A4">
      <w:pPr>
        <w:pStyle w:val="Heading2"/>
        <w:spacing w:before="240"/>
      </w:pPr>
    </w:p>
    <w:p w:rsidR="000430A4" w:rsidRDefault="000430A4" w:rsidP="000430A4">
      <w:r>
        <w:br w:type="page"/>
      </w:r>
    </w:p>
    <w:p w:rsidR="000430A4" w:rsidRPr="002F6A86" w:rsidRDefault="000430A4" w:rsidP="000430A4">
      <w:pPr>
        <w:pStyle w:val="Heading2"/>
        <w:spacing w:before="240"/>
      </w:pPr>
      <w:r>
        <w:t>Complaints</w:t>
      </w:r>
    </w:p>
    <w:p w:rsidR="000430A4" w:rsidRDefault="000430A4" w:rsidP="000430A4">
      <w:pPr>
        <w:jc w:val="both"/>
      </w:pPr>
      <w:r>
        <w:t>In 2014-2015, 26 complaints</w:t>
      </w:r>
      <w:r>
        <w:rPr>
          <w:rStyle w:val="FootnoteReference"/>
        </w:rPr>
        <w:footnoteReference w:id="68"/>
      </w:r>
      <w:r>
        <w:t xml:space="preserve"> were received against PSPC compared </w:t>
      </w:r>
      <w:r w:rsidRPr="00C16160">
        <w:t xml:space="preserve">to 28 in 2013-2014. 16 complaints </w:t>
      </w:r>
      <w:r>
        <w:t xml:space="preserve">were refusals and </w:t>
      </w:r>
      <w:r w:rsidRPr="00C16160">
        <w:t xml:space="preserve">10 </w:t>
      </w:r>
      <w:r>
        <w:t>complaints were administrative. T</w:t>
      </w:r>
      <w:r w:rsidRPr="00C16160">
        <w:t>he number of well-founded complaints dro</w:t>
      </w:r>
      <w:r>
        <w:t>pped from 12 to 6 in 2014-2015.</w:t>
      </w:r>
    </w:p>
    <w:p w:rsidR="000430A4" w:rsidRPr="002F6A86" w:rsidRDefault="000430A4" w:rsidP="000430A4">
      <w:pPr>
        <w:jc w:val="both"/>
      </w:pPr>
      <w:r w:rsidRPr="00C16160">
        <w:t>In 2014-2015, discontinued and pending compla</w:t>
      </w:r>
      <w:r>
        <w:t>ints were 6 and 7 respectively.</w:t>
      </w:r>
    </w:p>
    <w:p w:rsidR="000430A4" w:rsidRDefault="000430A4">
      <w:r>
        <w:br w:type="page"/>
      </w:r>
    </w:p>
    <w:p w:rsidR="000430A4" w:rsidRPr="0084276B" w:rsidRDefault="000430A4" w:rsidP="000430A4">
      <w:pPr>
        <w:pStyle w:val="Heading1"/>
      </w:pPr>
      <w:r w:rsidRPr="00742689">
        <w:t>Natural</w:t>
      </w:r>
      <w:r>
        <w:t xml:space="preserve"> Resources Canada</w:t>
      </w:r>
    </w:p>
    <w:p w:rsidR="000430A4" w:rsidRPr="007C65CB" w:rsidRDefault="000430A4" w:rsidP="000430A4">
      <w:pPr>
        <w:pStyle w:val="Heading2"/>
      </w:pPr>
      <w:r w:rsidRPr="007C65CB">
        <w:t xml:space="preserve">Overall </w:t>
      </w:r>
      <w:r w:rsidRPr="00742689">
        <w:t>performance</w:t>
      </w:r>
      <w:r>
        <w:rPr>
          <w:rStyle w:val="FootnoteReference"/>
        </w:rPr>
        <w:footnoteReference w:id="69"/>
      </w:r>
    </w:p>
    <w:p w:rsidR="000430A4" w:rsidRPr="00DA6C13" w:rsidRDefault="000430A4" w:rsidP="000430A4">
      <w:pPr>
        <w:jc w:val="both"/>
      </w:pPr>
      <w:r w:rsidRPr="00DA6C13">
        <w:t>Natural Resources Canada (</w:t>
      </w:r>
      <w:proofErr w:type="spellStart"/>
      <w:r>
        <w:t>NRCan</w:t>
      </w:r>
      <w:proofErr w:type="spellEnd"/>
      <w:r w:rsidRPr="00DA6C13">
        <w:t>)</w:t>
      </w:r>
      <w:r>
        <w:t xml:space="preserve"> </w:t>
      </w:r>
      <w:r w:rsidRPr="00DA6C13">
        <w:t xml:space="preserve">a slight reduction of 2.8% in </w:t>
      </w:r>
      <w:r>
        <w:t>the number of requests received and observed</w:t>
      </w:r>
      <w:r w:rsidRPr="00DA6C13">
        <w:t xml:space="preserve"> a decrease of 5.5% in the percentage of requests completed within 30 days</w:t>
      </w:r>
      <w:r>
        <w:t xml:space="preserve">. </w:t>
      </w:r>
      <w:r w:rsidRPr="00DA6C13">
        <w:t>This report provides comparative statistics for the last three periods (2012-2015).</w:t>
      </w:r>
    </w:p>
    <w:p w:rsidR="000430A4" w:rsidRPr="007C65CB" w:rsidRDefault="000430A4" w:rsidP="000430A4">
      <w:pPr>
        <w:pStyle w:val="Heading2"/>
      </w:pPr>
      <w:r w:rsidRPr="00742689">
        <w:t>Workload</w:t>
      </w:r>
    </w:p>
    <w:p w:rsidR="000430A4" w:rsidRPr="002C6B50" w:rsidRDefault="000430A4" w:rsidP="000430A4">
      <w:pPr>
        <w:jc w:val="both"/>
      </w:pPr>
      <w:proofErr w:type="spellStart"/>
      <w:r>
        <w:t>NRCan</w:t>
      </w:r>
      <w:proofErr w:type="spellEnd"/>
      <w:r w:rsidRPr="00DA6C13">
        <w:t xml:space="preserve"> received 670 requests under the </w:t>
      </w:r>
      <w:r w:rsidRPr="00DA6C13">
        <w:rPr>
          <w:i/>
        </w:rPr>
        <w:t>Access to</w:t>
      </w:r>
      <w:r w:rsidRPr="002C6B50">
        <w:t xml:space="preserve"> </w:t>
      </w:r>
      <w:r w:rsidRPr="002C6B50">
        <w:rPr>
          <w:i/>
        </w:rPr>
        <w:t>Information Act</w:t>
      </w:r>
      <w:r>
        <w:rPr>
          <w:i/>
        </w:rPr>
        <w:t xml:space="preserve"> </w:t>
      </w:r>
      <w:r>
        <w:t>(the Act)</w:t>
      </w:r>
      <w:r w:rsidRPr="002C6B50">
        <w:t xml:space="preserve"> </w:t>
      </w:r>
      <w:r>
        <w:t>which represents</w:t>
      </w:r>
      <w:r w:rsidRPr="002C6B50">
        <w:t xml:space="preserve"> </w:t>
      </w:r>
      <w:r>
        <w:t xml:space="preserve">1.0% of the requests received across government 2014-2015. This is a </w:t>
      </w:r>
      <w:r w:rsidRPr="002C6B50">
        <w:t xml:space="preserve">decrease </w:t>
      </w:r>
      <w:r>
        <w:t>of 2.8</w:t>
      </w:r>
      <w:r w:rsidRPr="002C6B50">
        <w:t xml:space="preserve">% compared to </w:t>
      </w:r>
      <w:r>
        <w:t xml:space="preserve">the number of requests received in </w:t>
      </w:r>
      <w:r w:rsidRPr="002C6B50">
        <w:t xml:space="preserve">2013-2014. The majority of requests received </w:t>
      </w:r>
      <w:r>
        <w:t>originated</w:t>
      </w:r>
      <w:r w:rsidRPr="002C6B50">
        <w:t xml:space="preserve"> from </w:t>
      </w:r>
      <w:r>
        <w:t>the public (38.2</w:t>
      </w:r>
      <w:r w:rsidRPr="002C6B50">
        <w:t>%)</w:t>
      </w:r>
      <w:r>
        <w:t>. In fact, the public inventory of requests</w:t>
      </w:r>
      <w:r w:rsidRPr="002C6B50">
        <w:t xml:space="preserve"> </w:t>
      </w:r>
      <w:r>
        <w:t>almost tripled compared to the previous period.</w:t>
      </w:r>
      <w:r w:rsidRPr="002C6B50">
        <w:t xml:space="preserve"> </w:t>
      </w:r>
      <w:r>
        <w:t>We further observed a large</w:t>
      </w:r>
      <w:r w:rsidRPr="002C6B50">
        <w:t xml:space="preserve"> decline </w:t>
      </w:r>
      <w:r>
        <w:t xml:space="preserve">of 85.5% </w:t>
      </w:r>
      <w:r w:rsidRPr="002C6B50">
        <w:t xml:space="preserve">in </w:t>
      </w:r>
      <w:r>
        <w:t xml:space="preserve">the number of </w:t>
      </w:r>
      <w:r w:rsidRPr="002C6B50">
        <w:t>requests from the media</w:t>
      </w:r>
      <w:r>
        <w:t xml:space="preserve"> compared to 2013-2014.</w:t>
      </w:r>
      <w:r w:rsidRPr="002C6B50">
        <w:t xml:space="preserve">  </w:t>
      </w:r>
    </w:p>
    <w:p w:rsidR="000430A4" w:rsidRPr="002C6B50" w:rsidRDefault="000430A4" w:rsidP="000430A4">
      <w:pPr>
        <w:jc w:val="both"/>
      </w:pPr>
      <w:proofErr w:type="spellStart"/>
      <w:r>
        <w:t>NRCan</w:t>
      </w:r>
      <w:proofErr w:type="spellEnd"/>
      <w:r w:rsidRPr="002C6B50">
        <w:t xml:space="preserve"> completed </w:t>
      </w:r>
      <w:r>
        <w:t>657</w:t>
      </w:r>
      <w:r w:rsidRPr="002C6B50">
        <w:t xml:space="preserve"> </w:t>
      </w:r>
      <w:r w:rsidRPr="00DA6C13">
        <w:t>requests this reporting period. The completion rate</w:t>
      </w:r>
      <w:r w:rsidRPr="00DA6C13">
        <w:rPr>
          <w:rStyle w:val="FootnoteReference"/>
        </w:rPr>
        <w:footnoteReference w:id="70"/>
      </w:r>
      <w:r w:rsidRPr="00DA6C13">
        <w:t xml:space="preserve"> was 76.0%, which is below the government-wide rate of 85.1%. In 2013-2014, the completion rate for </w:t>
      </w:r>
      <w:proofErr w:type="spellStart"/>
      <w:r>
        <w:t>NRCan</w:t>
      </w:r>
      <w:proofErr w:type="spellEnd"/>
      <w:r w:rsidRPr="00DA6C13">
        <w:t xml:space="preserve"> was 77.9%. </w:t>
      </w:r>
      <w:proofErr w:type="spellStart"/>
      <w:r>
        <w:t>NRCan</w:t>
      </w:r>
      <w:proofErr w:type="spellEnd"/>
      <w:r w:rsidRPr="00DA6C13">
        <w:t xml:space="preserve"> also received 70 informal requests in 2014-2015 and 25.7% of these were completed within 30 days. The number of consultations received by </w:t>
      </w:r>
      <w:proofErr w:type="spellStart"/>
      <w:r>
        <w:t>NRCan</w:t>
      </w:r>
      <w:proofErr w:type="spellEnd"/>
      <w:r w:rsidRPr="00DA6C13">
        <w:t xml:space="preserve"> from other federal government institutions decreased from 194 to 157, representing a decrease of 19.1% compared to 2013-2014.</w:t>
      </w:r>
    </w:p>
    <w:p w:rsidR="000430A4" w:rsidRDefault="000430A4" w:rsidP="000430A4">
      <w:pPr>
        <w:jc w:val="both"/>
      </w:pPr>
      <w:r w:rsidRPr="002C6B50">
        <w:t>The total number of pages process</w:t>
      </w:r>
      <w:r>
        <w:t>ed</w:t>
      </w:r>
      <w:r w:rsidRPr="002C6B50">
        <w:t xml:space="preserve"> this reporting period was </w:t>
      </w:r>
      <w:r>
        <w:t>124,823</w:t>
      </w:r>
      <w:r w:rsidRPr="002C6B50">
        <w:t xml:space="preserve"> pages</w:t>
      </w:r>
      <w:r>
        <w:t xml:space="preserve">. This is two times higher than the previous period. </w:t>
      </w:r>
      <w:r w:rsidRPr="002C6B50">
        <w:t>The average number of pages pr</w:t>
      </w:r>
      <w:r>
        <w:t>ocessed per completed request in</w:t>
      </w:r>
      <w:r w:rsidRPr="002C6B50">
        <w:t xml:space="preserve">creased from </w:t>
      </w:r>
      <w:r>
        <w:t>109</w:t>
      </w:r>
      <w:r w:rsidRPr="002C6B50">
        <w:t xml:space="preserve"> pages in 2013-2014 to </w:t>
      </w:r>
      <w:r>
        <w:t>217 in 2014-2015.</w:t>
      </w:r>
    </w:p>
    <w:p w:rsidR="000430A4" w:rsidRPr="002C6B50" w:rsidRDefault="000430A4" w:rsidP="000430A4">
      <w:pPr>
        <w:jc w:val="both"/>
      </w:pPr>
      <w:r>
        <w:t xml:space="preserve">The information released by </w:t>
      </w:r>
      <w:proofErr w:type="spellStart"/>
      <w:r>
        <w:t>NRCan</w:t>
      </w:r>
      <w:proofErr w:type="spellEnd"/>
      <w:r w:rsidRPr="002C6B50">
        <w:t xml:space="preserve"> was </w:t>
      </w:r>
      <w:r>
        <w:t xml:space="preserve">mostly </w:t>
      </w:r>
      <w:r w:rsidRPr="002C6B50">
        <w:t>in paper</w:t>
      </w:r>
      <w:r>
        <w:t xml:space="preserve"> format: 457 requests in paper format</w:t>
      </w:r>
      <w:r w:rsidRPr="002C6B50">
        <w:t xml:space="preserve"> </w:t>
      </w:r>
      <w:r>
        <w:t>compared to 53 requests in electronic format.</w:t>
      </w:r>
    </w:p>
    <w:p w:rsidR="000430A4" w:rsidRDefault="000430A4" w:rsidP="000430A4">
      <w:pPr>
        <w:pStyle w:val="Heading3"/>
      </w:pPr>
      <w:r w:rsidRPr="00D2368F">
        <w:t xml:space="preserve">Table </w:t>
      </w:r>
      <w:r>
        <w:t>1</w:t>
      </w:r>
      <w:r w:rsidRPr="00D2368F">
        <w:t>: Workload</w:t>
      </w:r>
    </w:p>
    <w:tbl>
      <w:tblPr>
        <w:tblW w:w="9389" w:type="dxa"/>
        <w:tblInd w:w="98" w:type="dxa"/>
        <w:tblLook w:val="04A0"/>
      </w:tblPr>
      <w:tblGrid>
        <w:gridCol w:w="4808"/>
        <w:gridCol w:w="1527"/>
        <w:gridCol w:w="1527"/>
        <w:gridCol w:w="1527"/>
      </w:tblGrid>
      <w:tr w:rsidR="000430A4" w:rsidRPr="006217C6" w:rsidTr="002F32F0">
        <w:trPr>
          <w:trHeight w:val="190"/>
        </w:trPr>
        <w:tc>
          <w:tcPr>
            <w:tcW w:w="4808" w:type="dxa"/>
            <w:tcBorders>
              <w:top w:val="single" w:sz="4" w:space="0" w:color="auto"/>
              <w:left w:val="single" w:sz="4" w:space="0" w:color="auto"/>
              <w:right w:val="nil"/>
            </w:tcBorders>
            <w:shd w:val="clear" w:color="auto" w:fill="auto"/>
            <w:noWrap/>
            <w:vAlign w:val="bottom"/>
            <w:hideMark/>
          </w:tcPr>
          <w:p w:rsidR="000430A4" w:rsidRPr="006217C6" w:rsidRDefault="000430A4" w:rsidP="002F32F0">
            <w:pPr>
              <w:spacing w:after="0" w:line="240" w:lineRule="auto"/>
              <w:rPr>
                <w:rFonts w:ascii="Calibri" w:eastAsia="Times New Roman" w:hAnsi="Calibri" w:cs="Times New Roman"/>
                <w:color w:val="000000"/>
              </w:rPr>
            </w:pPr>
            <w:r w:rsidRPr="006217C6">
              <w:rPr>
                <w:rFonts w:ascii="Calibri" w:eastAsia="Times New Roman" w:hAnsi="Calibri" w:cs="Times New Roman"/>
                <w:color w:val="000000"/>
              </w:rPr>
              <w:t xml:space="preserve">Measures </w:t>
            </w:r>
          </w:p>
        </w:tc>
        <w:tc>
          <w:tcPr>
            <w:tcW w:w="1527" w:type="dxa"/>
            <w:tcBorders>
              <w:top w:val="single" w:sz="4" w:space="0" w:color="auto"/>
              <w:left w:val="nil"/>
              <w:right w:val="nil"/>
            </w:tcBorders>
            <w:shd w:val="clear" w:color="auto" w:fill="auto"/>
            <w:noWrap/>
            <w:vAlign w:val="bottom"/>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2012-2013</w:t>
            </w:r>
          </w:p>
        </w:tc>
        <w:tc>
          <w:tcPr>
            <w:tcW w:w="1527" w:type="dxa"/>
            <w:tcBorders>
              <w:top w:val="single" w:sz="4" w:space="0" w:color="auto"/>
              <w:left w:val="nil"/>
              <w:right w:val="nil"/>
            </w:tcBorders>
            <w:shd w:val="clear" w:color="auto" w:fill="auto"/>
            <w:noWrap/>
            <w:vAlign w:val="bottom"/>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2013-2014</w:t>
            </w:r>
          </w:p>
        </w:tc>
        <w:tc>
          <w:tcPr>
            <w:tcW w:w="1527" w:type="dxa"/>
            <w:tcBorders>
              <w:top w:val="single" w:sz="4" w:space="0" w:color="auto"/>
              <w:left w:val="nil"/>
              <w:right w:val="single" w:sz="4" w:space="0" w:color="auto"/>
            </w:tcBorders>
            <w:shd w:val="clear" w:color="auto" w:fill="auto"/>
            <w:noWrap/>
            <w:vAlign w:val="bottom"/>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2014-2015</w:t>
            </w:r>
          </w:p>
        </w:tc>
      </w:tr>
      <w:tr w:rsidR="000430A4" w:rsidRPr="006217C6" w:rsidTr="002F32F0">
        <w:trPr>
          <w:trHeight w:val="180"/>
        </w:trPr>
        <w:tc>
          <w:tcPr>
            <w:tcW w:w="4808" w:type="dxa"/>
            <w:tcBorders>
              <w:top w:val="nil"/>
              <w:left w:val="single" w:sz="4" w:space="0" w:color="auto"/>
              <w:bottom w:val="nil"/>
              <w:right w:val="nil"/>
            </w:tcBorders>
            <w:shd w:val="clear" w:color="000000" w:fill="DBE5F1"/>
            <w:noWrap/>
            <w:hideMark/>
          </w:tcPr>
          <w:p w:rsidR="000430A4" w:rsidRPr="006217C6" w:rsidRDefault="000430A4" w:rsidP="002F32F0">
            <w:pPr>
              <w:spacing w:after="0" w:line="240" w:lineRule="auto"/>
              <w:rPr>
                <w:rFonts w:ascii="Calibri" w:eastAsia="Times New Roman" w:hAnsi="Calibri" w:cs="Times New Roman"/>
                <w:color w:val="000000"/>
              </w:rPr>
            </w:pPr>
            <w:r w:rsidRPr="006217C6">
              <w:rPr>
                <w:rFonts w:ascii="Calibri" w:eastAsia="Times New Roman" w:hAnsi="Calibri" w:cs="Times New Roman"/>
                <w:color w:val="000000"/>
              </w:rPr>
              <w:t xml:space="preserve">Number of requests received </w:t>
            </w:r>
          </w:p>
        </w:tc>
        <w:tc>
          <w:tcPr>
            <w:tcW w:w="1527" w:type="dxa"/>
            <w:tcBorders>
              <w:top w:val="nil"/>
              <w:left w:val="nil"/>
              <w:bottom w:val="nil"/>
              <w:right w:val="nil"/>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769</w:t>
            </w:r>
          </w:p>
        </w:tc>
        <w:tc>
          <w:tcPr>
            <w:tcW w:w="1527" w:type="dxa"/>
            <w:tcBorders>
              <w:top w:val="nil"/>
              <w:left w:val="nil"/>
              <w:bottom w:val="nil"/>
              <w:right w:val="nil"/>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689</w:t>
            </w:r>
          </w:p>
        </w:tc>
        <w:tc>
          <w:tcPr>
            <w:tcW w:w="1527" w:type="dxa"/>
            <w:tcBorders>
              <w:top w:val="nil"/>
              <w:left w:val="nil"/>
              <w:bottom w:val="nil"/>
              <w:right w:val="single" w:sz="4" w:space="0" w:color="auto"/>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670</w:t>
            </w:r>
          </w:p>
        </w:tc>
      </w:tr>
      <w:tr w:rsidR="000430A4" w:rsidRPr="006217C6" w:rsidTr="002F32F0">
        <w:trPr>
          <w:trHeight w:val="180"/>
        </w:trPr>
        <w:tc>
          <w:tcPr>
            <w:tcW w:w="4808" w:type="dxa"/>
            <w:tcBorders>
              <w:top w:val="nil"/>
              <w:left w:val="single" w:sz="4" w:space="0" w:color="auto"/>
              <w:bottom w:val="nil"/>
              <w:right w:val="nil"/>
            </w:tcBorders>
            <w:shd w:val="clear" w:color="auto" w:fill="auto"/>
            <w:hideMark/>
          </w:tcPr>
          <w:p w:rsidR="000430A4" w:rsidRPr="006217C6" w:rsidRDefault="000430A4" w:rsidP="002F32F0">
            <w:pPr>
              <w:spacing w:after="0" w:line="240" w:lineRule="auto"/>
              <w:rPr>
                <w:rFonts w:ascii="Calibri" w:eastAsia="Times New Roman" w:hAnsi="Calibri" w:cs="Times New Roman"/>
                <w:color w:val="000000"/>
              </w:rPr>
            </w:pPr>
            <w:r w:rsidRPr="006217C6">
              <w:rPr>
                <w:rFonts w:ascii="Calibri" w:eastAsia="Times New Roman" w:hAnsi="Calibri" w:cs="Times New Roman"/>
                <w:color w:val="000000"/>
              </w:rPr>
              <w:t>Annual change (%)</w:t>
            </w:r>
          </w:p>
        </w:tc>
        <w:tc>
          <w:tcPr>
            <w:tcW w:w="1527" w:type="dxa"/>
            <w:tcBorders>
              <w:top w:val="nil"/>
              <w:left w:val="nil"/>
              <w:bottom w:val="nil"/>
              <w:right w:val="nil"/>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w:t>
            </w:r>
          </w:p>
        </w:tc>
        <w:tc>
          <w:tcPr>
            <w:tcW w:w="1527" w:type="dxa"/>
            <w:tcBorders>
              <w:top w:val="nil"/>
              <w:left w:val="nil"/>
              <w:bottom w:val="nil"/>
              <w:right w:val="nil"/>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-10.4%</w:t>
            </w:r>
          </w:p>
        </w:tc>
        <w:tc>
          <w:tcPr>
            <w:tcW w:w="1527" w:type="dxa"/>
            <w:tcBorders>
              <w:top w:val="nil"/>
              <w:left w:val="nil"/>
              <w:bottom w:val="nil"/>
              <w:right w:val="single" w:sz="4" w:space="0" w:color="auto"/>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-2.8%</w:t>
            </w:r>
          </w:p>
        </w:tc>
      </w:tr>
      <w:tr w:rsidR="000430A4" w:rsidRPr="006217C6" w:rsidTr="002F32F0">
        <w:trPr>
          <w:trHeight w:val="180"/>
        </w:trPr>
        <w:tc>
          <w:tcPr>
            <w:tcW w:w="4808" w:type="dxa"/>
            <w:tcBorders>
              <w:top w:val="nil"/>
              <w:left w:val="single" w:sz="4" w:space="0" w:color="auto"/>
              <w:bottom w:val="nil"/>
              <w:right w:val="nil"/>
            </w:tcBorders>
            <w:shd w:val="clear" w:color="000000" w:fill="DBE5F1"/>
            <w:hideMark/>
          </w:tcPr>
          <w:p w:rsidR="000430A4" w:rsidRPr="006217C6" w:rsidRDefault="000430A4" w:rsidP="002F32F0">
            <w:pPr>
              <w:spacing w:after="0" w:line="240" w:lineRule="auto"/>
              <w:rPr>
                <w:rFonts w:ascii="Calibri" w:eastAsia="Times New Roman" w:hAnsi="Calibri" w:cs="Times New Roman"/>
                <w:color w:val="000000"/>
              </w:rPr>
            </w:pPr>
            <w:r w:rsidRPr="006217C6">
              <w:rPr>
                <w:rFonts w:ascii="Calibri" w:eastAsia="Times New Roman" w:hAnsi="Calibri" w:cs="Times New Roman"/>
                <w:color w:val="000000"/>
              </w:rPr>
              <w:t>Completed requests</w:t>
            </w:r>
          </w:p>
        </w:tc>
        <w:tc>
          <w:tcPr>
            <w:tcW w:w="1527" w:type="dxa"/>
            <w:tcBorders>
              <w:top w:val="nil"/>
              <w:left w:val="nil"/>
              <w:bottom w:val="nil"/>
              <w:right w:val="nil"/>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687</w:t>
            </w:r>
          </w:p>
        </w:tc>
        <w:tc>
          <w:tcPr>
            <w:tcW w:w="1527" w:type="dxa"/>
            <w:tcBorders>
              <w:top w:val="nil"/>
              <w:left w:val="nil"/>
              <w:bottom w:val="nil"/>
              <w:right w:val="nil"/>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685</w:t>
            </w:r>
          </w:p>
        </w:tc>
        <w:tc>
          <w:tcPr>
            <w:tcW w:w="1527" w:type="dxa"/>
            <w:tcBorders>
              <w:top w:val="nil"/>
              <w:left w:val="nil"/>
              <w:bottom w:val="nil"/>
              <w:right w:val="single" w:sz="4" w:space="0" w:color="auto"/>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657</w:t>
            </w:r>
          </w:p>
        </w:tc>
      </w:tr>
      <w:tr w:rsidR="000430A4" w:rsidRPr="006217C6" w:rsidTr="002F32F0">
        <w:trPr>
          <w:trHeight w:val="190"/>
        </w:trPr>
        <w:tc>
          <w:tcPr>
            <w:tcW w:w="4808" w:type="dxa"/>
            <w:tcBorders>
              <w:top w:val="nil"/>
              <w:left w:val="single" w:sz="4" w:space="0" w:color="auto"/>
              <w:right w:val="nil"/>
            </w:tcBorders>
            <w:shd w:val="clear" w:color="auto" w:fill="auto"/>
            <w:hideMark/>
          </w:tcPr>
          <w:p w:rsidR="000430A4" w:rsidRPr="006217C6" w:rsidRDefault="000430A4" w:rsidP="002F32F0">
            <w:pPr>
              <w:spacing w:after="0" w:line="240" w:lineRule="auto"/>
              <w:rPr>
                <w:rFonts w:ascii="Calibri" w:eastAsia="Times New Roman" w:hAnsi="Calibri" w:cs="Times New Roman"/>
                <w:color w:val="000000"/>
              </w:rPr>
            </w:pPr>
            <w:r w:rsidRPr="006217C6">
              <w:rPr>
                <w:rFonts w:ascii="Calibri" w:eastAsia="Times New Roman" w:hAnsi="Calibri" w:cs="Times New Roman"/>
                <w:color w:val="000000"/>
              </w:rPr>
              <w:t>Annual change</w:t>
            </w:r>
          </w:p>
        </w:tc>
        <w:tc>
          <w:tcPr>
            <w:tcW w:w="1527" w:type="dxa"/>
            <w:tcBorders>
              <w:top w:val="nil"/>
              <w:left w:val="nil"/>
              <w:right w:val="nil"/>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w:t>
            </w:r>
          </w:p>
        </w:tc>
        <w:tc>
          <w:tcPr>
            <w:tcW w:w="1527" w:type="dxa"/>
            <w:tcBorders>
              <w:top w:val="nil"/>
              <w:left w:val="nil"/>
              <w:right w:val="nil"/>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-0.3%</w:t>
            </w:r>
          </w:p>
        </w:tc>
        <w:tc>
          <w:tcPr>
            <w:tcW w:w="1527" w:type="dxa"/>
            <w:tcBorders>
              <w:top w:val="nil"/>
              <w:left w:val="nil"/>
              <w:right w:val="single" w:sz="4" w:space="0" w:color="auto"/>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-4.1%</w:t>
            </w:r>
          </w:p>
        </w:tc>
      </w:tr>
      <w:tr w:rsidR="000430A4" w:rsidRPr="006217C6" w:rsidTr="002F32F0">
        <w:trPr>
          <w:trHeight w:val="552"/>
        </w:trPr>
        <w:tc>
          <w:tcPr>
            <w:tcW w:w="4808" w:type="dxa"/>
            <w:tcBorders>
              <w:top w:val="nil"/>
              <w:left w:val="single" w:sz="4" w:space="0" w:color="auto"/>
              <w:right w:val="nil"/>
            </w:tcBorders>
            <w:shd w:val="clear" w:color="000000" w:fill="DBE5F1"/>
            <w:hideMark/>
          </w:tcPr>
          <w:p w:rsidR="000430A4" w:rsidRPr="006217C6" w:rsidRDefault="000430A4" w:rsidP="002F32F0">
            <w:pPr>
              <w:spacing w:after="0" w:line="240" w:lineRule="auto"/>
              <w:rPr>
                <w:rFonts w:ascii="Calibri" w:eastAsia="Times New Roman" w:hAnsi="Calibri" w:cs="Times New Roman"/>
                <w:color w:val="000000"/>
              </w:rPr>
            </w:pPr>
            <w:r w:rsidRPr="006217C6">
              <w:rPr>
                <w:rFonts w:ascii="Calibri" w:eastAsia="Times New Roman" w:hAnsi="Calibri" w:cs="Times New Roman"/>
                <w:color w:val="000000"/>
              </w:rPr>
              <w:t>Number of consultations received (from other government institutions)</w:t>
            </w:r>
          </w:p>
        </w:tc>
        <w:tc>
          <w:tcPr>
            <w:tcW w:w="1527" w:type="dxa"/>
            <w:tcBorders>
              <w:top w:val="nil"/>
              <w:left w:val="nil"/>
              <w:right w:val="nil"/>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269</w:t>
            </w:r>
          </w:p>
        </w:tc>
        <w:tc>
          <w:tcPr>
            <w:tcW w:w="1527" w:type="dxa"/>
            <w:tcBorders>
              <w:top w:val="nil"/>
              <w:left w:val="nil"/>
              <w:right w:val="nil"/>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194</w:t>
            </w:r>
          </w:p>
        </w:tc>
        <w:tc>
          <w:tcPr>
            <w:tcW w:w="1527" w:type="dxa"/>
            <w:tcBorders>
              <w:top w:val="nil"/>
              <w:left w:val="nil"/>
              <w:right w:val="single" w:sz="4" w:space="0" w:color="auto"/>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157</w:t>
            </w:r>
          </w:p>
        </w:tc>
      </w:tr>
      <w:tr w:rsidR="000430A4" w:rsidRPr="006217C6" w:rsidTr="002F32F0">
        <w:trPr>
          <w:trHeight w:val="347"/>
        </w:trPr>
        <w:tc>
          <w:tcPr>
            <w:tcW w:w="4808" w:type="dxa"/>
            <w:tcBorders>
              <w:top w:val="nil"/>
              <w:left w:val="single" w:sz="4" w:space="0" w:color="auto"/>
              <w:right w:val="nil"/>
            </w:tcBorders>
            <w:shd w:val="clear" w:color="auto" w:fill="auto"/>
            <w:hideMark/>
          </w:tcPr>
          <w:p w:rsidR="000430A4" w:rsidRPr="006217C6" w:rsidRDefault="000430A4" w:rsidP="002F32F0">
            <w:pPr>
              <w:spacing w:after="0" w:line="240" w:lineRule="auto"/>
              <w:rPr>
                <w:rFonts w:ascii="Calibri" w:eastAsia="Times New Roman" w:hAnsi="Calibri" w:cs="Times New Roman"/>
                <w:color w:val="000000"/>
              </w:rPr>
            </w:pPr>
            <w:r w:rsidRPr="006217C6">
              <w:rPr>
                <w:rFonts w:ascii="Calibri" w:eastAsia="Times New Roman" w:hAnsi="Calibri" w:cs="Times New Roman"/>
                <w:color w:val="000000"/>
              </w:rPr>
              <w:t>Annual change (%)</w:t>
            </w:r>
          </w:p>
        </w:tc>
        <w:tc>
          <w:tcPr>
            <w:tcW w:w="1527" w:type="dxa"/>
            <w:tcBorders>
              <w:top w:val="nil"/>
              <w:left w:val="nil"/>
              <w:right w:val="nil"/>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w:t>
            </w:r>
          </w:p>
        </w:tc>
        <w:tc>
          <w:tcPr>
            <w:tcW w:w="1527" w:type="dxa"/>
            <w:tcBorders>
              <w:top w:val="nil"/>
              <w:left w:val="nil"/>
              <w:right w:val="nil"/>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-27.9%</w:t>
            </w:r>
          </w:p>
        </w:tc>
        <w:tc>
          <w:tcPr>
            <w:tcW w:w="1527" w:type="dxa"/>
            <w:tcBorders>
              <w:top w:val="nil"/>
              <w:left w:val="nil"/>
              <w:right w:val="single" w:sz="4" w:space="0" w:color="auto"/>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-19.</w:t>
            </w:r>
            <w:r>
              <w:rPr>
                <w:rFonts w:ascii="Calibri" w:eastAsia="Times New Roman" w:hAnsi="Calibri" w:cs="Times New Roman"/>
                <w:color w:val="000000"/>
              </w:rPr>
              <w:t>2</w:t>
            </w:r>
            <w:r w:rsidRPr="006217C6">
              <w:rPr>
                <w:rFonts w:ascii="Calibri" w:eastAsia="Times New Roman" w:hAnsi="Calibri" w:cs="Times New Roman"/>
                <w:color w:val="000000"/>
              </w:rPr>
              <w:t>%</w:t>
            </w:r>
          </w:p>
        </w:tc>
      </w:tr>
      <w:tr w:rsidR="000430A4" w:rsidRPr="006217C6" w:rsidTr="002F32F0">
        <w:trPr>
          <w:trHeight w:val="552"/>
        </w:trPr>
        <w:tc>
          <w:tcPr>
            <w:tcW w:w="4808" w:type="dxa"/>
            <w:tcBorders>
              <w:left w:val="single" w:sz="4" w:space="0" w:color="auto"/>
              <w:bottom w:val="nil"/>
              <w:right w:val="nil"/>
            </w:tcBorders>
            <w:shd w:val="clear" w:color="000000" w:fill="DBE5F1"/>
            <w:hideMark/>
          </w:tcPr>
          <w:p w:rsidR="000430A4" w:rsidRPr="006217C6" w:rsidRDefault="000430A4" w:rsidP="002F32F0">
            <w:pPr>
              <w:spacing w:after="0" w:line="240" w:lineRule="auto"/>
              <w:rPr>
                <w:rFonts w:ascii="Calibri" w:eastAsia="Times New Roman" w:hAnsi="Calibri" w:cs="Times New Roman"/>
                <w:color w:val="000000"/>
              </w:rPr>
            </w:pPr>
            <w:r w:rsidRPr="006217C6">
              <w:rPr>
                <w:rFonts w:ascii="Calibri" w:eastAsia="Times New Roman" w:hAnsi="Calibri" w:cs="Times New Roman"/>
                <w:color w:val="000000"/>
              </w:rPr>
              <w:t>Average number of pages processed per request completed</w:t>
            </w:r>
          </w:p>
        </w:tc>
        <w:tc>
          <w:tcPr>
            <w:tcW w:w="1527" w:type="dxa"/>
            <w:tcBorders>
              <w:left w:val="nil"/>
              <w:bottom w:val="nil"/>
              <w:right w:val="nil"/>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160</w:t>
            </w:r>
          </w:p>
        </w:tc>
        <w:tc>
          <w:tcPr>
            <w:tcW w:w="1527" w:type="dxa"/>
            <w:tcBorders>
              <w:left w:val="nil"/>
              <w:bottom w:val="nil"/>
              <w:right w:val="nil"/>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109</w:t>
            </w:r>
          </w:p>
        </w:tc>
        <w:tc>
          <w:tcPr>
            <w:tcW w:w="1527" w:type="dxa"/>
            <w:tcBorders>
              <w:left w:val="nil"/>
              <w:bottom w:val="nil"/>
              <w:right w:val="single" w:sz="4" w:space="0" w:color="auto"/>
            </w:tcBorders>
            <w:shd w:val="clear" w:color="000000" w:fill="DBE5F1"/>
            <w:noWrap/>
            <w:vAlign w:val="center"/>
            <w:hideMark/>
          </w:tcPr>
          <w:p w:rsidR="000430A4" w:rsidRPr="006217C6" w:rsidRDefault="000430A4" w:rsidP="002F32F0">
            <w:pPr>
              <w:spacing w:after="0" w:line="240" w:lineRule="auto"/>
              <w:jc w:val="center"/>
              <w:rPr>
                <w:rFonts w:ascii="Calibri" w:eastAsia="Times New Roman" w:hAnsi="Calibri" w:cs="Times New Roman"/>
                <w:b/>
                <w:bCs/>
                <w:color w:val="000000"/>
              </w:rPr>
            </w:pPr>
            <w:r w:rsidRPr="006217C6">
              <w:rPr>
                <w:rFonts w:ascii="Calibri" w:eastAsia="Times New Roman" w:hAnsi="Calibri" w:cs="Times New Roman"/>
                <w:b/>
                <w:bCs/>
                <w:color w:val="000000"/>
              </w:rPr>
              <w:t>217</w:t>
            </w:r>
          </w:p>
        </w:tc>
      </w:tr>
      <w:tr w:rsidR="000430A4" w:rsidRPr="006217C6" w:rsidTr="002F32F0">
        <w:trPr>
          <w:trHeight w:val="552"/>
        </w:trPr>
        <w:tc>
          <w:tcPr>
            <w:tcW w:w="4808" w:type="dxa"/>
            <w:tcBorders>
              <w:top w:val="nil"/>
              <w:left w:val="single" w:sz="4" w:space="0" w:color="auto"/>
              <w:bottom w:val="single" w:sz="4" w:space="0" w:color="auto"/>
              <w:right w:val="nil"/>
            </w:tcBorders>
            <w:shd w:val="clear" w:color="auto" w:fill="auto"/>
            <w:hideMark/>
          </w:tcPr>
          <w:p w:rsidR="000430A4" w:rsidRPr="006217C6" w:rsidRDefault="000430A4" w:rsidP="002F32F0">
            <w:pPr>
              <w:spacing w:after="0" w:line="240" w:lineRule="auto"/>
              <w:rPr>
                <w:rFonts w:ascii="Calibri" w:eastAsia="Times New Roman" w:hAnsi="Calibri" w:cs="Times New Roman"/>
                <w:color w:val="000000"/>
              </w:rPr>
            </w:pPr>
            <w:r w:rsidRPr="006217C6">
              <w:rPr>
                <w:rFonts w:ascii="Calibri" w:eastAsia="Times New Roman" w:hAnsi="Calibri" w:cs="Times New Roman"/>
                <w:color w:val="000000"/>
              </w:rPr>
              <w:t>% of requests for which more than 1</w:t>
            </w:r>
            <w:r w:rsidR="000A6BE0">
              <w:rPr>
                <w:rFonts w:ascii="Calibri" w:eastAsia="Times New Roman" w:hAnsi="Calibri" w:cs="Times New Roman"/>
                <w:color w:val="000000"/>
              </w:rPr>
              <w:t>,</w:t>
            </w:r>
            <w:r w:rsidRPr="006217C6">
              <w:rPr>
                <w:rFonts w:ascii="Calibri" w:eastAsia="Times New Roman" w:hAnsi="Calibri" w:cs="Times New Roman"/>
                <w:color w:val="000000"/>
              </w:rPr>
              <w:t>000 pages were processed</w:t>
            </w:r>
          </w:p>
        </w:tc>
        <w:tc>
          <w:tcPr>
            <w:tcW w:w="1527" w:type="dxa"/>
            <w:tcBorders>
              <w:top w:val="nil"/>
              <w:left w:val="nil"/>
              <w:bottom w:val="single" w:sz="4" w:space="0" w:color="auto"/>
              <w:right w:val="nil"/>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3.9%</w:t>
            </w:r>
          </w:p>
        </w:tc>
        <w:tc>
          <w:tcPr>
            <w:tcW w:w="1527" w:type="dxa"/>
            <w:tcBorders>
              <w:top w:val="nil"/>
              <w:left w:val="nil"/>
              <w:bottom w:val="single" w:sz="4" w:space="0" w:color="auto"/>
              <w:right w:val="nil"/>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2.2%</w:t>
            </w:r>
          </w:p>
        </w:tc>
        <w:tc>
          <w:tcPr>
            <w:tcW w:w="1527" w:type="dxa"/>
            <w:tcBorders>
              <w:top w:val="nil"/>
              <w:left w:val="nil"/>
              <w:bottom w:val="single" w:sz="4" w:space="0" w:color="auto"/>
              <w:right w:val="single" w:sz="4" w:space="0" w:color="auto"/>
            </w:tcBorders>
            <w:shd w:val="clear" w:color="auto" w:fill="auto"/>
            <w:noWrap/>
            <w:vAlign w:val="center"/>
            <w:hideMark/>
          </w:tcPr>
          <w:p w:rsidR="000430A4" w:rsidRPr="006217C6" w:rsidRDefault="000430A4" w:rsidP="002F32F0">
            <w:pPr>
              <w:spacing w:after="0" w:line="240" w:lineRule="auto"/>
              <w:jc w:val="center"/>
              <w:rPr>
                <w:rFonts w:ascii="Calibri" w:eastAsia="Times New Roman" w:hAnsi="Calibri" w:cs="Times New Roman"/>
                <w:color w:val="000000"/>
              </w:rPr>
            </w:pPr>
            <w:r w:rsidRPr="006217C6">
              <w:rPr>
                <w:rFonts w:ascii="Calibri" w:eastAsia="Times New Roman" w:hAnsi="Calibri" w:cs="Times New Roman"/>
                <w:color w:val="000000"/>
              </w:rPr>
              <w:t>5.4%</w:t>
            </w:r>
          </w:p>
        </w:tc>
      </w:tr>
    </w:tbl>
    <w:p w:rsidR="000430A4" w:rsidRPr="00742689" w:rsidRDefault="000430A4" w:rsidP="000430A4">
      <w:pPr>
        <w:pStyle w:val="Heading2"/>
        <w:spacing w:before="240"/>
      </w:pPr>
      <w:r w:rsidRPr="00742689">
        <w:t>Request completion time</w:t>
      </w:r>
    </w:p>
    <w:p w:rsidR="000430A4" w:rsidRPr="004D30BF" w:rsidRDefault="000430A4" w:rsidP="000430A4">
      <w:pPr>
        <w:pStyle w:val="Heading4"/>
      </w:pPr>
      <w:r w:rsidRPr="004D30BF">
        <w:t>Timeliness</w:t>
      </w:r>
    </w:p>
    <w:p w:rsidR="000430A4" w:rsidRPr="008B5A93" w:rsidRDefault="000430A4" w:rsidP="000430A4">
      <w:pPr>
        <w:jc w:val="both"/>
      </w:pPr>
      <w:r w:rsidRPr="008B5A93">
        <w:t>Figure 1 reveals that</w:t>
      </w:r>
      <w:r>
        <w:t xml:space="preserve"> 44.3</w:t>
      </w:r>
      <w:r w:rsidRPr="008B5A93">
        <w:t xml:space="preserve">% of requests were completed within 30 days or less, which is </w:t>
      </w:r>
      <w:r>
        <w:t>5.5</w:t>
      </w:r>
      <w:r w:rsidRPr="008B5A93">
        <w:t xml:space="preserve">% </w:t>
      </w:r>
      <w:r>
        <w:t>lower</w:t>
      </w:r>
      <w:r w:rsidRPr="008B5A93">
        <w:t xml:space="preserve"> than the</w:t>
      </w:r>
      <w:r>
        <w:t xml:space="preserve"> results observed in 2013-2014.</w:t>
      </w:r>
    </w:p>
    <w:p w:rsidR="000430A4" w:rsidRPr="00990BF2" w:rsidRDefault="000430A4" w:rsidP="000430A4">
      <w:pPr>
        <w:pStyle w:val="Heading3"/>
        <w:spacing w:after="200"/>
        <w:rPr>
          <w:sz w:val="24"/>
          <w:szCs w:val="24"/>
        </w:rPr>
      </w:pPr>
      <w:r w:rsidRPr="00990BF2">
        <w:t>Figure 1: Request Completion T</w:t>
      </w:r>
      <w:r>
        <w:t>ime</w:t>
      </w:r>
      <w:r w:rsidRPr="0079415C">
        <w:rPr>
          <w:noProof/>
          <w:color w:val="FF0000"/>
          <w:sz w:val="24"/>
          <w:szCs w:val="24"/>
        </w:rPr>
        <w:drawing>
          <wp:inline distT="0" distB="0" distL="0" distR="0">
            <wp:extent cx="5947576" cy="4182386"/>
            <wp:effectExtent l="0" t="0" r="0" b="8890"/>
            <wp:docPr id="5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0430A4" w:rsidRPr="00D2368F" w:rsidRDefault="000430A4" w:rsidP="000430A4">
      <w:pPr>
        <w:pStyle w:val="Heading4"/>
      </w:pPr>
      <w:r w:rsidRPr="00D2368F">
        <w:t>Extensions</w:t>
      </w:r>
    </w:p>
    <w:p w:rsidR="000430A4" w:rsidRPr="00C3041B" w:rsidRDefault="000430A4" w:rsidP="000430A4">
      <w:pPr>
        <w:jc w:val="both"/>
      </w:pPr>
      <w:proofErr w:type="spellStart"/>
      <w:r w:rsidRPr="00C3041B">
        <w:t>NRCan</w:t>
      </w:r>
      <w:proofErr w:type="spellEnd"/>
      <w:r w:rsidRPr="00C3041B">
        <w:t xml:space="preserve"> took a total of 422 extensions in 2014-2015 compared to 356 in 2013-2014. The most common reason for taking an extension was consultations (70.9%).</w:t>
      </w:r>
    </w:p>
    <w:p w:rsidR="000430A4" w:rsidRPr="00C3041B" w:rsidRDefault="000430A4" w:rsidP="000430A4">
      <w:pPr>
        <w:jc w:val="both"/>
      </w:pPr>
      <w:r w:rsidRPr="00C3041B">
        <w:t>Figure 2 shows that 17.1% of extensions were taken for 30 days or less, which is 4.7% higher than the previous year. Figure 2 also shows that the number of extensions taken between 31 and 60 days in 2014-2015 increased by 4.7% while the number of extensions taken between 181-365 days decreased by 16.1% compared to 2013-2014.</w:t>
      </w:r>
    </w:p>
    <w:p w:rsidR="000430A4" w:rsidRDefault="000430A4" w:rsidP="000430A4">
      <w:pPr>
        <w:pStyle w:val="Heading3"/>
        <w:spacing w:after="200"/>
      </w:pPr>
      <w:r w:rsidRPr="009D5227">
        <w:t>Figure 2: Length of Extensions</w:t>
      </w:r>
      <w:r w:rsidRPr="0079415C">
        <w:rPr>
          <w:noProof/>
        </w:rPr>
        <w:drawing>
          <wp:inline distT="0" distB="0" distL="0" distR="0">
            <wp:extent cx="5947576" cy="4238045"/>
            <wp:effectExtent l="0" t="0" r="0" b="0"/>
            <wp:docPr id="5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0430A4" w:rsidRPr="00D2368F" w:rsidRDefault="000430A4" w:rsidP="000430A4">
      <w:pPr>
        <w:pStyle w:val="Heading4"/>
      </w:pPr>
      <w:r>
        <w:t>Deemed refusals</w:t>
      </w:r>
    </w:p>
    <w:p w:rsidR="000430A4" w:rsidRPr="00C3041B" w:rsidRDefault="000430A4" w:rsidP="000430A4">
      <w:pPr>
        <w:jc w:val="both"/>
      </w:pPr>
      <w:r w:rsidRPr="00C3041B">
        <w:t>In 2014-2015, the number of requests closed past the statutory deadline was 59, which accounts for 9.0% of completed requests. This rate represents a “B” grade.</w:t>
      </w:r>
      <w:r w:rsidRPr="00C3041B">
        <w:rPr>
          <w:rStyle w:val="FootnoteReference"/>
        </w:rPr>
        <w:footnoteReference w:id="71"/>
      </w:r>
      <w:r w:rsidRPr="00C3041B">
        <w:t xml:space="preserve"> The most common reason for overdue requests was workload (78.0%).</w:t>
      </w:r>
    </w:p>
    <w:p w:rsidR="000430A4" w:rsidRPr="00C3041B" w:rsidRDefault="000430A4" w:rsidP="000430A4">
      <w:pPr>
        <w:jc w:val="both"/>
      </w:pPr>
      <w:r w:rsidRPr="00C3041B">
        <w:t>Figure 3 shows that 35.6% of overdue requests were late for 30 days or less, while 32.2% were late by more than 180 days. In the previous period, 14 requests were overdue of which 50.0% were late by 30 days or less.</w:t>
      </w:r>
    </w:p>
    <w:p w:rsidR="000430A4" w:rsidRDefault="000430A4" w:rsidP="000430A4">
      <w:pPr>
        <w:pStyle w:val="Heading3"/>
        <w:spacing w:after="200"/>
      </w:pPr>
      <w:r w:rsidRPr="009D5227">
        <w:t>Figure 3: Lateness of Overdue Requests</w:t>
      </w:r>
      <w:r w:rsidRPr="0079415C">
        <w:rPr>
          <w:noProof/>
        </w:rPr>
        <w:drawing>
          <wp:inline distT="0" distB="0" distL="0" distR="0">
            <wp:extent cx="5868063" cy="4238046"/>
            <wp:effectExtent l="0" t="0" r="18415" b="10160"/>
            <wp:docPr id="5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0430A4" w:rsidRPr="00742689" w:rsidRDefault="000430A4" w:rsidP="000430A4">
      <w:pPr>
        <w:pStyle w:val="Heading2"/>
      </w:pPr>
      <w:r w:rsidRPr="00742689">
        <w:t>Disclosure</w:t>
      </w:r>
    </w:p>
    <w:p w:rsidR="000430A4" w:rsidRPr="00D2368F" w:rsidRDefault="000430A4" w:rsidP="000430A4">
      <w:pPr>
        <w:pStyle w:val="Heading4"/>
      </w:pPr>
      <w:r w:rsidRPr="00D2368F">
        <w:t xml:space="preserve">Percentage of requests for </w:t>
      </w:r>
      <w:r>
        <w:t>which information was disclosed</w:t>
      </w:r>
    </w:p>
    <w:p w:rsidR="000430A4" w:rsidRDefault="000430A4" w:rsidP="000430A4">
      <w:pPr>
        <w:jc w:val="both"/>
      </w:pPr>
      <w:r w:rsidRPr="00D37A5A">
        <w:t xml:space="preserve">In 2014-2015, </w:t>
      </w:r>
      <w:r>
        <w:t>23.3</w:t>
      </w:r>
      <w:r w:rsidRPr="00D37A5A">
        <w:t xml:space="preserve">% of completed requests were entirely disclosed which </w:t>
      </w:r>
      <w:r>
        <w:t xml:space="preserve">represents an increase of 2.4% in comparison to </w:t>
      </w:r>
      <w:r w:rsidRPr="00D37A5A">
        <w:t xml:space="preserve">the previous period (see Figure 4). Figure 4 also shows that the rate for partially disclosed requests was </w:t>
      </w:r>
      <w:r>
        <w:t>54.3% in 2014-2015, which is an increase of</w:t>
      </w:r>
      <w:r w:rsidRPr="00D37A5A">
        <w:t xml:space="preserve"> </w:t>
      </w:r>
      <w:r>
        <w:t>5.4</w:t>
      </w:r>
      <w:r w:rsidRPr="00D37A5A">
        <w:t xml:space="preserve">% </w:t>
      </w:r>
      <w:r>
        <w:t>from</w:t>
      </w:r>
      <w:r w:rsidRPr="00D37A5A">
        <w:t xml:space="preserve"> the </w:t>
      </w:r>
      <w:r>
        <w:t>results of the previous period.</w:t>
      </w:r>
    </w:p>
    <w:p w:rsidR="000430A4" w:rsidRDefault="000430A4" w:rsidP="000430A4">
      <w:r>
        <w:br w:type="page"/>
      </w:r>
    </w:p>
    <w:p w:rsidR="000430A4" w:rsidRDefault="000430A4" w:rsidP="000430A4">
      <w:pPr>
        <w:jc w:val="both"/>
      </w:pPr>
    </w:p>
    <w:p w:rsidR="000430A4" w:rsidRDefault="000430A4" w:rsidP="000430A4">
      <w:pPr>
        <w:pStyle w:val="Heading3"/>
        <w:spacing w:before="240"/>
      </w:pPr>
      <w:r w:rsidRPr="009D5227">
        <w:t>Figure 4: Level of Disclosure</w:t>
      </w:r>
    </w:p>
    <w:p w:rsidR="000430A4" w:rsidRDefault="000430A4" w:rsidP="000430A4">
      <w:pPr>
        <w:pStyle w:val="Heading3"/>
        <w:spacing w:after="200"/>
      </w:pPr>
      <w:r w:rsidRPr="0079415C">
        <w:rPr>
          <w:noProof/>
        </w:rPr>
        <w:drawing>
          <wp:inline distT="0" distB="0" distL="0" distR="0">
            <wp:extent cx="6050943" cy="3888188"/>
            <wp:effectExtent l="0" t="0" r="6985" b="0"/>
            <wp:docPr id="5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0430A4" w:rsidRPr="00D2368F" w:rsidRDefault="000430A4" w:rsidP="000430A4">
      <w:pPr>
        <w:pStyle w:val="Heading4"/>
      </w:pPr>
      <w:r>
        <w:t>Exemptions</w:t>
      </w:r>
    </w:p>
    <w:p w:rsidR="000430A4" w:rsidRPr="00C3041B" w:rsidRDefault="000430A4" w:rsidP="000430A4">
      <w:pPr>
        <w:jc w:val="both"/>
      </w:pPr>
      <w:r w:rsidRPr="00C3041B">
        <w:t>The average number of exemptions used per completed request was 1.79 in 2014-2015 compared to 1.32 in 2013-2014 (see Table 2). The most common exemptions in 2014-2015 were section 21 (Operations of Government) (41.0%), section 19 (Personal Information) (13.2%) and section 20 (Third-Party Information) (12.1%).</w:t>
      </w:r>
    </w:p>
    <w:p w:rsidR="000430A4" w:rsidRPr="00916BD0" w:rsidRDefault="000430A4" w:rsidP="000430A4">
      <w:pPr>
        <w:pStyle w:val="Heading3"/>
      </w:pPr>
      <w:r w:rsidRPr="00916BD0">
        <w:t xml:space="preserve">Table </w:t>
      </w:r>
      <w:r>
        <w:t>2</w:t>
      </w:r>
      <w:r w:rsidRPr="00916BD0">
        <w:t>: Exemptions</w:t>
      </w:r>
    </w:p>
    <w:tbl>
      <w:tblPr>
        <w:tblW w:w="9769" w:type="dxa"/>
        <w:tblInd w:w="98" w:type="dxa"/>
        <w:tblLook w:val="04A0"/>
      </w:tblPr>
      <w:tblGrid>
        <w:gridCol w:w="5611"/>
        <w:gridCol w:w="1386"/>
        <w:gridCol w:w="1386"/>
        <w:gridCol w:w="1386"/>
      </w:tblGrid>
      <w:tr w:rsidR="000430A4" w:rsidRPr="007A508B" w:rsidTr="002F32F0">
        <w:trPr>
          <w:trHeight w:val="376"/>
        </w:trPr>
        <w:tc>
          <w:tcPr>
            <w:tcW w:w="5611"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7A508B" w:rsidRDefault="000430A4" w:rsidP="002F32F0">
            <w:pPr>
              <w:spacing w:after="0" w:line="240" w:lineRule="auto"/>
              <w:rPr>
                <w:rFonts w:ascii="Calibri" w:eastAsia="Times New Roman" w:hAnsi="Calibri" w:cs="Times New Roman"/>
                <w:color w:val="000000"/>
              </w:rPr>
            </w:pPr>
            <w:r w:rsidRPr="007A508B">
              <w:rPr>
                <w:rFonts w:ascii="Calibri" w:eastAsia="Times New Roman" w:hAnsi="Calibri" w:cs="Times New Roman"/>
                <w:color w:val="000000"/>
              </w:rPr>
              <w:t xml:space="preserve">Exemptions </w:t>
            </w:r>
          </w:p>
        </w:tc>
        <w:tc>
          <w:tcPr>
            <w:tcW w:w="1386" w:type="dxa"/>
            <w:tcBorders>
              <w:top w:val="single" w:sz="8" w:space="0" w:color="auto"/>
              <w:left w:val="nil"/>
              <w:bottom w:val="single" w:sz="8" w:space="0" w:color="auto"/>
              <w:right w:val="nil"/>
            </w:tcBorders>
            <w:shd w:val="clear" w:color="000000" w:fill="DBE5F1"/>
            <w:noWrap/>
            <w:vAlign w:val="bottom"/>
            <w:hideMark/>
          </w:tcPr>
          <w:p w:rsidR="000430A4" w:rsidRPr="007A508B" w:rsidRDefault="000430A4" w:rsidP="002F32F0">
            <w:pPr>
              <w:spacing w:after="0" w:line="240" w:lineRule="auto"/>
              <w:jc w:val="center"/>
              <w:rPr>
                <w:rFonts w:ascii="Calibri" w:eastAsia="Times New Roman" w:hAnsi="Calibri" w:cs="Times New Roman"/>
                <w:b/>
                <w:bCs/>
                <w:color w:val="000000"/>
              </w:rPr>
            </w:pPr>
            <w:r w:rsidRPr="007A508B">
              <w:rPr>
                <w:rFonts w:ascii="Calibri" w:eastAsia="Times New Roman" w:hAnsi="Calibri" w:cs="Times New Roman"/>
                <w:b/>
                <w:bCs/>
                <w:color w:val="000000"/>
              </w:rPr>
              <w:t>2012-2013</w:t>
            </w:r>
          </w:p>
        </w:tc>
        <w:tc>
          <w:tcPr>
            <w:tcW w:w="1386" w:type="dxa"/>
            <w:tcBorders>
              <w:top w:val="single" w:sz="8" w:space="0" w:color="auto"/>
              <w:left w:val="nil"/>
              <w:bottom w:val="single" w:sz="8" w:space="0" w:color="auto"/>
              <w:right w:val="nil"/>
            </w:tcBorders>
            <w:shd w:val="clear" w:color="000000" w:fill="DBE5F1"/>
            <w:noWrap/>
            <w:vAlign w:val="bottom"/>
            <w:hideMark/>
          </w:tcPr>
          <w:p w:rsidR="000430A4" w:rsidRPr="007A508B" w:rsidRDefault="000430A4" w:rsidP="002F32F0">
            <w:pPr>
              <w:spacing w:after="0" w:line="240" w:lineRule="auto"/>
              <w:jc w:val="center"/>
              <w:rPr>
                <w:rFonts w:ascii="Calibri" w:eastAsia="Times New Roman" w:hAnsi="Calibri" w:cs="Times New Roman"/>
                <w:b/>
                <w:bCs/>
                <w:color w:val="000000"/>
              </w:rPr>
            </w:pPr>
            <w:r w:rsidRPr="007A508B">
              <w:rPr>
                <w:rFonts w:ascii="Calibri" w:eastAsia="Times New Roman" w:hAnsi="Calibri" w:cs="Times New Roman"/>
                <w:b/>
                <w:bCs/>
                <w:color w:val="000000"/>
              </w:rPr>
              <w:t>2013-2014</w:t>
            </w:r>
          </w:p>
        </w:tc>
        <w:tc>
          <w:tcPr>
            <w:tcW w:w="1386"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7A508B" w:rsidRDefault="000430A4" w:rsidP="002F32F0">
            <w:pPr>
              <w:spacing w:after="0" w:line="240" w:lineRule="auto"/>
              <w:jc w:val="center"/>
              <w:rPr>
                <w:rFonts w:ascii="Calibri" w:eastAsia="Times New Roman" w:hAnsi="Calibri" w:cs="Times New Roman"/>
                <w:b/>
                <w:bCs/>
                <w:color w:val="000000"/>
              </w:rPr>
            </w:pPr>
            <w:r w:rsidRPr="007A508B">
              <w:rPr>
                <w:rFonts w:ascii="Calibri" w:eastAsia="Times New Roman" w:hAnsi="Calibri" w:cs="Times New Roman"/>
                <w:b/>
                <w:bCs/>
                <w:color w:val="000000"/>
              </w:rPr>
              <w:t>2014-2015</w:t>
            </w:r>
          </w:p>
        </w:tc>
      </w:tr>
      <w:tr w:rsidR="000430A4" w:rsidRPr="007A508B" w:rsidTr="002F32F0">
        <w:trPr>
          <w:trHeight w:val="358"/>
        </w:trPr>
        <w:tc>
          <w:tcPr>
            <w:tcW w:w="5611" w:type="dxa"/>
            <w:tcBorders>
              <w:top w:val="nil"/>
              <w:left w:val="single" w:sz="8" w:space="0" w:color="auto"/>
              <w:bottom w:val="nil"/>
              <w:right w:val="nil"/>
            </w:tcBorders>
            <w:shd w:val="clear" w:color="auto" w:fill="auto"/>
            <w:noWrap/>
            <w:vAlign w:val="bottom"/>
            <w:hideMark/>
          </w:tcPr>
          <w:p w:rsidR="000430A4" w:rsidRPr="007A508B" w:rsidRDefault="000430A4" w:rsidP="002F32F0">
            <w:pPr>
              <w:spacing w:after="0" w:line="240" w:lineRule="auto"/>
              <w:rPr>
                <w:rFonts w:ascii="Calibri" w:eastAsia="Times New Roman" w:hAnsi="Calibri" w:cs="Times New Roman"/>
                <w:color w:val="000000"/>
              </w:rPr>
            </w:pPr>
            <w:r w:rsidRPr="007A508B">
              <w:rPr>
                <w:rFonts w:ascii="Calibri" w:eastAsia="Times New Roman" w:hAnsi="Calibri" w:cs="Times New Roman"/>
                <w:color w:val="000000"/>
              </w:rPr>
              <w:t xml:space="preserve">Total </w:t>
            </w:r>
            <w:r>
              <w:rPr>
                <w:rFonts w:ascii="Calibri" w:eastAsia="Times New Roman" w:hAnsi="Calibri" w:cs="Times New Roman"/>
                <w:color w:val="000000"/>
              </w:rPr>
              <w:t>n</w:t>
            </w:r>
            <w:r w:rsidRPr="007A508B">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7A508B">
              <w:rPr>
                <w:rFonts w:ascii="Calibri" w:eastAsia="Times New Roman" w:hAnsi="Calibri" w:cs="Times New Roman"/>
                <w:color w:val="000000"/>
              </w:rPr>
              <w:t xml:space="preserve"> </w:t>
            </w:r>
          </w:p>
        </w:tc>
        <w:tc>
          <w:tcPr>
            <w:tcW w:w="1386" w:type="dxa"/>
            <w:tcBorders>
              <w:top w:val="nil"/>
              <w:left w:val="nil"/>
              <w:bottom w:val="nil"/>
              <w:right w:val="nil"/>
            </w:tcBorders>
            <w:shd w:val="clear" w:color="auto" w:fill="auto"/>
            <w:noWrap/>
            <w:vAlign w:val="bottom"/>
            <w:hideMark/>
          </w:tcPr>
          <w:p w:rsidR="000430A4" w:rsidRPr="007A508B" w:rsidRDefault="000430A4" w:rsidP="002F32F0">
            <w:pPr>
              <w:spacing w:after="0" w:line="240" w:lineRule="auto"/>
              <w:jc w:val="center"/>
              <w:rPr>
                <w:rFonts w:ascii="Calibri" w:eastAsia="Times New Roman" w:hAnsi="Calibri" w:cs="Times New Roman"/>
                <w:color w:val="000000"/>
              </w:rPr>
            </w:pPr>
            <w:r w:rsidRPr="007A508B">
              <w:rPr>
                <w:rFonts w:ascii="Calibri" w:eastAsia="Times New Roman" w:hAnsi="Calibri" w:cs="Times New Roman"/>
                <w:color w:val="000000"/>
              </w:rPr>
              <w:t>1</w:t>
            </w:r>
            <w:r w:rsidR="000A6BE0">
              <w:rPr>
                <w:rFonts w:ascii="Calibri" w:eastAsia="Times New Roman" w:hAnsi="Calibri" w:cs="Times New Roman"/>
                <w:color w:val="000000"/>
              </w:rPr>
              <w:t>,</w:t>
            </w:r>
            <w:r w:rsidRPr="007A508B">
              <w:rPr>
                <w:rFonts w:ascii="Calibri" w:eastAsia="Times New Roman" w:hAnsi="Calibri" w:cs="Times New Roman"/>
                <w:color w:val="000000"/>
              </w:rPr>
              <w:t>246</w:t>
            </w:r>
          </w:p>
        </w:tc>
        <w:tc>
          <w:tcPr>
            <w:tcW w:w="1386" w:type="dxa"/>
            <w:tcBorders>
              <w:top w:val="nil"/>
              <w:left w:val="nil"/>
              <w:bottom w:val="nil"/>
              <w:right w:val="nil"/>
            </w:tcBorders>
            <w:shd w:val="clear" w:color="auto" w:fill="auto"/>
            <w:noWrap/>
            <w:vAlign w:val="bottom"/>
            <w:hideMark/>
          </w:tcPr>
          <w:p w:rsidR="000430A4" w:rsidRPr="007A508B" w:rsidRDefault="000430A4" w:rsidP="002F32F0">
            <w:pPr>
              <w:spacing w:after="0" w:line="240" w:lineRule="auto"/>
              <w:jc w:val="center"/>
              <w:rPr>
                <w:rFonts w:ascii="Calibri" w:eastAsia="Times New Roman" w:hAnsi="Calibri" w:cs="Times New Roman"/>
                <w:color w:val="000000"/>
              </w:rPr>
            </w:pPr>
            <w:r w:rsidRPr="007A508B">
              <w:rPr>
                <w:rFonts w:ascii="Calibri" w:eastAsia="Times New Roman" w:hAnsi="Calibri" w:cs="Times New Roman"/>
                <w:color w:val="000000"/>
              </w:rPr>
              <w:t>904</w:t>
            </w:r>
          </w:p>
        </w:tc>
        <w:tc>
          <w:tcPr>
            <w:tcW w:w="1386" w:type="dxa"/>
            <w:tcBorders>
              <w:top w:val="nil"/>
              <w:left w:val="nil"/>
              <w:bottom w:val="nil"/>
              <w:right w:val="single" w:sz="8" w:space="0" w:color="auto"/>
            </w:tcBorders>
            <w:shd w:val="clear" w:color="auto" w:fill="auto"/>
            <w:noWrap/>
            <w:vAlign w:val="bottom"/>
            <w:hideMark/>
          </w:tcPr>
          <w:p w:rsidR="000430A4" w:rsidRPr="007A508B" w:rsidRDefault="000430A4" w:rsidP="002F32F0">
            <w:pPr>
              <w:spacing w:after="0" w:line="240" w:lineRule="auto"/>
              <w:jc w:val="center"/>
              <w:rPr>
                <w:rFonts w:ascii="Calibri" w:eastAsia="Times New Roman" w:hAnsi="Calibri" w:cs="Times New Roman"/>
                <w:color w:val="000000"/>
              </w:rPr>
            </w:pPr>
            <w:r w:rsidRPr="007A508B">
              <w:rPr>
                <w:rFonts w:ascii="Calibri" w:eastAsia="Times New Roman" w:hAnsi="Calibri" w:cs="Times New Roman"/>
                <w:color w:val="000000"/>
              </w:rPr>
              <w:t>1</w:t>
            </w:r>
            <w:r w:rsidR="000A6BE0">
              <w:rPr>
                <w:rFonts w:ascii="Calibri" w:eastAsia="Times New Roman" w:hAnsi="Calibri" w:cs="Times New Roman"/>
                <w:color w:val="000000"/>
              </w:rPr>
              <w:t>,</w:t>
            </w:r>
            <w:r w:rsidRPr="007A508B">
              <w:rPr>
                <w:rFonts w:ascii="Calibri" w:eastAsia="Times New Roman" w:hAnsi="Calibri" w:cs="Times New Roman"/>
                <w:color w:val="000000"/>
              </w:rPr>
              <w:t>178</w:t>
            </w:r>
          </w:p>
        </w:tc>
      </w:tr>
      <w:tr w:rsidR="000430A4" w:rsidRPr="007A508B" w:rsidTr="002F32F0">
        <w:trPr>
          <w:trHeight w:val="358"/>
        </w:trPr>
        <w:tc>
          <w:tcPr>
            <w:tcW w:w="5611" w:type="dxa"/>
            <w:tcBorders>
              <w:top w:val="nil"/>
              <w:left w:val="single" w:sz="8" w:space="0" w:color="auto"/>
              <w:bottom w:val="nil"/>
              <w:right w:val="nil"/>
            </w:tcBorders>
            <w:shd w:val="clear" w:color="auto" w:fill="auto"/>
            <w:noWrap/>
            <w:vAlign w:val="bottom"/>
            <w:hideMark/>
          </w:tcPr>
          <w:p w:rsidR="000430A4" w:rsidRPr="007A508B" w:rsidRDefault="000430A4" w:rsidP="002F32F0">
            <w:pPr>
              <w:spacing w:after="0" w:line="240" w:lineRule="auto"/>
              <w:rPr>
                <w:rFonts w:ascii="Calibri" w:eastAsia="Times New Roman" w:hAnsi="Calibri" w:cs="Times New Roman"/>
                <w:color w:val="000000"/>
              </w:rPr>
            </w:pPr>
            <w:r w:rsidRPr="007A508B">
              <w:rPr>
                <w:rFonts w:ascii="Calibri" w:eastAsia="Times New Roman" w:hAnsi="Calibri" w:cs="Times New Roman"/>
                <w:color w:val="000000"/>
              </w:rPr>
              <w:t>To</w:t>
            </w:r>
            <w:r>
              <w:rPr>
                <w:rFonts w:ascii="Calibri" w:eastAsia="Times New Roman" w:hAnsi="Calibri" w:cs="Times New Roman"/>
                <w:color w:val="000000"/>
              </w:rPr>
              <w:t>tal number of completed request</w:t>
            </w:r>
          </w:p>
        </w:tc>
        <w:tc>
          <w:tcPr>
            <w:tcW w:w="1386" w:type="dxa"/>
            <w:tcBorders>
              <w:top w:val="nil"/>
              <w:left w:val="nil"/>
              <w:bottom w:val="nil"/>
              <w:right w:val="nil"/>
            </w:tcBorders>
            <w:shd w:val="clear" w:color="auto" w:fill="auto"/>
            <w:noWrap/>
            <w:vAlign w:val="bottom"/>
            <w:hideMark/>
          </w:tcPr>
          <w:p w:rsidR="000430A4" w:rsidRPr="007A508B" w:rsidRDefault="000430A4" w:rsidP="002F32F0">
            <w:pPr>
              <w:spacing w:after="0" w:line="240" w:lineRule="auto"/>
              <w:jc w:val="center"/>
              <w:rPr>
                <w:rFonts w:ascii="Calibri" w:eastAsia="Times New Roman" w:hAnsi="Calibri" w:cs="Times New Roman"/>
                <w:color w:val="000000"/>
              </w:rPr>
            </w:pPr>
            <w:r w:rsidRPr="007A508B">
              <w:rPr>
                <w:rFonts w:ascii="Calibri" w:eastAsia="Times New Roman" w:hAnsi="Calibri" w:cs="Times New Roman"/>
                <w:color w:val="000000"/>
              </w:rPr>
              <w:t>687</w:t>
            </w:r>
          </w:p>
        </w:tc>
        <w:tc>
          <w:tcPr>
            <w:tcW w:w="1386" w:type="dxa"/>
            <w:tcBorders>
              <w:top w:val="nil"/>
              <w:left w:val="nil"/>
              <w:bottom w:val="nil"/>
              <w:right w:val="nil"/>
            </w:tcBorders>
            <w:shd w:val="clear" w:color="auto" w:fill="auto"/>
            <w:noWrap/>
            <w:vAlign w:val="bottom"/>
            <w:hideMark/>
          </w:tcPr>
          <w:p w:rsidR="000430A4" w:rsidRPr="007A508B" w:rsidRDefault="000430A4" w:rsidP="002F32F0">
            <w:pPr>
              <w:spacing w:after="0" w:line="240" w:lineRule="auto"/>
              <w:jc w:val="center"/>
              <w:rPr>
                <w:rFonts w:ascii="Calibri" w:eastAsia="Times New Roman" w:hAnsi="Calibri" w:cs="Times New Roman"/>
                <w:color w:val="000000"/>
              </w:rPr>
            </w:pPr>
            <w:r w:rsidRPr="007A508B">
              <w:rPr>
                <w:rFonts w:ascii="Calibri" w:eastAsia="Times New Roman" w:hAnsi="Calibri" w:cs="Times New Roman"/>
                <w:color w:val="000000"/>
              </w:rPr>
              <w:t>685</w:t>
            </w:r>
          </w:p>
        </w:tc>
        <w:tc>
          <w:tcPr>
            <w:tcW w:w="1386" w:type="dxa"/>
            <w:tcBorders>
              <w:top w:val="nil"/>
              <w:left w:val="nil"/>
              <w:bottom w:val="nil"/>
              <w:right w:val="single" w:sz="8" w:space="0" w:color="auto"/>
            </w:tcBorders>
            <w:shd w:val="clear" w:color="auto" w:fill="auto"/>
            <w:noWrap/>
            <w:vAlign w:val="bottom"/>
            <w:hideMark/>
          </w:tcPr>
          <w:p w:rsidR="000430A4" w:rsidRPr="007A508B" w:rsidRDefault="000430A4" w:rsidP="002F32F0">
            <w:pPr>
              <w:spacing w:after="0" w:line="240" w:lineRule="auto"/>
              <w:jc w:val="center"/>
              <w:rPr>
                <w:rFonts w:ascii="Calibri" w:eastAsia="Times New Roman" w:hAnsi="Calibri" w:cs="Times New Roman"/>
                <w:color w:val="000000"/>
              </w:rPr>
            </w:pPr>
            <w:r w:rsidRPr="007A508B">
              <w:rPr>
                <w:rFonts w:ascii="Calibri" w:eastAsia="Times New Roman" w:hAnsi="Calibri" w:cs="Times New Roman"/>
                <w:color w:val="000000"/>
              </w:rPr>
              <w:t>657</w:t>
            </w:r>
          </w:p>
        </w:tc>
      </w:tr>
      <w:tr w:rsidR="000430A4" w:rsidRPr="007A508B" w:rsidTr="002F32F0">
        <w:trPr>
          <w:trHeight w:val="376"/>
        </w:trPr>
        <w:tc>
          <w:tcPr>
            <w:tcW w:w="5611" w:type="dxa"/>
            <w:tcBorders>
              <w:top w:val="nil"/>
              <w:left w:val="single" w:sz="8" w:space="0" w:color="auto"/>
              <w:bottom w:val="single" w:sz="8" w:space="0" w:color="auto"/>
              <w:right w:val="nil"/>
            </w:tcBorders>
            <w:shd w:val="clear" w:color="000000" w:fill="DBE5F1"/>
            <w:noWrap/>
            <w:vAlign w:val="bottom"/>
            <w:hideMark/>
          </w:tcPr>
          <w:p w:rsidR="000430A4" w:rsidRPr="007A508B" w:rsidRDefault="000430A4" w:rsidP="002F32F0">
            <w:pPr>
              <w:spacing w:after="0" w:line="240" w:lineRule="auto"/>
              <w:rPr>
                <w:rFonts w:ascii="Calibri" w:eastAsia="Times New Roman" w:hAnsi="Calibri" w:cs="Times New Roman"/>
                <w:color w:val="000000"/>
              </w:rPr>
            </w:pPr>
            <w:r w:rsidRPr="007A508B">
              <w:rPr>
                <w:rFonts w:ascii="Calibri" w:eastAsia="Times New Roman" w:hAnsi="Calibri" w:cs="Times New Roman"/>
                <w:color w:val="000000"/>
              </w:rPr>
              <w:t xml:space="preserve">Average number of exemptions per request </w:t>
            </w:r>
          </w:p>
        </w:tc>
        <w:tc>
          <w:tcPr>
            <w:tcW w:w="1386" w:type="dxa"/>
            <w:tcBorders>
              <w:top w:val="nil"/>
              <w:left w:val="nil"/>
              <w:bottom w:val="single" w:sz="8" w:space="0" w:color="auto"/>
              <w:right w:val="nil"/>
            </w:tcBorders>
            <w:shd w:val="clear" w:color="000000" w:fill="DBE5F1"/>
            <w:noWrap/>
            <w:vAlign w:val="bottom"/>
            <w:hideMark/>
          </w:tcPr>
          <w:p w:rsidR="000430A4" w:rsidRPr="007A508B" w:rsidRDefault="000430A4" w:rsidP="002F32F0">
            <w:pPr>
              <w:spacing w:after="0" w:line="240" w:lineRule="auto"/>
              <w:jc w:val="center"/>
              <w:rPr>
                <w:rFonts w:ascii="Calibri" w:eastAsia="Times New Roman" w:hAnsi="Calibri" w:cs="Times New Roman"/>
                <w:color w:val="000000"/>
              </w:rPr>
            </w:pPr>
            <w:r w:rsidRPr="007A508B">
              <w:rPr>
                <w:rFonts w:ascii="Calibri" w:eastAsia="Times New Roman" w:hAnsi="Calibri" w:cs="Times New Roman"/>
                <w:color w:val="000000"/>
              </w:rPr>
              <w:t>1.8</w:t>
            </w:r>
            <w:r>
              <w:rPr>
                <w:rFonts w:ascii="Calibri" w:eastAsia="Times New Roman" w:hAnsi="Calibri" w:cs="Times New Roman"/>
                <w:color w:val="000000"/>
              </w:rPr>
              <w:t>1</w:t>
            </w:r>
          </w:p>
        </w:tc>
        <w:tc>
          <w:tcPr>
            <w:tcW w:w="1386" w:type="dxa"/>
            <w:tcBorders>
              <w:top w:val="nil"/>
              <w:left w:val="nil"/>
              <w:bottom w:val="single" w:sz="8" w:space="0" w:color="auto"/>
              <w:right w:val="nil"/>
            </w:tcBorders>
            <w:shd w:val="clear" w:color="000000" w:fill="DBE5F1"/>
            <w:noWrap/>
            <w:vAlign w:val="bottom"/>
            <w:hideMark/>
          </w:tcPr>
          <w:p w:rsidR="000430A4" w:rsidRPr="007A508B" w:rsidRDefault="000430A4" w:rsidP="002F32F0">
            <w:pPr>
              <w:spacing w:after="0" w:line="240" w:lineRule="auto"/>
              <w:jc w:val="center"/>
              <w:rPr>
                <w:rFonts w:ascii="Calibri" w:eastAsia="Times New Roman" w:hAnsi="Calibri" w:cs="Times New Roman"/>
                <w:color w:val="000000"/>
              </w:rPr>
            </w:pPr>
            <w:r w:rsidRPr="007A508B">
              <w:rPr>
                <w:rFonts w:ascii="Calibri" w:eastAsia="Times New Roman" w:hAnsi="Calibri" w:cs="Times New Roman"/>
                <w:color w:val="000000"/>
              </w:rPr>
              <w:t>1.3</w:t>
            </w:r>
            <w:r>
              <w:rPr>
                <w:rFonts w:ascii="Calibri" w:eastAsia="Times New Roman" w:hAnsi="Calibri" w:cs="Times New Roman"/>
                <w:color w:val="000000"/>
              </w:rPr>
              <w:t>2</w:t>
            </w:r>
          </w:p>
        </w:tc>
        <w:tc>
          <w:tcPr>
            <w:tcW w:w="1386" w:type="dxa"/>
            <w:tcBorders>
              <w:top w:val="nil"/>
              <w:left w:val="nil"/>
              <w:bottom w:val="single" w:sz="8" w:space="0" w:color="auto"/>
              <w:right w:val="single" w:sz="8" w:space="0" w:color="auto"/>
            </w:tcBorders>
            <w:shd w:val="clear" w:color="000000" w:fill="DBE5F1"/>
            <w:noWrap/>
            <w:vAlign w:val="bottom"/>
            <w:hideMark/>
          </w:tcPr>
          <w:p w:rsidR="000430A4" w:rsidRPr="007A508B" w:rsidRDefault="000430A4" w:rsidP="002F32F0">
            <w:pPr>
              <w:spacing w:after="0" w:line="240" w:lineRule="auto"/>
              <w:jc w:val="center"/>
              <w:rPr>
                <w:rFonts w:ascii="Calibri" w:eastAsia="Times New Roman" w:hAnsi="Calibri" w:cs="Times New Roman"/>
                <w:color w:val="000000"/>
              </w:rPr>
            </w:pPr>
            <w:r w:rsidRPr="007A508B">
              <w:rPr>
                <w:rFonts w:ascii="Calibri" w:eastAsia="Times New Roman" w:hAnsi="Calibri" w:cs="Times New Roman"/>
                <w:color w:val="000000"/>
              </w:rPr>
              <w:t>1.</w:t>
            </w:r>
            <w:r>
              <w:rPr>
                <w:rFonts w:ascii="Calibri" w:eastAsia="Times New Roman" w:hAnsi="Calibri" w:cs="Times New Roman"/>
                <w:color w:val="000000"/>
              </w:rPr>
              <w:t>79</w:t>
            </w:r>
          </w:p>
        </w:tc>
      </w:tr>
    </w:tbl>
    <w:p w:rsidR="000430A4" w:rsidRDefault="000430A4" w:rsidP="000430A4">
      <w:pPr>
        <w:pStyle w:val="Heading2"/>
        <w:spacing w:before="240"/>
      </w:pPr>
    </w:p>
    <w:p w:rsidR="000430A4" w:rsidRDefault="000430A4" w:rsidP="000430A4">
      <w:r>
        <w:br w:type="page"/>
      </w:r>
    </w:p>
    <w:p w:rsidR="000430A4" w:rsidRPr="00742689" w:rsidRDefault="000430A4" w:rsidP="000430A4">
      <w:pPr>
        <w:pStyle w:val="Heading2"/>
        <w:spacing w:before="240"/>
      </w:pPr>
      <w:r w:rsidRPr="00742689">
        <w:t>Complaints at the OIC</w:t>
      </w:r>
    </w:p>
    <w:p w:rsidR="000430A4" w:rsidRDefault="000430A4" w:rsidP="000430A4">
      <w:pPr>
        <w:jc w:val="both"/>
      </w:pPr>
      <w:r w:rsidRPr="009E137E">
        <w:t>In 2014-2015, the OIC received 35 complaints</w:t>
      </w:r>
      <w:r>
        <w:rPr>
          <w:rStyle w:val="FootnoteReference"/>
        </w:rPr>
        <w:footnoteReference w:id="72"/>
      </w:r>
      <w:r w:rsidRPr="009E137E">
        <w:t xml:space="preserve"> against </w:t>
      </w:r>
      <w:proofErr w:type="spellStart"/>
      <w:r>
        <w:t>NRCan</w:t>
      </w:r>
      <w:proofErr w:type="spellEnd"/>
      <w:r w:rsidRPr="009E137E">
        <w:t xml:space="preserve"> compared to 38 complaints </w:t>
      </w:r>
      <w:r>
        <w:t xml:space="preserve">in 2013-2014.  </w:t>
      </w:r>
      <w:r w:rsidRPr="009E137E">
        <w:t xml:space="preserve">In the previous period, the </w:t>
      </w:r>
      <w:r>
        <w:t>number</w:t>
      </w:r>
      <w:r w:rsidRPr="009E137E">
        <w:t xml:space="preserve"> of administrative and refusal complaints were equal, while in this reporting period the </w:t>
      </w:r>
      <w:r>
        <w:t>number</w:t>
      </w:r>
      <w:r w:rsidRPr="009E137E">
        <w:t xml:space="preserve"> of refusal complaints increased </w:t>
      </w:r>
      <w:r>
        <w:t>by 18.7%.</w:t>
      </w:r>
    </w:p>
    <w:p w:rsidR="000430A4" w:rsidRDefault="000430A4" w:rsidP="000430A4">
      <w:r>
        <w:t>From those received in 2014-2015, 28% were well-founded, which is a decrease of 19.3% compared to the previous period. Complaints discontinued and pending resolution were 4 and 18 respectively.</w:t>
      </w:r>
    </w:p>
    <w:p w:rsidR="000430A4" w:rsidRDefault="000430A4">
      <w:r>
        <w:br w:type="page"/>
      </w:r>
    </w:p>
    <w:p w:rsidR="000430A4" w:rsidRPr="00051474" w:rsidRDefault="000430A4" w:rsidP="000430A4">
      <w:pPr>
        <w:pStyle w:val="Heading1"/>
      </w:pPr>
      <w:r w:rsidRPr="00051474">
        <w:t>Privy Council Office</w:t>
      </w:r>
    </w:p>
    <w:p w:rsidR="000430A4" w:rsidRPr="004A4A64" w:rsidRDefault="000430A4" w:rsidP="000430A4">
      <w:pPr>
        <w:pStyle w:val="Heading2"/>
      </w:pPr>
      <w:r w:rsidRPr="004A4A64">
        <w:t xml:space="preserve">Overall </w:t>
      </w:r>
      <w:r w:rsidRPr="004D6E64">
        <w:t>performance</w:t>
      </w:r>
      <w:r>
        <w:rPr>
          <w:rStyle w:val="FootnoteReference"/>
        </w:rPr>
        <w:footnoteReference w:id="73"/>
      </w:r>
    </w:p>
    <w:p w:rsidR="000430A4" w:rsidRPr="004E70DB" w:rsidRDefault="000430A4" w:rsidP="000430A4">
      <w:pPr>
        <w:jc w:val="both"/>
      </w:pPr>
      <w:r w:rsidRPr="009838BD">
        <w:t>The Privy Council Office (PCO) observed a 28.8% decrease in the number of requests received in 2014-2015. The percentage of requests completed within 30 days decreased by 11.4%. This report provides comparative statistics for the last three periods (2012-2015).</w:t>
      </w:r>
    </w:p>
    <w:p w:rsidR="000430A4" w:rsidRPr="004A4A64" w:rsidRDefault="000430A4" w:rsidP="000430A4">
      <w:pPr>
        <w:pStyle w:val="Heading2"/>
      </w:pPr>
      <w:r w:rsidRPr="004A4A64">
        <w:t>Workload</w:t>
      </w:r>
    </w:p>
    <w:p w:rsidR="000430A4" w:rsidRPr="009838BD" w:rsidRDefault="000430A4" w:rsidP="000430A4">
      <w:pPr>
        <w:jc w:val="both"/>
      </w:pPr>
      <w:r w:rsidRPr="00A25AC5">
        <w:t>PCO receive</w:t>
      </w:r>
      <w:r w:rsidRPr="009838BD">
        <w:t xml:space="preserve">d 646 requests under the </w:t>
      </w:r>
      <w:r w:rsidRPr="009838BD">
        <w:rPr>
          <w:i/>
        </w:rPr>
        <w:t>Access to</w:t>
      </w:r>
      <w:r w:rsidRPr="009838BD">
        <w:t xml:space="preserve"> </w:t>
      </w:r>
      <w:r w:rsidRPr="009838BD">
        <w:rPr>
          <w:i/>
        </w:rPr>
        <w:t xml:space="preserve">Information Act </w:t>
      </w:r>
      <w:r w:rsidRPr="009838BD">
        <w:t>(the Act), representing slightly less than 1</w:t>
      </w:r>
      <w:r>
        <w:t>.0</w:t>
      </w:r>
      <w:r w:rsidRPr="009838BD">
        <w:t xml:space="preserve">% of total requests received across government in 2014-2015. In 2013-2014, PCO received 907 requests which represents a decrease of 28.8% in the number of requests received compared to this reporting period. The majority of requests received in 2014-2015 were from the media (71.2%), followed by the </w:t>
      </w:r>
      <w:r>
        <w:t>public (17.3%).</w:t>
      </w:r>
    </w:p>
    <w:p w:rsidR="000430A4" w:rsidRPr="009838BD" w:rsidRDefault="000430A4" w:rsidP="000430A4">
      <w:pPr>
        <w:jc w:val="both"/>
      </w:pPr>
      <w:r w:rsidRPr="009838BD">
        <w:t>PCO completed 677 requests in 2014-2015, which corresponds to a completion rate</w:t>
      </w:r>
      <w:r w:rsidRPr="009838BD">
        <w:rPr>
          <w:rStyle w:val="FootnoteReference"/>
        </w:rPr>
        <w:footnoteReference w:id="74"/>
      </w:r>
      <w:r w:rsidRPr="009838BD">
        <w:t xml:space="preserve"> of 73.0</w:t>
      </w:r>
      <w:r>
        <w:t xml:space="preserve">%, </w:t>
      </w:r>
      <w:r w:rsidRPr="009838BD">
        <w:t>the</w:t>
      </w:r>
      <w:r>
        <w:t xml:space="preserve"> same as in the previous period</w:t>
      </w:r>
      <w:r w:rsidRPr="009838BD">
        <w:t xml:space="preserve">. </w:t>
      </w:r>
      <w:r>
        <w:t xml:space="preserve">However, </w:t>
      </w:r>
      <w:r w:rsidRPr="009838BD">
        <w:t xml:space="preserve">PCO’s completion rate is below the government-wide rate of 85.1% for 2014-2015. PCO also received 427 informal requests in 2014-2015 and 33.3% of these were completed within 30 days. The number of consultations received by PCO from other federal government institutions decreased from 431 to 381, </w:t>
      </w:r>
      <w:r>
        <w:t>representing a decrease of 12.1</w:t>
      </w:r>
      <w:r w:rsidRPr="009838BD">
        <w:t>% compared to 2</w:t>
      </w:r>
      <w:r>
        <w:t>013-2014.</w:t>
      </w:r>
    </w:p>
    <w:p w:rsidR="000430A4" w:rsidRPr="009838BD" w:rsidRDefault="000430A4" w:rsidP="000430A4">
      <w:pPr>
        <w:jc w:val="both"/>
      </w:pPr>
      <w:r w:rsidRPr="009838BD">
        <w:t>In 2014-2015, 76,372 pages were processed compared to 58,409 in 2013-2014. The average number of pages processed per completed request also increased from 101 in 2013-2014 to 141 this reporting period.</w:t>
      </w:r>
    </w:p>
    <w:p w:rsidR="000430A4" w:rsidRDefault="000430A4" w:rsidP="000430A4">
      <w:pPr>
        <w:jc w:val="both"/>
      </w:pPr>
      <w:r w:rsidRPr="009838BD">
        <w:t>The information released by PCO was mostly in paper format: 420 in paper format and 1 in electronic format.</w:t>
      </w:r>
    </w:p>
    <w:p w:rsidR="000430A4" w:rsidRPr="00051474" w:rsidRDefault="000430A4" w:rsidP="000430A4">
      <w:pPr>
        <w:pStyle w:val="Heading3"/>
      </w:pPr>
      <w:r w:rsidRPr="00051474">
        <w:t>Table 1: Workload</w:t>
      </w:r>
    </w:p>
    <w:tbl>
      <w:tblPr>
        <w:tblW w:w="9562" w:type="dxa"/>
        <w:tblInd w:w="98" w:type="dxa"/>
        <w:tblLook w:val="04A0"/>
      </w:tblPr>
      <w:tblGrid>
        <w:gridCol w:w="5473"/>
        <w:gridCol w:w="1363"/>
        <w:gridCol w:w="1363"/>
        <w:gridCol w:w="1363"/>
      </w:tblGrid>
      <w:tr w:rsidR="000430A4" w:rsidRPr="00A26C15" w:rsidTr="002F32F0">
        <w:trPr>
          <w:trHeight w:val="425"/>
        </w:trPr>
        <w:tc>
          <w:tcPr>
            <w:tcW w:w="5473" w:type="dxa"/>
            <w:tcBorders>
              <w:top w:val="single" w:sz="4" w:space="0" w:color="auto"/>
              <w:left w:val="single" w:sz="4" w:space="0" w:color="auto"/>
              <w:bottom w:val="single" w:sz="8" w:space="0" w:color="auto"/>
              <w:right w:val="nil"/>
            </w:tcBorders>
            <w:shd w:val="clear" w:color="auto" w:fill="auto"/>
            <w:noWrap/>
            <w:vAlign w:val="bottom"/>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 xml:space="preserve">Measures </w:t>
            </w:r>
          </w:p>
        </w:tc>
        <w:tc>
          <w:tcPr>
            <w:tcW w:w="1363" w:type="dxa"/>
            <w:tcBorders>
              <w:top w:val="single" w:sz="4" w:space="0" w:color="auto"/>
              <w:left w:val="nil"/>
              <w:bottom w:val="single" w:sz="8" w:space="0" w:color="auto"/>
              <w:right w:val="nil"/>
            </w:tcBorders>
            <w:shd w:val="clear" w:color="auto" w:fill="auto"/>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2012-2013</w:t>
            </w:r>
          </w:p>
        </w:tc>
        <w:tc>
          <w:tcPr>
            <w:tcW w:w="1363" w:type="dxa"/>
            <w:tcBorders>
              <w:top w:val="single" w:sz="4" w:space="0" w:color="auto"/>
              <w:left w:val="nil"/>
              <w:bottom w:val="single" w:sz="8" w:space="0" w:color="auto"/>
              <w:right w:val="nil"/>
            </w:tcBorders>
            <w:shd w:val="clear" w:color="auto" w:fill="auto"/>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2013-2014</w:t>
            </w:r>
          </w:p>
        </w:tc>
        <w:tc>
          <w:tcPr>
            <w:tcW w:w="1363" w:type="dxa"/>
            <w:tcBorders>
              <w:top w:val="single" w:sz="4" w:space="0" w:color="auto"/>
              <w:left w:val="nil"/>
              <w:bottom w:val="single" w:sz="8" w:space="0" w:color="auto"/>
              <w:right w:val="single" w:sz="4" w:space="0" w:color="auto"/>
            </w:tcBorders>
            <w:shd w:val="clear" w:color="auto" w:fill="auto"/>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2014-2015</w:t>
            </w:r>
          </w:p>
        </w:tc>
      </w:tr>
      <w:tr w:rsidR="000430A4" w:rsidRPr="00A26C15" w:rsidTr="002F32F0">
        <w:trPr>
          <w:trHeight w:val="403"/>
        </w:trPr>
        <w:tc>
          <w:tcPr>
            <w:tcW w:w="5473" w:type="dxa"/>
            <w:tcBorders>
              <w:top w:val="nil"/>
              <w:left w:val="single" w:sz="4" w:space="0" w:color="auto"/>
              <w:bottom w:val="nil"/>
              <w:right w:val="nil"/>
            </w:tcBorders>
            <w:shd w:val="clear" w:color="000000" w:fill="DBE5F1"/>
            <w:noWrap/>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 xml:space="preserve">Number of requests received </w:t>
            </w:r>
          </w:p>
        </w:tc>
        <w:tc>
          <w:tcPr>
            <w:tcW w:w="1363" w:type="dxa"/>
            <w:tcBorders>
              <w:top w:val="nil"/>
              <w:left w:val="nil"/>
              <w:bottom w:val="nil"/>
              <w:right w:val="nil"/>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780</w:t>
            </w:r>
          </w:p>
        </w:tc>
        <w:tc>
          <w:tcPr>
            <w:tcW w:w="1363" w:type="dxa"/>
            <w:tcBorders>
              <w:top w:val="nil"/>
              <w:left w:val="nil"/>
              <w:bottom w:val="nil"/>
              <w:right w:val="nil"/>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907</w:t>
            </w:r>
          </w:p>
        </w:tc>
        <w:tc>
          <w:tcPr>
            <w:tcW w:w="1363" w:type="dxa"/>
            <w:tcBorders>
              <w:top w:val="nil"/>
              <w:left w:val="nil"/>
              <w:bottom w:val="nil"/>
              <w:right w:val="single" w:sz="4" w:space="0" w:color="auto"/>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646</w:t>
            </w:r>
          </w:p>
        </w:tc>
      </w:tr>
      <w:tr w:rsidR="000430A4" w:rsidRPr="00A26C15" w:rsidTr="002F32F0">
        <w:trPr>
          <w:trHeight w:val="258"/>
        </w:trPr>
        <w:tc>
          <w:tcPr>
            <w:tcW w:w="5473" w:type="dxa"/>
            <w:tcBorders>
              <w:top w:val="nil"/>
              <w:left w:val="single" w:sz="4" w:space="0" w:color="auto"/>
              <w:bottom w:val="nil"/>
              <w:right w:val="nil"/>
            </w:tcBorders>
            <w:shd w:val="clear" w:color="auto" w:fill="auto"/>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Annual change (%)</w:t>
            </w:r>
          </w:p>
        </w:tc>
        <w:tc>
          <w:tcPr>
            <w:tcW w:w="1363" w:type="dxa"/>
            <w:tcBorders>
              <w:top w:val="nil"/>
              <w:left w:val="nil"/>
              <w:bottom w:val="nil"/>
              <w:right w:val="nil"/>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w:t>
            </w:r>
          </w:p>
        </w:tc>
        <w:tc>
          <w:tcPr>
            <w:tcW w:w="1363" w:type="dxa"/>
            <w:tcBorders>
              <w:top w:val="nil"/>
              <w:left w:val="nil"/>
              <w:bottom w:val="nil"/>
              <w:right w:val="nil"/>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16.3%</w:t>
            </w:r>
          </w:p>
        </w:tc>
        <w:tc>
          <w:tcPr>
            <w:tcW w:w="1363" w:type="dxa"/>
            <w:tcBorders>
              <w:top w:val="nil"/>
              <w:left w:val="nil"/>
              <w:bottom w:val="nil"/>
              <w:right w:val="single" w:sz="4" w:space="0" w:color="auto"/>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-28.8%</w:t>
            </w:r>
          </w:p>
        </w:tc>
      </w:tr>
      <w:tr w:rsidR="000430A4" w:rsidRPr="00A26C15" w:rsidTr="002F32F0">
        <w:trPr>
          <w:trHeight w:val="447"/>
        </w:trPr>
        <w:tc>
          <w:tcPr>
            <w:tcW w:w="5473" w:type="dxa"/>
            <w:tcBorders>
              <w:top w:val="nil"/>
              <w:left w:val="single" w:sz="4" w:space="0" w:color="auto"/>
              <w:right w:val="nil"/>
            </w:tcBorders>
            <w:shd w:val="clear" w:color="000000" w:fill="DBE5F1"/>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Completed requests</w:t>
            </w:r>
          </w:p>
        </w:tc>
        <w:tc>
          <w:tcPr>
            <w:tcW w:w="1363" w:type="dxa"/>
            <w:tcBorders>
              <w:top w:val="nil"/>
              <w:left w:val="nil"/>
              <w:right w:val="nil"/>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725</w:t>
            </w:r>
          </w:p>
        </w:tc>
        <w:tc>
          <w:tcPr>
            <w:tcW w:w="1363" w:type="dxa"/>
            <w:tcBorders>
              <w:top w:val="nil"/>
              <w:left w:val="nil"/>
              <w:right w:val="nil"/>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772</w:t>
            </w:r>
          </w:p>
        </w:tc>
        <w:tc>
          <w:tcPr>
            <w:tcW w:w="1363" w:type="dxa"/>
            <w:tcBorders>
              <w:top w:val="nil"/>
              <w:left w:val="nil"/>
              <w:right w:val="single" w:sz="4" w:space="0" w:color="auto"/>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677</w:t>
            </w:r>
          </w:p>
        </w:tc>
      </w:tr>
      <w:tr w:rsidR="000430A4" w:rsidRPr="00A26C15" w:rsidTr="002F32F0">
        <w:trPr>
          <w:trHeight w:val="425"/>
        </w:trPr>
        <w:tc>
          <w:tcPr>
            <w:tcW w:w="5473" w:type="dxa"/>
            <w:tcBorders>
              <w:top w:val="nil"/>
              <w:left w:val="single" w:sz="4" w:space="0" w:color="auto"/>
              <w:right w:val="nil"/>
            </w:tcBorders>
            <w:shd w:val="clear" w:color="auto" w:fill="auto"/>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Annual change</w:t>
            </w:r>
          </w:p>
        </w:tc>
        <w:tc>
          <w:tcPr>
            <w:tcW w:w="1363" w:type="dxa"/>
            <w:tcBorders>
              <w:top w:val="nil"/>
              <w:left w:val="nil"/>
              <w:right w:val="nil"/>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w:t>
            </w:r>
          </w:p>
        </w:tc>
        <w:tc>
          <w:tcPr>
            <w:tcW w:w="1363" w:type="dxa"/>
            <w:tcBorders>
              <w:top w:val="nil"/>
              <w:left w:val="nil"/>
              <w:right w:val="nil"/>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6.5%</w:t>
            </w:r>
          </w:p>
        </w:tc>
        <w:tc>
          <w:tcPr>
            <w:tcW w:w="1363" w:type="dxa"/>
            <w:tcBorders>
              <w:top w:val="nil"/>
              <w:left w:val="nil"/>
              <w:right w:val="single" w:sz="4" w:space="0" w:color="auto"/>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-12.3%</w:t>
            </w:r>
          </w:p>
        </w:tc>
      </w:tr>
      <w:tr w:rsidR="000430A4" w:rsidRPr="00A26C15" w:rsidTr="002F32F0">
        <w:trPr>
          <w:trHeight w:val="529"/>
        </w:trPr>
        <w:tc>
          <w:tcPr>
            <w:tcW w:w="5473" w:type="dxa"/>
            <w:tcBorders>
              <w:top w:val="nil"/>
              <w:left w:val="single" w:sz="4" w:space="0" w:color="auto"/>
              <w:right w:val="nil"/>
            </w:tcBorders>
            <w:shd w:val="clear" w:color="000000" w:fill="DBE5F1"/>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Number of consultations received (from other government institutions)</w:t>
            </w:r>
          </w:p>
        </w:tc>
        <w:tc>
          <w:tcPr>
            <w:tcW w:w="1363" w:type="dxa"/>
            <w:tcBorders>
              <w:top w:val="nil"/>
              <w:left w:val="nil"/>
              <w:right w:val="nil"/>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511</w:t>
            </w:r>
          </w:p>
        </w:tc>
        <w:tc>
          <w:tcPr>
            <w:tcW w:w="1363" w:type="dxa"/>
            <w:tcBorders>
              <w:top w:val="nil"/>
              <w:left w:val="nil"/>
              <w:right w:val="nil"/>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422</w:t>
            </w:r>
          </w:p>
        </w:tc>
        <w:tc>
          <w:tcPr>
            <w:tcW w:w="1363" w:type="dxa"/>
            <w:tcBorders>
              <w:top w:val="nil"/>
              <w:left w:val="nil"/>
              <w:right w:val="single" w:sz="4" w:space="0" w:color="auto"/>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371</w:t>
            </w:r>
          </w:p>
        </w:tc>
      </w:tr>
      <w:tr w:rsidR="000430A4" w:rsidRPr="00A26C15" w:rsidTr="002F32F0">
        <w:trPr>
          <w:trHeight w:val="324"/>
        </w:trPr>
        <w:tc>
          <w:tcPr>
            <w:tcW w:w="5473" w:type="dxa"/>
            <w:tcBorders>
              <w:top w:val="nil"/>
              <w:left w:val="single" w:sz="4" w:space="0" w:color="auto"/>
              <w:right w:val="nil"/>
            </w:tcBorders>
            <w:shd w:val="clear" w:color="auto" w:fill="auto"/>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Annual change (%)</w:t>
            </w:r>
          </w:p>
        </w:tc>
        <w:tc>
          <w:tcPr>
            <w:tcW w:w="1363" w:type="dxa"/>
            <w:tcBorders>
              <w:top w:val="nil"/>
              <w:left w:val="nil"/>
              <w:right w:val="nil"/>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w:t>
            </w:r>
          </w:p>
        </w:tc>
        <w:tc>
          <w:tcPr>
            <w:tcW w:w="1363" w:type="dxa"/>
            <w:tcBorders>
              <w:top w:val="nil"/>
              <w:left w:val="nil"/>
              <w:right w:val="nil"/>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-17.4%</w:t>
            </w:r>
          </w:p>
        </w:tc>
        <w:tc>
          <w:tcPr>
            <w:tcW w:w="1363" w:type="dxa"/>
            <w:tcBorders>
              <w:top w:val="nil"/>
              <w:left w:val="nil"/>
              <w:right w:val="single" w:sz="4" w:space="0" w:color="auto"/>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-12.1%</w:t>
            </w:r>
          </w:p>
        </w:tc>
      </w:tr>
      <w:tr w:rsidR="000430A4" w:rsidRPr="00A26C15" w:rsidTr="002F32F0">
        <w:trPr>
          <w:trHeight w:val="529"/>
        </w:trPr>
        <w:tc>
          <w:tcPr>
            <w:tcW w:w="5473" w:type="dxa"/>
            <w:tcBorders>
              <w:left w:val="single" w:sz="4" w:space="0" w:color="auto"/>
              <w:bottom w:val="nil"/>
              <w:right w:val="nil"/>
            </w:tcBorders>
            <w:shd w:val="clear" w:color="000000" w:fill="DBE5F1"/>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Average number of pages processed per request completed</w:t>
            </w:r>
          </w:p>
        </w:tc>
        <w:tc>
          <w:tcPr>
            <w:tcW w:w="1363" w:type="dxa"/>
            <w:tcBorders>
              <w:left w:val="nil"/>
              <w:bottom w:val="nil"/>
              <w:right w:val="nil"/>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78</w:t>
            </w:r>
          </w:p>
        </w:tc>
        <w:tc>
          <w:tcPr>
            <w:tcW w:w="1363" w:type="dxa"/>
            <w:tcBorders>
              <w:left w:val="nil"/>
              <w:bottom w:val="nil"/>
              <w:right w:val="nil"/>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101</w:t>
            </w:r>
          </w:p>
        </w:tc>
        <w:tc>
          <w:tcPr>
            <w:tcW w:w="1363" w:type="dxa"/>
            <w:tcBorders>
              <w:left w:val="nil"/>
              <w:bottom w:val="nil"/>
              <w:right w:val="single" w:sz="4" w:space="0" w:color="auto"/>
            </w:tcBorders>
            <w:shd w:val="clear" w:color="000000" w:fill="DBE5F1"/>
            <w:noWrap/>
            <w:vAlign w:val="center"/>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141</w:t>
            </w:r>
          </w:p>
        </w:tc>
      </w:tr>
      <w:tr w:rsidR="000430A4" w:rsidRPr="00A26C15" w:rsidTr="002F32F0">
        <w:trPr>
          <w:trHeight w:val="529"/>
        </w:trPr>
        <w:tc>
          <w:tcPr>
            <w:tcW w:w="5473" w:type="dxa"/>
            <w:tcBorders>
              <w:top w:val="single" w:sz="8" w:space="0" w:color="auto"/>
              <w:left w:val="single" w:sz="4" w:space="0" w:color="auto"/>
              <w:bottom w:val="single" w:sz="4" w:space="0" w:color="auto"/>
              <w:right w:val="nil"/>
            </w:tcBorders>
            <w:shd w:val="clear" w:color="auto" w:fill="auto"/>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 of requests for which more than 1</w:t>
            </w:r>
            <w:r w:rsidR="000A6BE0">
              <w:rPr>
                <w:rFonts w:ascii="Calibri" w:eastAsia="Times New Roman" w:hAnsi="Calibri" w:cs="Times New Roman"/>
                <w:color w:val="000000"/>
              </w:rPr>
              <w:t>,</w:t>
            </w:r>
            <w:r w:rsidRPr="00A26C15">
              <w:rPr>
                <w:rFonts w:ascii="Calibri" w:eastAsia="Times New Roman" w:hAnsi="Calibri" w:cs="Times New Roman"/>
                <w:color w:val="000000"/>
              </w:rPr>
              <w:t>000 pages were processed</w:t>
            </w:r>
          </w:p>
        </w:tc>
        <w:tc>
          <w:tcPr>
            <w:tcW w:w="1363" w:type="dxa"/>
            <w:tcBorders>
              <w:top w:val="single" w:sz="8" w:space="0" w:color="auto"/>
              <w:left w:val="nil"/>
              <w:bottom w:val="single" w:sz="4" w:space="0" w:color="auto"/>
              <w:right w:val="nil"/>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1.1%</w:t>
            </w:r>
          </w:p>
        </w:tc>
        <w:tc>
          <w:tcPr>
            <w:tcW w:w="1363" w:type="dxa"/>
            <w:tcBorders>
              <w:top w:val="single" w:sz="8" w:space="0" w:color="auto"/>
              <w:left w:val="nil"/>
              <w:bottom w:val="single" w:sz="4" w:space="0" w:color="auto"/>
              <w:right w:val="nil"/>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1.6%</w:t>
            </w:r>
          </w:p>
        </w:tc>
        <w:tc>
          <w:tcPr>
            <w:tcW w:w="1363" w:type="dxa"/>
            <w:tcBorders>
              <w:top w:val="single" w:sz="8" w:space="0" w:color="auto"/>
              <w:left w:val="nil"/>
              <w:bottom w:val="single" w:sz="4" w:space="0" w:color="auto"/>
              <w:right w:val="single" w:sz="4" w:space="0" w:color="auto"/>
            </w:tcBorders>
            <w:shd w:val="clear" w:color="auto" w:fill="auto"/>
            <w:noWrap/>
            <w:vAlign w:val="center"/>
            <w:hideMark/>
          </w:tcPr>
          <w:p w:rsidR="000430A4" w:rsidRPr="00A26C15"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r w:rsidRPr="00A26C15">
              <w:rPr>
                <w:rFonts w:ascii="Calibri" w:eastAsia="Times New Roman" w:hAnsi="Calibri" w:cs="Times New Roman"/>
                <w:color w:val="000000"/>
              </w:rPr>
              <w:t>%</w:t>
            </w:r>
          </w:p>
        </w:tc>
      </w:tr>
    </w:tbl>
    <w:p w:rsidR="000430A4" w:rsidRPr="004D6E64" w:rsidRDefault="000430A4" w:rsidP="000430A4">
      <w:pPr>
        <w:pStyle w:val="Heading2"/>
        <w:spacing w:before="240"/>
      </w:pPr>
      <w:r w:rsidRPr="004D6E64">
        <w:t>Requests completion time</w:t>
      </w:r>
    </w:p>
    <w:p w:rsidR="000430A4" w:rsidRPr="004D30BF" w:rsidRDefault="000430A4" w:rsidP="000430A4">
      <w:pPr>
        <w:pStyle w:val="Heading4"/>
      </w:pPr>
      <w:r w:rsidRPr="004D30BF">
        <w:t>Timeliness</w:t>
      </w:r>
    </w:p>
    <w:p w:rsidR="000430A4" w:rsidRPr="00F83ECF" w:rsidRDefault="000430A4" w:rsidP="000430A4">
      <w:pPr>
        <w:jc w:val="both"/>
      </w:pPr>
      <w:r w:rsidRPr="00F83ECF">
        <w:t xml:space="preserve">Figure 1 reveals that </w:t>
      </w:r>
      <w:r>
        <w:t>39.1</w:t>
      </w:r>
      <w:r w:rsidRPr="00F83ECF">
        <w:t xml:space="preserve">% of requests were completed within 30 days or less, which is </w:t>
      </w:r>
      <w:r>
        <w:t>a decrease of 11.4% compared to 2013-2014. There was also a percentage increase for requests completed in all other categories.</w:t>
      </w:r>
    </w:p>
    <w:p w:rsidR="000430A4" w:rsidRPr="00051474" w:rsidRDefault="000430A4" w:rsidP="000430A4">
      <w:pPr>
        <w:pStyle w:val="Heading3"/>
        <w:spacing w:after="200"/>
        <w:rPr>
          <w:sz w:val="24"/>
          <w:szCs w:val="24"/>
        </w:rPr>
      </w:pPr>
      <w:r w:rsidRPr="00864DDE">
        <w:t>Figure 1: Request Completion T</w:t>
      </w:r>
      <w:r>
        <w:t>ime</w:t>
      </w:r>
      <w:r w:rsidRPr="00FA2E18">
        <w:rPr>
          <w:noProof/>
          <w:color w:val="FF0000"/>
          <w:sz w:val="24"/>
          <w:szCs w:val="24"/>
        </w:rPr>
        <w:drawing>
          <wp:inline distT="0" distB="0" distL="0" distR="0">
            <wp:extent cx="6186115" cy="4094922"/>
            <wp:effectExtent l="0" t="0" r="5715" b="1270"/>
            <wp:docPr id="6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0430A4" w:rsidRPr="00D2368F" w:rsidRDefault="000430A4" w:rsidP="000430A4">
      <w:pPr>
        <w:pStyle w:val="Heading4"/>
      </w:pPr>
      <w:r w:rsidRPr="00D2368F">
        <w:t>Extensions</w:t>
      </w:r>
    </w:p>
    <w:p w:rsidR="000430A4" w:rsidRPr="00C90247" w:rsidRDefault="000430A4" w:rsidP="000430A4">
      <w:pPr>
        <w:jc w:val="both"/>
      </w:pPr>
      <w:r w:rsidRPr="00C90247">
        <w:t>PCO took a total of 459 extensions in 2014-2015 compared to 432 in 2013-2014. The most common reason for taking an extension was interference with operations (66.9%), followed by consultations (26.4%).</w:t>
      </w:r>
    </w:p>
    <w:p w:rsidR="000430A4" w:rsidRPr="00C90247" w:rsidRDefault="000430A4" w:rsidP="000430A4">
      <w:pPr>
        <w:jc w:val="both"/>
      </w:pPr>
      <w:r w:rsidRPr="00C90247">
        <w:t>Figure 2 shows that 18.3% of extensions were taken for less than 30 days, which is a slight increase of 3.7% compared to the previous period. The figure also reveals that the number of extensions taken between 31 and 60 days decreased by 11.2% from 2013-2014. Further, 52.7% of extensions were taken between 61 and 120 days, representing a 13.1% increase compared to the previous period.</w:t>
      </w:r>
    </w:p>
    <w:p w:rsidR="000430A4" w:rsidRDefault="000430A4" w:rsidP="000430A4">
      <w:pPr>
        <w:pStyle w:val="Heading3"/>
        <w:spacing w:after="200"/>
      </w:pPr>
      <w:r w:rsidRPr="00864DDE">
        <w:t>Figure 2: Length of Extension</w:t>
      </w:r>
      <w:r>
        <w:t>s</w:t>
      </w:r>
      <w:r w:rsidRPr="00FA2E18">
        <w:rPr>
          <w:noProof/>
        </w:rPr>
        <w:drawing>
          <wp:inline distT="0" distB="0" distL="0" distR="0">
            <wp:extent cx="5947576" cy="3983603"/>
            <wp:effectExtent l="0" t="0" r="0" b="0"/>
            <wp:docPr id="6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0430A4" w:rsidRPr="00D2368F" w:rsidRDefault="000430A4" w:rsidP="000430A4">
      <w:pPr>
        <w:pStyle w:val="Heading4"/>
        <w:spacing w:before="240"/>
      </w:pPr>
      <w:r>
        <w:t>Deemed refusals</w:t>
      </w:r>
    </w:p>
    <w:p w:rsidR="000430A4" w:rsidRPr="00C90247" w:rsidRDefault="000430A4" w:rsidP="000430A4">
      <w:pPr>
        <w:jc w:val="both"/>
      </w:pPr>
      <w:r w:rsidRPr="00C90247">
        <w:t>In 2014-2015, the number of requests closed past the statutory deadline was 32, which accounts for 4.7% of completed requests. This rate represents an “A” grade.</w:t>
      </w:r>
      <w:r w:rsidRPr="00C90247">
        <w:rPr>
          <w:rStyle w:val="FootnoteReference"/>
        </w:rPr>
        <w:footnoteReference w:id="75"/>
      </w:r>
      <w:r w:rsidRPr="00C90247">
        <w:t xml:space="preserve"> However, the number of overdue requests doubled compared to the previous period. The most common reason for overdue requests in 2014-2015 was internal consultations (46.9%) and workload (43.8%).</w:t>
      </w:r>
    </w:p>
    <w:p w:rsidR="000430A4" w:rsidRPr="00C90247" w:rsidRDefault="000430A4" w:rsidP="000430A4">
      <w:pPr>
        <w:jc w:val="both"/>
      </w:pPr>
      <w:r w:rsidRPr="00C90247">
        <w:t>Figure 3 shows that 25.0% of overdue requests were late for 30 days or less corresponding to 8 requests (the same as in the last period). However, most of the overdue requests in 2014-2015 were late between 61 and 120 days (12 requests).</w:t>
      </w:r>
    </w:p>
    <w:p w:rsidR="000430A4" w:rsidRPr="00E23B58" w:rsidRDefault="000430A4" w:rsidP="000430A4">
      <w:pPr>
        <w:pStyle w:val="Heading3"/>
        <w:spacing w:after="200"/>
      </w:pPr>
      <w:r w:rsidRPr="00E23B58">
        <w:t>Figure 3: Lateness of Overdue Requests</w:t>
      </w:r>
      <w:r w:rsidRPr="00E23B58">
        <w:rPr>
          <w:noProof/>
        </w:rPr>
        <w:drawing>
          <wp:inline distT="0" distB="0" distL="0" distR="0">
            <wp:extent cx="5995283" cy="4245997"/>
            <wp:effectExtent l="0" t="0" r="24765" b="21590"/>
            <wp:docPr id="6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0430A4" w:rsidRPr="004D6E64" w:rsidRDefault="000430A4" w:rsidP="000430A4">
      <w:pPr>
        <w:pStyle w:val="Heading2"/>
      </w:pPr>
      <w:r w:rsidRPr="004D6E64">
        <w:t>Disclosure</w:t>
      </w:r>
    </w:p>
    <w:p w:rsidR="000430A4" w:rsidRPr="00D2368F" w:rsidRDefault="000430A4" w:rsidP="000430A4">
      <w:pPr>
        <w:pStyle w:val="Heading4"/>
      </w:pPr>
      <w:r w:rsidRPr="00D2368F">
        <w:t xml:space="preserve">Percentage of requests for </w:t>
      </w:r>
      <w:r>
        <w:t>which information was disclosed</w:t>
      </w:r>
    </w:p>
    <w:p w:rsidR="000430A4" w:rsidRPr="009E5EBF" w:rsidRDefault="000430A4" w:rsidP="000430A4">
      <w:pPr>
        <w:jc w:val="both"/>
      </w:pPr>
      <w:r w:rsidRPr="009E5EBF">
        <w:t>In 2014-2015, 4.6% of completed re</w:t>
      </w:r>
      <w:r>
        <w:t xml:space="preserve">quests were entirely disclosed which is almost twice the amount as the </w:t>
      </w:r>
      <w:r w:rsidRPr="009E5EBF">
        <w:t>previous</w:t>
      </w:r>
      <w:r>
        <w:t xml:space="preserve"> period </w:t>
      </w:r>
      <w:r w:rsidRPr="009E5EBF">
        <w:t xml:space="preserve">(see Figure 4). Figure 4 also shows that the rate for partially disclosed requests </w:t>
      </w:r>
      <w:r>
        <w:t>in 2014-2015 was 58.5</w:t>
      </w:r>
      <w:r w:rsidRPr="009E5EBF">
        <w:t>%</w:t>
      </w:r>
      <w:r>
        <w:t>, which</w:t>
      </w:r>
      <w:r w:rsidRPr="009E5EBF">
        <w:t xml:space="preserve"> </w:t>
      </w:r>
      <w:r>
        <w:t>represents an increase of</w:t>
      </w:r>
      <w:r w:rsidRPr="009E5EBF">
        <w:t xml:space="preserve"> </w:t>
      </w:r>
      <w:r>
        <w:t>5.1</w:t>
      </w:r>
      <w:r w:rsidRPr="009E5EBF">
        <w:t xml:space="preserve">% </w:t>
      </w:r>
      <w:r>
        <w:t>from 2013-2014.</w:t>
      </w:r>
    </w:p>
    <w:p w:rsidR="000430A4" w:rsidRDefault="000430A4" w:rsidP="000430A4">
      <w:pPr>
        <w:pStyle w:val="Heading3"/>
        <w:spacing w:after="200"/>
      </w:pPr>
      <w:r w:rsidRPr="009F0E8A">
        <w:t>Figure 4: Level of Disclosure</w:t>
      </w:r>
      <w:r w:rsidRPr="00FA2E18">
        <w:rPr>
          <w:noProof/>
        </w:rPr>
        <w:drawing>
          <wp:inline distT="0" distB="0" distL="0" distR="0">
            <wp:extent cx="5947576" cy="3896139"/>
            <wp:effectExtent l="0" t="0" r="0" b="0"/>
            <wp:docPr id="6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0430A4" w:rsidRPr="00D2368F" w:rsidRDefault="000430A4" w:rsidP="000430A4">
      <w:pPr>
        <w:pStyle w:val="Heading4"/>
      </w:pPr>
      <w:r>
        <w:t>Exemptions</w:t>
      </w:r>
    </w:p>
    <w:p w:rsidR="000430A4" w:rsidRPr="000C3377" w:rsidRDefault="000430A4" w:rsidP="000430A4">
      <w:pPr>
        <w:jc w:val="both"/>
      </w:pPr>
      <w:r w:rsidRPr="000C3377">
        <w:t xml:space="preserve">In total, </w:t>
      </w:r>
      <w:r>
        <w:t>PCO applied</w:t>
      </w:r>
      <w:r w:rsidRPr="000C3377">
        <w:t xml:space="preserve"> </w:t>
      </w:r>
      <w:r>
        <w:t>1,502 exemptions</w:t>
      </w:r>
      <w:r w:rsidRPr="000C3377">
        <w:t xml:space="preserve"> in 2014-2015 compared </w:t>
      </w:r>
      <w:r>
        <w:t>to 1,226</w:t>
      </w:r>
      <w:r w:rsidRPr="000C3377">
        <w:t xml:space="preserve"> the previous year. </w:t>
      </w:r>
      <w:r>
        <w:t>T</w:t>
      </w:r>
      <w:r w:rsidRPr="000C3377">
        <w:t>he number of exemption</w:t>
      </w:r>
      <w:r>
        <w:t xml:space="preserve">s </w:t>
      </w:r>
      <w:r w:rsidRPr="000C3377">
        <w:t xml:space="preserve">used </w:t>
      </w:r>
      <w:r w:rsidRPr="009F0E8A">
        <w:t>per completed request increased from the previous period, increasing from 1.59 in 2013-2014 to 2.22 in 2014-2015</w:t>
      </w:r>
      <w:r>
        <w:t xml:space="preserve"> </w:t>
      </w:r>
      <w:r w:rsidRPr="009F0E8A">
        <w:t>(see Table 2).</w:t>
      </w:r>
    </w:p>
    <w:p w:rsidR="000430A4" w:rsidRDefault="000430A4" w:rsidP="000430A4">
      <w:pPr>
        <w:jc w:val="both"/>
      </w:pPr>
      <w:r w:rsidRPr="000C3377">
        <w:t xml:space="preserve">The most </w:t>
      </w:r>
      <w:r w:rsidRPr="009F0E8A">
        <w:t xml:space="preserve">common exemptions in 2014-2015 were section 21 (Operations of Government) </w:t>
      </w:r>
      <w:r>
        <w:t>(35.9</w:t>
      </w:r>
      <w:r w:rsidRPr="009F0E8A">
        <w:t xml:space="preserve">%) and section 19 (Personal Information) </w:t>
      </w:r>
      <w:r>
        <w:t>(22.8</w:t>
      </w:r>
      <w:r w:rsidRPr="009F0E8A">
        <w:t xml:space="preserve">%), followed by section 15 (International Affairs and Defence) </w:t>
      </w:r>
      <w:r>
        <w:t>(9.7</w:t>
      </w:r>
      <w:r w:rsidRPr="009F0E8A">
        <w:t>%).</w:t>
      </w:r>
    </w:p>
    <w:p w:rsidR="000430A4" w:rsidRPr="00916BD0" w:rsidRDefault="000430A4" w:rsidP="000430A4">
      <w:pPr>
        <w:pStyle w:val="Heading3"/>
      </w:pPr>
      <w:r w:rsidRPr="00916BD0">
        <w:t xml:space="preserve">Table </w:t>
      </w:r>
      <w:r>
        <w:t>2</w:t>
      </w:r>
      <w:r w:rsidRPr="00916BD0">
        <w:t>: Exemptions</w:t>
      </w:r>
    </w:p>
    <w:tbl>
      <w:tblPr>
        <w:tblW w:w="9699" w:type="dxa"/>
        <w:tblInd w:w="98" w:type="dxa"/>
        <w:tblLook w:val="04A0"/>
      </w:tblPr>
      <w:tblGrid>
        <w:gridCol w:w="5571"/>
        <w:gridCol w:w="1376"/>
        <w:gridCol w:w="1376"/>
        <w:gridCol w:w="1376"/>
      </w:tblGrid>
      <w:tr w:rsidR="000430A4" w:rsidRPr="00A26C15" w:rsidTr="002F32F0">
        <w:trPr>
          <w:trHeight w:val="312"/>
        </w:trPr>
        <w:tc>
          <w:tcPr>
            <w:tcW w:w="5571"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 xml:space="preserve">Exemptions </w:t>
            </w:r>
          </w:p>
        </w:tc>
        <w:tc>
          <w:tcPr>
            <w:tcW w:w="1376" w:type="dxa"/>
            <w:tcBorders>
              <w:top w:val="single" w:sz="8" w:space="0" w:color="auto"/>
              <w:left w:val="nil"/>
              <w:bottom w:val="single" w:sz="8" w:space="0" w:color="auto"/>
              <w:right w:val="nil"/>
            </w:tcBorders>
            <w:shd w:val="clear" w:color="000000" w:fill="DBE5F1"/>
            <w:noWrap/>
            <w:vAlign w:val="bottom"/>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2012-2013</w:t>
            </w:r>
          </w:p>
        </w:tc>
        <w:tc>
          <w:tcPr>
            <w:tcW w:w="1376" w:type="dxa"/>
            <w:tcBorders>
              <w:top w:val="single" w:sz="8" w:space="0" w:color="auto"/>
              <w:left w:val="nil"/>
              <w:bottom w:val="single" w:sz="8" w:space="0" w:color="auto"/>
              <w:right w:val="nil"/>
            </w:tcBorders>
            <w:shd w:val="clear" w:color="000000" w:fill="DBE5F1"/>
            <w:noWrap/>
            <w:vAlign w:val="bottom"/>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2013-2014</w:t>
            </w:r>
          </w:p>
        </w:tc>
        <w:tc>
          <w:tcPr>
            <w:tcW w:w="1376"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A26C15" w:rsidRDefault="000430A4" w:rsidP="002F32F0">
            <w:pPr>
              <w:spacing w:after="0" w:line="240" w:lineRule="auto"/>
              <w:jc w:val="center"/>
              <w:rPr>
                <w:rFonts w:ascii="Calibri" w:eastAsia="Times New Roman" w:hAnsi="Calibri" w:cs="Times New Roman"/>
                <w:b/>
                <w:bCs/>
                <w:color w:val="000000"/>
              </w:rPr>
            </w:pPr>
            <w:r w:rsidRPr="00A26C15">
              <w:rPr>
                <w:rFonts w:ascii="Calibri" w:eastAsia="Times New Roman" w:hAnsi="Calibri" w:cs="Times New Roman"/>
                <w:b/>
                <w:bCs/>
                <w:color w:val="000000"/>
              </w:rPr>
              <w:t>2014-2015</w:t>
            </w:r>
          </w:p>
        </w:tc>
      </w:tr>
      <w:tr w:rsidR="000430A4" w:rsidRPr="00A26C15" w:rsidTr="002F32F0">
        <w:trPr>
          <w:trHeight w:val="297"/>
        </w:trPr>
        <w:tc>
          <w:tcPr>
            <w:tcW w:w="5571" w:type="dxa"/>
            <w:tcBorders>
              <w:top w:val="nil"/>
              <w:left w:val="single" w:sz="8" w:space="0" w:color="auto"/>
              <w:bottom w:val="nil"/>
              <w:right w:val="nil"/>
            </w:tcBorders>
            <w:shd w:val="clear" w:color="auto" w:fill="auto"/>
            <w:noWrap/>
            <w:vAlign w:val="bottom"/>
            <w:hideMark/>
          </w:tcPr>
          <w:p w:rsidR="000430A4" w:rsidRPr="00A26C15"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A26C15">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A26C15">
              <w:rPr>
                <w:rFonts w:ascii="Calibri" w:eastAsia="Times New Roman" w:hAnsi="Calibri" w:cs="Times New Roman"/>
                <w:color w:val="000000"/>
              </w:rPr>
              <w:t xml:space="preserve"> </w:t>
            </w:r>
          </w:p>
        </w:tc>
        <w:tc>
          <w:tcPr>
            <w:tcW w:w="1376" w:type="dxa"/>
            <w:tcBorders>
              <w:top w:val="nil"/>
              <w:left w:val="nil"/>
              <w:bottom w:val="nil"/>
              <w:right w:val="nil"/>
            </w:tcBorders>
            <w:shd w:val="clear" w:color="auto" w:fill="auto"/>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835</w:t>
            </w:r>
          </w:p>
        </w:tc>
        <w:tc>
          <w:tcPr>
            <w:tcW w:w="1376" w:type="dxa"/>
            <w:tcBorders>
              <w:top w:val="nil"/>
              <w:left w:val="nil"/>
              <w:bottom w:val="nil"/>
              <w:right w:val="nil"/>
            </w:tcBorders>
            <w:shd w:val="clear" w:color="auto" w:fill="auto"/>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1</w:t>
            </w:r>
            <w:r w:rsidR="0005646E">
              <w:rPr>
                <w:rFonts w:ascii="Calibri" w:eastAsia="Times New Roman" w:hAnsi="Calibri" w:cs="Times New Roman"/>
                <w:color w:val="000000"/>
              </w:rPr>
              <w:t>,</w:t>
            </w:r>
            <w:r w:rsidRPr="00A26C15">
              <w:rPr>
                <w:rFonts w:ascii="Calibri" w:eastAsia="Times New Roman" w:hAnsi="Calibri" w:cs="Times New Roman"/>
                <w:color w:val="000000"/>
              </w:rPr>
              <w:t>226</w:t>
            </w:r>
          </w:p>
        </w:tc>
        <w:tc>
          <w:tcPr>
            <w:tcW w:w="1376" w:type="dxa"/>
            <w:tcBorders>
              <w:top w:val="nil"/>
              <w:left w:val="nil"/>
              <w:bottom w:val="nil"/>
              <w:right w:val="single" w:sz="8" w:space="0" w:color="auto"/>
            </w:tcBorders>
            <w:shd w:val="clear" w:color="auto" w:fill="auto"/>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1</w:t>
            </w:r>
            <w:r w:rsidR="0005646E">
              <w:rPr>
                <w:rFonts w:ascii="Calibri" w:eastAsia="Times New Roman" w:hAnsi="Calibri" w:cs="Times New Roman"/>
                <w:color w:val="000000"/>
              </w:rPr>
              <w:t>,</w:t>
            </w:r>
            <w:r w:rsidRPr="00A26C15">
              <w:rPr>
                <w:rFonts w:ascii="Calibri" w:eastAsia="Times New Roman" w:hAnsi="Calibri" w:cs="Times New Roman"/>
                <w:color w:val="000000"/>
              </w:rPr>
              <w:t>502</w:t>
            </w:r>
          </w:p>
        </w:tc>
      </w:tr>
      <w:tr w:rsidR="000430A4" w:rsidRPr="00A26C15" w:rsidTr="002F32F0">
        <w:trPr>
          <w:trHeight w:val="297"/>
        </w:trPr>
        <w:tc>
          <w:tcPr>
            <w:tcW w:w="5571" w:type="dxa"/>
            <w:tcBorders>
              <w:top w:val="nil"/>
              <w:left w:val="single" w:sz="8" w:space="0" w:color="auto"/>
              <w:bottom w:val="nil"/>
              <w:right w:val="nil"/>
            </w:tcBorders>
            <w:shd w:val="clear" w:color="auto" w:fill="auto"/>
            <w:noWrap/>
            <w:vAlign w:val="bottom"/>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Total number of completed requests</w:t>
            </w:r>
          </w:p>
        </w:tc>
        <w:tc>
          <w:tcPr>
            <w:tcW w:w="1376" w:type="dxa"/>
            <w:tcBorders>
              <w:top w:val="nil"/>
              <w:left w:val="nil"/>
              <w:bottom w:val="nil"/>
              <w:right w:val="nil"/>
            </w:tcBorders>
            <w:shd w:val="clear" w:color="auto" w:fill="auto"/>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725</w:t>
            </w:r>
          </w:p>
        </w:tc>
        <w:tc>
          <w:tcPr>
            <w:tcW w:w="1376" w:type="dxa"/>
            <w:tcBorders>
              <w:top w:val="nil"/>
              <w:left w:val="nil"/>
              <w:bottom w:val="nil"/>
              <w:right w:val="nil"/>
            </w:tcBorders>
            <w:shd w:val="clear" w:color="auto" w:fill="auto"/>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772</w:t>
            </w:r>
          </w:p>
        </w:tc>
        <w:tc>
          <w:tcPr>
            <w:tcW w:w="1376" w:type="dxa"/>
            <w:tcBorders>
              <w:top w:val="nil"/>
              <w:left w:val="nil"/>
              <w:bottom w:val="nil"/>
              <w:right w:val="single" w:sz="8" w:space="0" w:color="auto"/>
            </w:tcBorders>
            <w:shd w:val="clear" w:color="auto" w:fill="auto"/>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677</w:t>
            </w:r>
          </w:p>
        </w:tc>
      </w:tr>
      <w:tr w:rsidR="000430A4" w:rsidRPr="00A26C15" w:rsidTr="002F32F0">
        <w:trPr>
          <w:trHeight w:val="312"/>
        </w:trPr>
        <w:tc>
          <w:tcPr>
            <w:tcW w:w="5571" w:type="dxa"/>
            <w:tcBorders>
              <w:top w:val="nil"/>
              <w:left w:val="single" w:sz="8" w:space="0" w:color="auto"/>
              <w:bottom w:val="single" w:sz="8" w:space="0" w:color="auto"/>
              <w:right w:val="nil"/>
            </w:tcBorders>
            <w:shd w:val="clear" w:color="000000" w:fill="DBE5F1"/>
            <w:noWrap/>
            <w:vAlign w:val="bottom"/>
            <w:hideMark/>
          </w:tcPr>
          <w:p w:rsidR="000430A4" w:rsidRPr="00A26C15" w:rsidRDefault="000430A4" w:rsidP="002F32F0">
            <w:pPr>
              <w:spacing w:after="0" w:line="240" w:lineRule="auto"/>
              <w:rPr>
                <w:rFonts w:ascii="Calibri" w:eastAsia="Times New Roman" w:hAnsi="Calibri" w:cs="Times New Roman"/>
                <w:color w:val="000000"/>
              </w:rPr>
            </w:pPr>
            <w:r w:rsidRPr="00A26C15">
              <w:rPr>
                <w:rFonts w:ascii="Calibri" w:eastAsia="Times New Roman" w:hAnsi="Calibri" w:cs="Times New Roman"/>
                <w:color w:val="000000"/>
              </w:rPr>
              <w:t xml:space="preserve">Average number of exemptions per request </w:t>
            </w:r>
          </w:p>
        </w:tc>
        <w:tc>
          <w:tcPr>
            <w:tcW w:w="1376" w:type="dxa"/>
            <w:tcBorders>
              <w:top w:val="nil"/>
              <w:left w:val="nil"/>
              <w:bottom w:val="single" w:sz="8" w:space="0" w:color="auto"/>
              <w:right w:val="nil"/>
            </w:tcBorders>
            <w:shd w:val="clear" w:color="000000" w:fill="DBE5F1"/>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1.</w:t>
            </w:r>
            <w:r>
              <w:rPr>
                <w:rFonts w:ascii="Calibri" w:eastAsia="Times New Roman" w:hAnsi="Calibri" w:cs="Times New Roman"/>
                <w:color w:val="000000"/>
              </w:rPr>
              <w:t>15</w:t>
            </w:r>
          </w:p>
        </w:tc>
        <w:tc>
          <w:tcPr>
            <w:tcW w:w="1376" w:type="dxa"/>
            <w:tcBorders>
              <w:top w:val="nil"/>
              <w:left w:val="nil"/>
              <w:bottom w:val="single" w:sz="8" w:space="0" w:color="auto"/>
              <w:right w:val="nil"/>
            </w:tcBorders>
            <w:shd w:val="clear" w:color="000000" w:fill="DBE5F1"/>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1.</w:t>
            </w:r>
            <w:r>
              <w:rPr>
                <w:rFonts w:ascii="Calibri" w:eastAsia="Times New Roman" w:hAnsi="Calibri" w:cs="Times New Roman"/>
                <w:color w:val="000000"/>
              </w:rPr>
              <w:t>59</w:t>
            </w:r>
          </w:p>
        </w:tc>
        <w:tc>
          <w:tcPr>
            <w:tcW w:w="1376" w:type="dxa"/>
            <w:tcBorders>
              <w:top w:val="nil"/>
              <w:left w:val="nil"/>
              <w:bottom w:val="single" w:sz="8" w:space="0" w:color="auto"/>
              <w:right w:val="single" w:sz="8" w:space="0" w:color="auto"/>
            </w:tcBorders>
            <w:shd w:val="clear" w:color="000000" w:fill="DBE5F1"/>
            <w:noWrap/>
            <w:vAlign w:val="bottom"/>
            <w:hideMark/>
          </w:tcPr>
          <w:p w:rsidR="000430A4" w:rsidRPr="00A26C15" w:rsidRDefault="000430A4" w:rsidP="002F32F0">
            <w:pPr>
              <w:spacing w:after="0" w:line="240" w:lineRule="auto"/>
              <w:jc w:val="center"/>
              <w:rPr>
                <w:rFonts w:ascii="Calibri" w:eastAsia="Times New Roman" w:hAnsi="Calibri" w:cs="Times New Roman"/>
                <w:color w:val="000000"/>
              </w:rPr>
            </w:pPr>
            <w:r w:rsidRPr="00A26C15">
              <w:rPr>
                <w:rFonts w:ascii="Calibri" w:eastAsia="Times New Roman" w:hAnsi="Calibri" w:cs="Times New Roman"/>
                <w:color w:val="000000"/>
              </w:rPr>
              <w:t>2.2</w:t>
            </w:r>
            <w:r>
              <w:rPr>
                <w:rFonts w:ascii="Calibri" w:eastAsia="Times New Roman" w:hAnsi="Calibri" w:cs="Times New Roman"/>
                <w:color w:val="000000"/>
              </w:rPr>
              <w:t>2</w:t>
            </w:r>
          </w:p>
        </w:tc>
      </w:tr>
    </w:tbl>
    <w:p w:rsidR="000430A4" w:rsidRDefault="000430A4" w:rsidP="000430A4">
      <w:pPr>
        <w:pStyle w:val="Heading2"/>
        <w:spacing w:before="240"/>
      </w:pPr>
    </w:p>
    <w:p w:rsidR="000430A4" w:rsidRDefault="000430A4" w:rsidP="000430A4">
      <w:r>
        <w:br w:type="page"/>
      </w:r>
    </w:p>
    <w:p w:rsidR="000430A4" w:rsidRPr="004D6E64" w:rsidRDefault="000430A4" w:rsidP="000430A4">
      <w:pPr>
        <w:pStyle w:val="Heading2"/>
        <w:spacing w:before="240"/>
      </w:pPr>
      <w:r w:rsidRPr="004D6E64">
        <w:t>Complaints at the OIC</w:t>
      </w:r>
    </w:p>
    <w:p w:rsidR="000430A4" w:rsidRDefault="000430A4" w:rsidP="000430A4">
      <w:pPr>
        <w:jc w:val="both"/>
      </w:pPr>
      <w:r w:rsidRPr="006A59A1">
        <w:t>The number of complain</w:t>
      </w:r>
      <w:r>
        <w:t xml:space="preserve">ts </w:t>
      </w:r>
      <w:r w:rsidRPr="009838BD">
        <w:t>received against PCO was 35</w:t>
      </w:r>
      <w:r>
        <w:rPr>
          <w:rStyle w:val="FootnoteReference"/>
        </w:rPr>
        <w:footnoteReference w:id="76"/>
      </w:r>
      <w:r w:rsidRPr="009838BD">
        <w:t xml:space="preserve"> which is similar to the previous period where they received 33. The proportion of administrative complaints was 35.1% in this reporting period, which is a slight increase compared to the previous period of 31.2%</w:t>
      </w:r>
      <w:r>
        <w:t>.</w:t>
      </w:r>
    </w:p>
    <w:p w:rsidR="000430A4" w:rsidRDefault="000430A4" w:rsidP="000430A4">
      <w:r w:rsidRPr="009838BD">
        <w:t>Around 31% of complaints were well-founded and resolved which is slightly lower than the 39.5% observed in 2013-2014. In addition, 29.6% of complaints were discontinued and 37% were pending.</w:t>
      </w:r>
    </w:p>
    <w:p w:rsidR="000430A4" w:rsidRDefault="000430A4" w:rsidP="000430A4">
      <w:r>
        <w:br w:type="page"/>
      </w:r>
    </w:p>
    <w:p w:rsidR="000430A4" w:rsidRPr="00A123D5" w:rsidRDefault="000430A4" w:rsidP="000430A4">
      <w:pPr>
        <w:pStyle w:val="Heading1"/>
      </w:pPr>
      <w:r w:rsidRPr="00A123D5">
        <w:t>Correctional Service Canada</w:t>
      </w:r>
    </w:p>
    <w:p w:rsidR="000430A4" w:rsidRPr="00E51F3A" w:rsidRDefault="000430A4" w:rsidP="000430A4">
      <w:pPr>
        <w:pStyle w:val="Heading2"/>
      </w:pPr>
      <w:r w:rsidRPr="00E51F3A">
        <w:t>Overall performance</w:t>
      </w:r>
      <w:r>
        <w:rPr>
          <w:rStyle w:val="FootnoteReference"/>
        </w:rPr>
        <w:footnoteReference w:id="77"/>
      </w:r>
    </w:p>
    <w:p w:rsidR="000430A4" w:rsidRDefault="000430A4" w:rsidP="000430A4">
      <w:pPr>
        <w:jc w:val="both"/>
      </w:pPr>
      <w:r w:rsidRPr="008E7BC5">
        <w:t>Correctional Service Canada (CSC) saw a decrease of 11.9% in the number of requests received and a 7.3% decrease in the percentage of requests completed within 30 days. This report provides comparative statistics for the last three periods (2012-2015).</w:t>
      </w:r>
    </w:p>
    <w:p w:rsidR="000430A4" w:rsidRPr="00E51F3A" w:rsidRDefault="000430A4" w:rsidP="000430A4">
      <w:pPr>
        <w:pStyle w:val="Heading2"/>
      </w:pPr>
      <w:r w:rsidRPr="00E51F3A">
        <w:t>Workload</w:t>
      </w:r>
    </w:p>
    <w:p w:rsidR="000430A4" w:rsidRPr="005A7831" w:rsidRDefault="000430A4" w:rsidP="000430A4">
      <w:pPr>
        <w:jc w:val="both"/>
      </w:pPr>
      <w:r>
        <w:t>CSC received 555</w:t>
      </w:r>
      <w:r w:rsidRPr="005A7831">
        <w:t xml:space="preserve"> requests</w:t>
      </w:r>
      <w:r>
        <w:t xml:space="preserve"> under the </w:t>
      </w:r>
      <w:r w:rsidRPr="00890BE8">
        <w:rPr>
          <w:i/>
        </w:rPr>
        <w:t>Access to Information Act</w:t>
      </w:r>
      <w:r>
        <w:t xml:space="preserve"> (the Act), representing 0.8</w:t>
      </w:r>
      <w:r w:rsidRPr="005A7831">
        <w:t xml:space="preserve">% of total requests received government-wide in 2014-2015. </w:t>
      </w:r>
      <w:r>
        <w:t>In 2013-2014, CSC received 630 requests, which is 11.</w:t>
      </w:r>
      <w:r w:rsidRPr="005A7831">
        <w:t>9</w:t>
      </w:r>
      <w:r>
        <w:t xml:space="preserve">% more requests than this year. The majority of requests </w:t>
      </w:r>
      <w:r w:rsidRPr="005A7831">
        <w:t>received by CSC were from the public</w:t>
      </w:r>
      <w:r>
        <w:t xml:space="preserve"> (67</w:t>
      </w:r>
      <w:r w:rsidRPr="005A7831">
        <w:t>.</w:t>
      </w:r>
      <w:r>
        <w:t>2</w:t>
      </w:r>
      <w:r w:rsidRPr="005A7831">
        <w:t xml:space="preserve">%), followed by the </w:t>
      </w:r>
      <w:r>
        <w:t>media</w:t>
      </w:r>
      <w:r w:rsidRPr="005A7831">
        <w:t xml:space="preserve"> (</w:t>
      </w:r>
      <w:r>
        <w:t>24.7</w:t>
      </w:r>
      <w:r w:rsidRPr="005A7831">
        <w:t xml:space="preserve">%). Requests from </w:t>
      </w:r>
      <w:r>
        <w:t>the</w:t>
      </w:r>
      <w:r w:rsidRPr="005A7831">
        <w:t xml:space="preserve"> public </w:t>
      </w:r>
      <w:r>
        <w:t>decreased</w:t>
      </w:r>
      <w:r w:rsidRPr="005A7831">
        <w:t xml:space="preserve"> by 19</w:t>
      </w:r>
      <w:r>
        <w:t>.4</w:t>
      </w:r>
      <w:r w:rsidRPr="005A7831">
        <w:t>% compared to 2013-2014</w:t>
      </w:r>
      <w:r>
        <w:t>, while</w:t>
      </w:r>
      <w:r w:rsidRPr="005A7831">
        <w:t xml:space="preserve"> </w:t>
      </w:r>
      <w:r>
        <w:t>requests from the media increased by 15.1%.</w:t>
      </w:r>
    </w:p>
    <w:p w:rsidR="000430A4" w:rsidRPr="008E7BC5" w:rsidRDefault="000430A4" w:rsidP="000430A4">
      <w:pPr>
        <w:jc w:val="both"/>
      </w:pPr>
      <w:r>
        <w:t xml:space="preserve">CSC </w:t>
      </w:r>
      <w:r w:rsidRPr="005A7831">
        <w:t xml:space="preserve">completed </w:t>
      </w:r>
      <w:r>
        <w:t>517</w:t>
      </w:r>
      <w:r w:rsidRPr="005A7831">
        <w:t xml:space="preserve"> </w:t>
      </w:r>
      <w:r w:rsidRPr="008E7BC5">
        <w:t>requests this reporting period. The completion rate</w:t>
      </w:r>
      <w:r w:rsidRPr="008E7BC5">
        <w:rPr>
          <w:rStyle w:val="FootnoteReference"/>
        </w:rPr>
        <w:footnoteReference w:id="78"/>
      </w:r>
      <w:r w:rsidRPr="008E7BC5">
        <w:t xml:space="preserve"> was 70.1%, which is lower than the government-wide rate of 85.1%. In 2013-2014, the completion rate for CSC was 77.3%. CSC also received 117 informal requests in 2014-2015 and </w:t>
      </w:r>
      <w:r>
        <w:t>47.9</w:t>
      </w:r>
      <w:r w:rsidRPr="008E7BC5">
        <w:t>% of these were completed within 30 days. The number of consultations received by CSC from other federal government institutions decreased from 119 to 88, representing a decrease of 26.1% compared to 2013-2014.</w:t>
      </w:r>
    </w:p>
    <w:p w:rsidR="000430A4" w:rsidRPr="008E7BC5" w:rsidRDefault="000430A4" w:rsidP="000430A4">
      <w:pPr>
        <w:jc w:val="both"/>
      </w:pPr>
      <w:r w:rsidRPr="008E7BC5">
        <w:t>In 2014-2015, CSC processed 71,805</w:t>
      </w:r>
      <w:r w:rsidR="0005646E">
        <w:t xml:space="preserve"> pages</w:t>
      </w:r>
      <w:r w:rsidRPr="008E7BC5">
        <w:t xml:space="preserve"> compared to 51,632 in 2013-2014. The average number of pages processed per completed request increased from 104 in 2013-2014 to 153 </w:t>
      </w:r>
      <w:r>
        <w:t>in 2014-2015.</w:t>
      </w:r>
    </w:p>
    <w:p w:rsidR="000430A4" w:rsidRPr="00F71802" w:rsidRDefault="000430A4" w:rsidP="000430A4">
      <w:pPr>
        <w:jc w:val="both"/>
      </w:pPr>
      <w:r w:rsidRPr="008E7BC5">
        <w:t>The information released by CSC was mostly in paper format: 288 in paper format compared to 11 requests in electronic format</w:t>
      </w:r>
      <w:r>
        <w:t>.</w:t>
      </w:r>
    </w:p>
    <w:p w:rsidR="000430A4" w:rsidRDefault="000430A4" w:rsidP="000430A4">
      <w:pPr>
        <w:pStyle w:val="Heading3"/>
      </w:pPr>
      <w:r>
        <w:t>Table 1</w:t>
      </w:r>
      <w:r w:rsidRPr="00D2368F">
        <w:t xml:space="preserve">: </w:t>
      </w:r>
      <w:r w:rsidRPr="00E51F3A">
        <w:t>Workload</w:t>
      </w:r>
    </w:p>
    <w:tbl>
      <w:tblPr>
        <w:tblW w:w="9492" w:type="dxa"/>
        <w:tblInd w:w="98" w:type="dxa"/>
        <w:tblLook w:val="04A0"/>
      </w:tblPr>
      <w:tblGrid>
        <w:gridCol w:w="4518"/>
        <w:gridCol w:w="1240"/>
        <w:gridCol w:w="2136"/>
        <w:gridCol w:w="1598"/>
      </w:tblGrid>
      <w:tr w:rsidR="000430A4" w:rsidRPr="00C75CFE" w:rsidTr="002F32F0">
        <w:trPr>
          <w:trHeight w:val="318"/>
        </w:trPr>
        <w:tc>
          <w:tcPr>
            <w:tcW w:w="4518" w:type="dxa"/>
            <w:tcBorders>
              <w:top w:val="single" w:sz="4" w:space="0" w:color="auto"/>
              <w:left w:val="single" w:sz="4" w:space="0" w:color="auto"/>
              <w:right w:val="nil"/>
            </w:tcBorders>
            <w:shd w:val="clear" w:color="auto" w:fill="auto"/>
            <w:noWrap/>
            <w:vAlign w:val="bottom"/>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 xml:space="preserve">Measures </w:t>
            </w:r>
          </w:p>
        </w:tc>
        <w:tc>
          <w:tcPr>
            <w:tcW w:w="1240" w:type="dxa"/>
            <w:tcBorders>
              <w:top w:val="single" w:sz="4" w:space="0" w:color="auto"/>
              <w:left w:val="nil"/>
              <w:right w:val="nil"/>
            </w:tcBorders>
            <w:shd w:val="clear" w:color="auto" w:fill="auto"/>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2012-2013</w:t>
            </w:r>
          </w:p>
        </w:tc>
        <w:tc>
          <w:tcPr>
            <w:tcW w:w="2136" w:type="dxa"/>
            <w:tcBorders>
              <w:top w:val="single" w:sz="4" w:space="0" w:color="auto"/>
              <w:left w:val="nil"/>
              <w:right w:val="nil"/>
            </w:tcBorders>
            <w:shd w:val="clear" w:color="auto" w:fill="auto"/>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2013-2014</w:t>
            </w:r>
          </w:p>
        </w:tc>
        <w:tc>
          <w:tcPr>
            <w:tcW w:w="1598" w:type="dxa"/>
            <w:tcBorders>
              <w:top w:val="single" w:sz="4" w:space="0" w:color="auto"/>
              <w:left w:val="nil"/>
              <w:right w:val="single" w:sz="4" w:space="0" w:color="auto"/>
            </w:tcBorders>
            <w:shd w:val="clear" w:color="auto" w:fill="auto"/>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2014-2015</w:t>
            </w:r>
          </w:p>
        </w:tc>
      </w:tr>
      <w:tr w:rsidR="000430A4" w:rsidRPr="00C75CFE" w:rsidTr="002F32F0">
        <w:trPr>
          <w:trHeight w:val="303"/>
        </w:trPr>
        <w:tc>
          <w:tcPr>
            <w:tcW w:w="4518" w:type="dxa"/>
            <w:tcBorders>
              <w:top w:val="nil"/>
              <w:left w:val="single" w:sz="4" w:space="0" w:color="auto"/>
              <w:bottom w:val="nil"/>
              <w:right w:val="nil"/>
            </w:tcBorders>
            <w:shd w:val="clear" w:color="000000" w:fill="DBE5F1"/>
            <w:noWrap/>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 xml:space="preserve">Number of requests received </w:t>
            </w:r>
          </w:p>
        </w:tc>
        <w:tc>
          <w:tcPr>
            <w:tcW w:w="1240" w:type="dxa"/>
            <w:tcBorders>
              <w:top w:val="nil"/>
              <w:left w:val="nil"/>
              <w:bottom w:val="nil"/>
              <w:right w:val="nil"/>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785</w:t>
            </w:r>
          </w:p>
        </w:tc>
        <w:tc>
          <w:tcPr>
            <w:tcW w:w="2136" w:type="dxa"/>
            <w:tcBorders>
              <w:top w:val="nil"/>
              <w:left w:val="nil"/>
              <w:bottom w:val="nil"/>
              <w:right w:val="nil"/>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630</w:t>
            </w:r>
          </w:p>
        </w:tc>
        <w:tc>
          <w:tcPr>
            <w:tcW w:w="1598" w:type="dxa"/>
            <w:tcBorders>
              <w:top w:val="nil"/>
              <w:left w:val="nil"/>
              <w:bottom w:val="nil"/>
              <w:right w:val="single" w:sz="4" w:space="0" w:color="auto"/>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555</w:t>
            </w:r>
          </w:p>
        </w:tc>
      </w:tr>
      <w:tr w:rsidR="000430A4" w:rsidRPr="00C75CFE" w:rsidTr="002F32F0">
        <w:trPr>
          <w:trHeight w:val="303"/>
        </w:trPr>
        <w:tc>
          <w:tcPr>
            <w:tcW w:w="4518" w:type="dxa"/>
            <w:tcBorders>
              <w:top w:val="nil"/>
              <w:left w:val="single" w:sz="4" w:space="0" w:color="auto"/>
              <w:bottom w:val="nil"/>
              <w:right w:val="nil"/>
            </w:tcBorders>
            <w:shd w:val="clear" w:color="auto" w:fill="auto"/>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Annual change (%)</w:t>
            </w:r>
          </w:p>
        </w:tc>
        <w:tc>
          <w:tcPr>
            <w:tcW w:w="1240" w:type="dxa"/>
            <w:tcBorders>
              <w:top w:val="nil"/>
              <w:left w:val="nil"/>
              <w:bottom w:val="nil"/>
              <w:right w:val="nil"/>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w:t>
            </w:r>
          </w:p>
        </w:tc>
        <w:tc>
          <w:tcPr>
            <w:tcW w:w="2136" w:type="dxa"/>
            <w:tcBorders>
              <w:top w:val="nil"/>
              <w:left w:val="nil"/>
              <w:bottom w:val="nil"/>
              <w:right w:val="nil"/>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-19.7%</w:t>
            </w:r>
          </w:p>
        </w:tc>
        <w:tc>
          <w:tcPr>
            <w:tcW w:w="1598" w:type="dxa"/>
            <w:tcBorders>
              <w:top w:val="nil"/>
              <w:left w:val="nil"/>
              <w:bottom w:val="nil"/>
              <w:right w:val="single" w:sz="4" w:space="0" w:color="auto"/>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-11.9%</w:t>
            </w:r>
          </w:p>
        </w:tc>
      </w:tr>
      <w:tr w:rsidR="000430A4" w:rsidRPr="00C75CFE" w:rsidTr="002F32F0">
        <w:trPr>
          <w:trHeight w:val="354"/>
        </w:trPr>
        <w:tc>
          <w:tcPr>
            <w:tcW w:w="4518" w:type="dxa"/>
            <w:tcBorders>
              <w:top w:val="nil"/>
              <w:left w:val="single" w:sz="4" w:space="0" w:color="auto"/>
              <w:bottom w:val="nil"/>
              <w:right w:val="nil"/>
            </w:tcBorders>
            <w:shd w:val="clear" w:color="000000" w:fill="DBE5F1"/>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Completed requests</w:t>
            </w:r>
          </w:p>
        </w:tc>
        <w:tc>
          <w:tcPr>
            <w:tcW w:w="1240" w:type="dxa"/>
            <w:tcBorders>
              <w:top w:val="nil"/>
              <w:left w:val="nil"/>
              <w:bottom w:val="nil"/>
              <w:right w:val="nil"/>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712</w:t>
            </w:r>
          </w:p>
        </w:tc>
        <w:tc>
          <w:tcPr>
            <w:tcW w:w="2136" w:type="dxa"/>
            <w:tcBorders>
              <w:top w:val="nil"/>
              <w:left w:val="nil"/>
              <w:bottom w:val="nil"/>
              <w:right w:val="nil"/>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618</w:t>
            </w:r>
          </w:p>
        </w:tc>
        <w:tc>
          <w:tcPr>
            <w:tcW w:w="1598" w:type="dxa"/>
            <w:tcBorders>
              <w:top w:val="nil"/>
              <w:left w:val="nil"/>
              <w:bottom w:val="nil"/>
              <w:right w:val="single" w:sz="4" w:space="0" w:color="auto"/>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517</w:t>
            </w:r>
          </w:p>
        </w:tc>
      </w:tr>
      <w:tr w:rsidR="000430A4" w:rsidRPr="00C75CFE" w:rsidTr="002F32F0">
        <w:trPr>
          <w:trHeight w:val="444"/>
        </w:trPr>
        <w:tc>
          <w:tcPr>
            <w:tcW w:w="4518" w:type="dxa"/>
            <w:tcBorders>
              <w:top w:val="nil"/>
              <w:left w:val="single" w:sz="4" w:space="0" w:color="auto"/>
              <w:right w:val="nil"/>
            </w:tcBorders>
            <w:shd w:val="clear" w:color="auto" w:fill="auto"/>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Annual change</w:t>
            </w:r>
            <w:r>
              <w:rPr>
                <w:rFonts w:ascii="Calibri" w:eastAsia="Times New Roman" w:hAnsi="Calibri" w:cs="Times New Roman"/>
                <w:color w:val="000000"/>
              </w:rPr>
              <w:t xml:space="preserve"> (%)</w:t>
            </w:r>
          </w:p>
        </w:tc>
        <w:tc>
          <w:tcPr>
            <w:tcW w:w="1240" w:type="dxa"/>
            <w:tcBorders>
              <w:top w:val="nil"/>
              <w:left w:val="nil"/>
              <w:right w:val="nil"/>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w:t>
            </w:r>
          </w:p>
        </w:tc>
        <w:tc>
          <w:tcPr>
            <w:tcW w:w="2136" w:type="dxa"/>
            <w:tcBorders>
              <w:top w:val="nil"/>
              <w:left w:val="nil"/>
              <w:right w:val="nil"/>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-13.2%</w:t>
            </w:r>
          </w:p>
        </w:tc>
        <w:tc>
          <w:tcPr>
            <w:tcW w:w="1598" w:type="dxa"/>
            <w:tcBorders>
              <w:top w:val="nil"/>
              <w:left w:val="nil"/>
              <w:right w:val="single" w:sz="4" w:space="0" w:color="auto"/>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-16.3%</w:t>
            </w:r>
          </w:p>
        </w:tc>
      </w:tr>
      <w:tr w:rsidR="000430A4" w:rsidRPr="00C75CFE" w:rsidTr="002F32F0">
        <w:trPr>
          <w:trHeight w:val="567"/>
        </w:trPr>
        <w:tc>
          <w:tcPr>
            <w:tcW w:w="4518" w:type="dxa"/>
            <w:tcBorders>
              <w:top w:val="nil"/>
              <w:left w:val="single" w:sz="4" w:space="0" w:color="auto"/>
              <w:right w:val="nil"/>
            </w:tcBorders>
            <w:shd w:val="clear" w:color="000000" w:fill="DBE5F1"/>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Number of consultations received (from other government institutions)</w:t>
            </w:r>
          </w:p>
        </w:tc>
        <w:tc>
          <w:tcPr>
            <w:tcW w:w="1240" w:type="dxa"/>
            <w:tcBorders>
              <w:top w:val="nil"/>
              <w:left w:val="nil"/>
              <w:right w:val="nil"/>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135</w:t>
            </w:r>
          </w:p>
        </w:tc>
        <w:tc>
          <w:tcPr>
            <w:tcW w:w="2136" w:type="dxa"/>
            <w:tcBorders>
              <w:top w:val="nil"/>
              <w:left w:val="nil"/>
              <w:right w:val="nil"/>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119</w:t>
            </w:r>
          </w:p>
        </w:tc>
        <w:tc>
          <w:tcPr>
            <w:tcW w:w="1598" w:type="dxa"/>
            <w:tcBorders>
              <w:top w:val="nil"/>
              <w:left w:val="nil"/>
              <w:right w:val="single" w:sz="4" w:space="0" w:color="auto"/>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88</w:t>
            </w:r>
          </w:p>
        </w:tc>
      </w:tr>
      <w:tr w:rsidR="000430A4" w:rsidRPr="00C75CFE" w:rsidTr="002F32F0">
        <w:trPr>
          <w:trHeight w:val="421"/>
        </w:trPr>
        <w:tc>
          <w:tcPr>
            <w:tcW w:w="4518" w:type="dxa"/>
            <w:tcBorders>
              <w:top w:val="nil"/>
              <w:left w:val="single" w:sz="4" w:space="0" w:color="auto"/>
              <w:right w:val="nil"/>
            </w:tcBorders>
            <w:shd w:val="clear" w:color="auto" w:fill="auto"/>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Annual change (%)</w:t>
            </w:r>
          </w:p>
        </w:tc>
        <w:tc>
          <w:tcPr>
            <w:tcW w:w="1240" w:type="dxa"/>
            <w:tcBorders>
              <w:top w:val="nil"/>
              <w:left w:val="nil"/>
              <w:right w:val="nil"/>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w:t>
            </w:r>
          </w:p>
        </w:tc>
        <w:tc>
          <w:tcPr>
            <w:tcW w:w="2136" w:type="dxa"/>
            <w:tcBorders>
              <w:top w:val="nil"/>
              <w:left w:val="nil"/>
              <w:right w:val="nil"/>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-11.9%</w:t>
            </w:r>
          </w:p>
        </w:tc>
        <w:tc>
          <w:tcPr>
            <w:tcW w:w="1598" w:type="dxa"/>
            <w:tcBorders>
              <w:top w:val="nil"/>
              <w:left w:val="nil"/>
              <w:right w:val="single" w:sz="4" w:space="0" w:color="auto"/>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-26.1%</w:t>
            </w:r>
          </w:p>
        </w:tc>
      </w:tr>
      <w:tr w:rsidR="000430A4" w:rsidRPr="00C75CFE" w:rsidTr="002F32F0">
        <w:trPr>
          <w:trHeight w:val="622"/>
        </w:trPr>
        <w:tc>
          <w:tcPr>
            <w:tcW w:w="4518" w:type="dxa"/>
            <w:tcBorders>
              <w:left w:val="single" w:sz="4" w:space="0" w:color="auto"/>
              <w:bottom w:val="nil"/>
              <w:right w:val="nil"/>
            </w:tcBorders>
            <w:shd w:val="clear" w:color="000000" w:fill="DBE5F1"/>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Average number of pages processed per request completed</w:t>
            </w:r>
          </w:p>
        </w:tc>
        <w:tc>
          <w:tcPr>
            <w:tcW w:w="1240" w:type="dxa"/>
            <w:tcBorders>
              <w:left w:val="nil"/>
              <w:bottom w:val="nil"/>
              <w:right w:val="nil"/>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79</w:t>
            </w:r>
          </w:p>
        </w:tc>
        <w:tc>
          <w:tcPr>
            <w:tcW w:w="2136" w:type="dxa"/>
            <w:tcBorders>
              <w:left w:val="nil"/>
              <w:bottom w:val="nil"/>
              <w:right w:val="nil"/>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104</w:t>
            </w:r>
          </w:p>
        </w:tc>
        <w:tc>
          <w:tcPr>
            <w:tcW w:w="1598" w:type="dxa"/>
            <w:tcBorders>
              <w:left w:val="nil"/>
              <w:bottom w:val="nil"/>
              <w:right w:val="single" w:sz="4" w:space="0" w:color="auto"/>
            </w:tcBorders>
            <w:shd w:val="clear" w:color="000000" w:fill="DBE5F1"/>
            <w:noWrap/>
            <w:vAlign w:val="center"/>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153</w:t>
            </w:r>
          </w:p>
        </w:tc>
      </w:tr>
      <w:tr w:rsidR="000430A4" w:rsidRPr="00C75CFE" w:rsidTr="002F32F0">
        <w:trPr>
          <w:trHeight w:val="488"/>
        </w:trPr>
        <w:tc>
          <w:tcPr>
            <w:tcW w:w="4518" w:type="dxa"/>
            <w:tcBorders>
              <w:top w:val="nil"/>
              <w:left w:val="single" w:sz="4" w:space="0" w:color="auto"/>
              <w:bottom w:val="single" w:sz="4" w:space="0" w:color="auto"/>
              <w:right w:val="nil"/>
            </w:tcBorders>
            <w:shd w:val="clear" w:color="auto" w:fill="auto"/>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 of requests for which more than 1</w:t>
            </w:r>
            <w:r w:rsidR="0005646E">
              <w:rPr>
                <w:rFonts w:ascii="Calibri" w:eastAsia="Times New Roman" w:hAnsi="Calibri" w:cs="Times New Roman"/>
                <w:color w:val="000000"/>
              </w:rPr>
              <w:t>,</w:t>
            </w:r>
            <w:r w:rsidRPr="00C75CFE">
              <w:rPr>
                <w:rFonts w:ascii="Calibri" w:eastAsia="Times New Roman" w:hAnsi="Calibri" w:cs="Times New Roman"/>
                <w:color w:val="000000"/>
              </w:rPr>
              <w:t>000 pages were processed</w:t>
            </w:r>
          </w:p>
        </w:tc>
        <w:tc>
          <w:tcPr>
            <w:tcW w:w="1240" w:type="dxa"/>
            <w:tcBorders>
              <w:top w:val="nil"/>
              <w:left w:val="nil"/>
              <w:bottom w:val="single" w:sz="4" w:space="0" w:color="auto"/>
              <w:right w:val="nil"/>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1.2%</w:t>
            </w:r>
          </w:p>
        </w:tc>
        <w:tc>
          <w:tcPr>
            <w:tcW w:w="2136" w:type="dxa"/>
            <w:tcBorders>
              <w:top w:val="nil"/>
              <w:left w:val="nil"/>
              <w:bottom w:val="single" w:sz="4" w:space="0" w:color="auto"/>
              <w:right w:val="nil"/>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1.4%</w:t>
            </w:r>
          </w:p>
        </w:tc>
        <w:tc>
          <w:tcPr>
            <w:tcW w:w="1598" w:type="dxa"/>
            <w:tcBorders>
              <w:top w:val="nil"/>
              <w:left w:val="nil"/>
              <w:bottom w:val="single" w:sz="4" w:space="0" w:color="auto"/>
              <w:right w:val="single" w:sz="4" w:space="0" w:color="auto"/>
            </w:tcBorders>
            <w:shd w:val="clear" w:color="auto" w:fill="auto"/>
            <w:noWrap/>
            <w:vAlign w:val="center"/>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2.4%</w:t>
            </w:r>
          </w:p>
        </w:tc>
      </w:tr>
    </w:tbl>
    <w:p w:rsidR="000430A4" w:rsidRPr="00E51F3A" w:rsidRDefault="000430A4" w:rsidP="000430A4">
      <w:pPr>
        <w:pStyle w:val="Heading2"/>
        <w:spacing w:before="240"/>
      </w:pPr>
      <w:r w:rsidRPr="00E51F3A">
        <w:t>Request completion time</w:t>
      </w:r>
    </w:p>
    <w:p w:rsidR="000430A4" w:rsidRPr="004D30BF" w:rsidRDefault="000430A4" w:rsidP="000430A4">
      <w:pPr>
        <w:pStyle w:val="Heading4"/>
      </w:pPr>
      <w:r w:rsidRPr="004D30BF">
        <w:t>Timeliness</w:t>
      </w:r>
    </w:p>
    <w:p w:rsidR="000430A4" w:rsidRPr="007563EB" w:rsidRDefault="000430A4" w:rsidP="000430A4">
      <w:pPr>
        <w:jc w:val="both"/>
      </w:pPr>
      <w:r w:rsidRPr="007563EB">
        <w:t xml:space="preserve">Figure 1 reveals that </w:t>
      </w:r>
      <w:r>
        <w:t>59.4</w:t>
      </w:r>
      <w:r w:rsidRPr="007563EB">
        <w:t xml:space="preserve">% of </w:t>
      </w:r>
      <w:r>
        <w:t>requests were completed within</w:t>
      </w:r>
      <w:r w:rsidRPr="007563EB">
        <w:t xml:space="preserve"> 30 days or less, which is</w:t>
      </w:r>
      <w:r>
        <w:t xml:space="preserve"> </w:t>
      </w:r>
      <w:r w:rsidRPr="007563EB">
        <w:t>7</w:t>
      </w:r>
      <w:r>
        <w:t>.3%</w:t>
      </w:r>
      <w:r w:rsidRPr="007563EB">
        <w:t xml:space="preserve"> </w:t>
      </w:r>
      <w:r>
        <w:t>lower than the result observed in 2013-2014</w:t>
      </w:r>
      <w:r w:rsidRPr="007563EB">
        <w:t xml:space="preserve">. </w:t>
      </w:r>
      <w:r>
        <w:t>The number of requests completed between 31 and 60 days increased by 16% compared to the previous reporting period.</w:t>
      </w:r>
    </w:p>
    <w:p w:rsidR="000430A4" w:rsidRDefault="000430A4" w:rsidP="000430A4">
      <w:pPr>
        <w:pStyle w:val="Heading3"/>
        <w:spacing w:after="200"/>
        <w:rPr>
          <w:color w:val="FF0000"/>
          <w:sz w:val="24"/>
          <w:szCs w:val="24"/>
        </w:rPr>
      </w:pPr>
      <w:r w:rsidRPr="00A27791">
        <w:t>Figure 1: Request Completion T</w:t>
      </w:r>
      <w:r>
        <w:t>ime</w:t>
      </w:r>
      <w:r w:rsidRPr="00963F71">
        <w:rPr>
          <w:noProof/>
          <w:color w:val="FF0000"/>
          <w:sz w:val="24"/>
          <w:szCs w:val="24"/>
        </w:rPr>
        <w:drawing>
          <wp:inline distT="0" distB="0" distL="0" distR="0">
            <wp:extent cx="5947576" cy="4039263"/>
            <wp:effectExtent l="0" t="0" r="0" b="0"/>
            <wp:docPr id="6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0430A4" w:rsidRPr="00D2368F" w:rsidRDefault="000430A4" w:rsidP="000430A4">
      <w:pPr>
        <w:pStyle w:val="Heading4"/>
      </w:pPr>
      <w:r w:rsidRPr="00D2368F">
        <w:t>Extensions</w:t>
      </w:r>
    </w:p>
    <w:p w:rsidR="000430A4" w:rsidRPr="00BA04D2" w:rsidRDefault="000430A4" w:rsidP="000430A4">
      <w:pPr>
        <w:jc w:val="both"/>
      </w:pPr>
      <w:r w:rsidRPr="00BA04D2">
        <w:t>CSC took a total of 172 extensions in 2014-2015 compared to 194 in 2013-2014.</w:t>
      </w:r>
      <w:r w:rsidRPr="00BA04D2">
        <w:rPr>
          <w:color w:val="C00000"/>
        </w:rPr>
        <w:t xml:space="preserve"> </w:t>
      </w:r>
      <w:r w:rsidRPr="00BA04D2">
        <w:t>The most common reason for taking an extension was interference with operations (76.7%), followed by consultations (18.6%), and third-party notice (4.7%).</w:t>
      </w:r>
    </w:p>
    <w:p w:rsidR="000430A4" w:rsidRPr="00BA04D2" w:rsidRDefault="000430A4" w:rsidP="000430A4">
      <w:pPr>
        <w:jc w:val="both"/>
      </w:pPr>
      <w:r w:rsidRPr="00BA04D2">
        <w:t>Figure 2 shows that 55.8% of the extensions taken in 2014-2015 were for 30 days or less, which is a 22.8% increase compared to the previous year. Figure 2 also shows that the number of extensions taken for more than 30 days in 2014-2015 was reduced compared to 2013-2014.</w:t>
      </w:r>
    </w:p>
    <w:p w:rsidR="000430A4" w:rsidRDefault="000430A4" w:rsidP="000430A4">
      <w:pPr>
        <w:pStyle w:val="Heading3"/>
        <w:spacing w:after="200"/>
      </w:pPr>
      <w:r w:rsidRPr="00A27791">
        <w:t>Figure 2: Length of E</w:t>
      </w:r>
      <w:r>
        <w:t>xtensions</w:t>
      </w:r>
      <w:r w:rsidRPr="00963F71">
        <w:rPr>
          <w:noProof/>
        </w:rPr>
        <w:drawing>
          <wp:inline distT="0" distB="0" distL="0" distR="0">
            <wp:extent cx="6138407" cy="4110825"/>
            <wp:effectExtent l="0" t="0" r="0" b="4445"/>
            <wp:docPr id="6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0430A4" w:rsidRPr="00D2368F" w:rsidRDefault="000430A4" w:rsidP="000430A4">
      <w:pPr>
        <w:pStyle w:val="Heading4"/>
      </w:pPr>
      <w:r>
        <w:t>Deemed refusals</w:t>
      </w:r>
    </w:p>
    <w:p w:rsidR="000430A4" w:rsidRPr="00BA04D2" w:rsidRDefault="000430A4" w:rsidP="000430A4">
      <w:pPr>
        <w:jc w:val="both"/>
      </w:pPr>
      <w:r w:rsidRPr="00BA04D2">
        <w:t>In 2014-2015, the number of requests closed past the statutory deadline was 117, which accounts for 22.6% of all completed requests. This rate represents an “F” grade.</w:t>
      </w:r>
      <w:r w:rsidRPr="00BA04D2">
        <w:rPr>
          <w:rStyle w:val="FootnoteReference"/>
        </w:rPr>
        <w:footnoteReference w:id="79"/>
      </w:r>
      <w:r w:rsidRPr="00BA04D2">
        <w:t xml:space="preserve"> This is a significant difference compared to the previous year where CSC received a “B.” The main reason for not meeting the statutory deadline in 2014-2015 was workload (91.4%).</w:t>
      </w:r>
    </w:p>
    <w:p w:rsidR="000430A4" w:rsidRPr="00BA04D2" w:rsidRDefault="000430A4" w:rsidP="000430A4">
      <w:pPr>
        <w:jc w:val="both"/>
      </w:pPr>
      <w:r w:rsidRPr="00BA04D2">
        <w:t>Figure 3 shows that 47.0% of the overdue requests were late by 30 days or less, 15.4% of requests were late between 31 and 60 days, and all remaining requests were late by more than 60 days.</w:t>
      </w:r>
    </w:p>
    <w:p w:rsidR="000430A4" w:rsidRPr="00127B42" w:rsidRDefault="000430A4" w:rsidP="000430A4">
      <w:pPr>
        <w:pStyle w:val="Heading3"/>
        <w:spacing w:after="200"/>
      </w:pPr>
      <w:r w:rsidRPr="00A27791">
        <w:t>Figure 3: Lateness of Overdue Requests</w:t>
      </w:r>
      <w:r w:rsidRPr="00963F71">
        <w:rPr>
          <w:noProof/>
        </w:rPr>
        <w:drawing>
          <wp:inline distT="0" distB="0" distL="0" distR="0">
            <wp:extent cx="5796500" cy="3943847"/>
            <wp:effectExtent l="0" t="0" r="0" b="0"/>
            <wp:docPr id="6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430A4" w:rsidRPr="00E51F3A" w:rsidRDefault="000430A4" w:rsidP="000430A4">
      <w:pPr>
        <w:pStyle w:val="Heading2"/>
      </w:pPr>
      <w:r w:rsidRPr="00E51F3A">
        <w:t>Disclosure</w:t>
      </w:r>
    </w:p>
    <w:p w:rsidR="000430A4" w:rsidRPr="00D2368F" w:rsidRDefault="000430A4" w:rsidP="000430A4">
      <w:pPr>
        <w:pStyle w:val="Heading4"/>
      </w:pPr>
      <w:r w:rsidRPr="00D2368F">
        <w:t xml:space="preserve">Percentage of requests for </w:t>
      </w:r>
      <w:r>
        <w:t>which information was disclosed</w:t>
      </w:r>
    </w:p>
    <w:p w:rsidR="000430A4" w:rsidRPr="00266F90" w:rsidRDefault="000430A4" w:rsidP="000430A4">
      <w:pPr>
        <w:jc w:val="both"/>
      </w:pPr>
      <w:r w:rsidRPr="00266F90">
        <w:t xml:space="preserve">In 2014-2015, </w:t>
      </w:r>
      <w:r>
        <w:t>23.8</w:t>
      </w:r>
      <w:r w:rsidRPr="00266F90">
        <w:t xml:space="preserve">% of completed requests </w:t>
      </w:r>
      <w:r>
        <w:t>were</w:t>
      </w:r>
      <w:r w:rsidRPr="00266F90">
        <w:t xml:space="preserve"> entirely disclosed</w:t>
      </w:r>
      <w:r>
        <w:t xml:space="preserve">. This rate of disclosure is a slight improvement from the previous reporting period </w:t>
      </w:r>
      <w:r w:rsidRPr="00266F90">
        <w:t xml:space="preserve">(see Figure 4). Figure 4 also shows that the rate for partially disclosed requests was </w:t>
      </w:r>
      <w:r>
        <w:t xml:space="preserve">34.2% </w:t>
      </w:r>
      <w:r w:rsidRPr="00266F90">
        <w:t>in 2014-2015, which is a</w:t>
      </w:r>
      <w:r>
        <w:t xml:space="preserve"> small decrease of 2.2</w:t>
      </w:r>
      <w:r w:rsidRPr="00266F90">
        <w:t>% from the previous period.</w:t>
      </w:r>
    </w:p>
    <w:p w:rsidR="000430A4" w:rsidRDefault="000430A4" w:rsidP="000430A4">
      <w:pPr>
        <w:pStyle w:val="Heading3"/>
        <w:spacing w:after="200"/>
      </w:pPr>
      <w:r w:rsidRPr="00A27791">
        <w:t>Figure 4: Level of Disclosure</w:t>
      </w:r>
      <w:r w:rsidRPr="00963F71">
        <w:rPr>
          <w:noProof/>
        </w:rPr>
        <w:drawing>
          <wp:inline distT="0" distB="0" distL="0" distR="0">
            <wp:extent cx="5891917" cy="3983603"/>
            <wp:effectExtent l="0" t="0" r="0" b="0"/>
            <wp:docPr id="6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0430A4" w:rsidRPr="00D2368F" w:rsidRDefault="000430A4" w:rsidP="000430A4">
      <w:pPr>
        <w:pStyle w:val="Heading4"/>
      </w:pPr>
      <w:r>
        <w:t>Exemptions</w:t>
      </w:r>
    </w:p>
    <w:p w:rsidR="000430A4" w:rsidRDefault="000430A4" w:rsidP="000430A4">
      <w:pPr>
        <w:jc w:val="both"/>
      </w:pPr>
      <w:r>
        <w:t xml:space="preserve">The average number of </w:t>
      </w:r>
      <w:r w:rsidRPr="00B34C87">
        <w:t>ex</w:t>
      </w:r>
      <w:r w:rsidRPr="00A27791">
        <w:t>emptions used per completed request decreased for 1.14 in 2013-2014 to 0.82 in 2014-2015 (see Table 2). The most frequently used exemptions in 2014-2015 were section 19 (Personal Information) (25</w:t>
      </w:r>
      <w:r>
        <w:t>.1</w:t>
      </w:r>
      <w:r w:rsidRPr="00A27791">
        <w:t>%)</w:t>
      </w:r>
      <w:r>
        <w:t>,</w:t>
      </w:r>
      <w:r w:rsidRPr="00CF4D8C">
        <w:t xml:space="preserve"> </w:t>
      </w:r>
      <w:r w:rsidRPr="00A27791">
        <w:t>section 16 (Law Enforcement and Investigations) (</w:t>
      </w:r>
      <w:r>
        <w:t>19.7%)</w:t>
      </w:r>
      <w:r w:rsidRPr="00A27791">
        <w:t xml:space="preserve"> and section 21 (Operations of Government) (19</w:t>
      </w:r>
      <w:r>
        <w:t>.5</w:t>
      </w:r>
      <w:r w:rsidRPr="00A27791">
        <w:t xml:space="preserve">%). In general, we have observed a reduction of exemptions in the above mentioned </w:t>
      </w:r>
      <w:r>
        <w:t>provisions since 2012.</w:t>
      </w:r>
    </w:p>
    <w:p w:rsidR="000430A4" w:rsidRDefault="000430A4" w:rsidP="000430A4">
      <w:pPr>
        <w:pStyle w:val="Heading3"/>
      </w:pPr>
      <w:r w:rsidRPr="00916BD0">
        <w:t xml:space="preserve">Table </w:t>
      </w:r>
      <w:r>
        <w:t>2</w:t>
      </w:r>
      <w:r w:rsidRPr="00916BD0">
        <w:t>: Exemptions</w:t>
      </w:r>
    </w:p>
    <w:tbl>
      <w:tblPr>
        <w:tblW w:w="9491" w:type="dxa"/>
        <w:tblInd w:w="98" w:type="dxa"/>
        <w:tblLook w:val="04A0"/>
      </w:tblPr>
      <w:tblGrid>
        <w:gridCol w:w="4767"/>
        <w:gridCol w:w="1177"/>
        <w:gridCol w:w="2029"/>
        <w:gridCol w:w="1518"/>
      </w:tblGrid>
      <w:tr w:rsidR="000430A4" w:rsidRPr="00C75CFE" w:rsidTr="002F32F0">
        <w:trPr>
          <w:trHeight w:val="268"/>
        </w:trPr>
        <w:tc>
          <w:tcPr>
            <w:tcW w:w="4767"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 xml:space="preserve">Exemptions </w:t>
            </w:r>
          </w:p>
        </w:tc>
        <w:tc>
          <w:tcPr>
            <w:tcW w:w="1177" w:type="dxa"/>
            <w:tcBorders>
              <w:top w:val="single" w:sz="8" w:space="0" w:color="auto"/>
              <w:left w:val="nil"/>
              <w:bottom w:val="single" w:sz="8" w:space="0" w:color="auto"/>
              <w:right w:val="nil"/>
            </w:tcBorders>
            <w:shd w:val="clear" w:color="000000" w:fill="DBE5F1"/>
            <w:noWrap/>
            <w:vAlign w:val="bottom"/>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2012-2013</w:t>
            </w:r>
          </w:p>
        </w:tc>
        <w:tc>
          <w:tcPr>
            <w:tcW w:w="2029" w:type="dxa"/>
            <w:tcBorders>
              <w:top w:val="single" w:sz="8" w:space="0" w:color="auto"/>
              <w:left w:val="nil"/>
              <w:bottom w:val="single" w:sz="8" w:space="0" w:color="auto"/>
              <w:right w:val="nil"/>
            </w:tcBorders>
            <w:shd w:val="clear" w:color="000000" w:fill="DBE5F1"/>
            <w:noWrap/>
            <w:vAlign w:val="bottom"/>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2013-2014</w:t>
            </w:r>
          </w:p>
        </w:tc>
        <w:tc>
          <w:tcPr>
            <w:tcW w:w="1518"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C75CFE" w:rsidRDefault="000430A4" w:rsidP="002F32F0">
            <w:pPr>
              <w:spacing w:after="0" w:line="240" w:lineRule="auto"/>
              <w:jc w:val="center"/>
              <w:rPr>
                <w:rFonts w:ascii="Calibri" w:eastAsia="Times New Roman" w:hAnsi="Calibri" w:cs="Times New Roman"/>
                <w:b/>
                <w:bCs/>
                <w:color w:val="000000"/>
              </w:rPr>
            </w:pPr>
            <w:r w:rsidRPr="00C75CFE">
              <w:rPr>
                <w:rFonts w:ascii="Calibri" w:eastAsia="Times New Roman" w:hAnsi="Calibri" w:cs="Times New Roman"/>
                <w:b/>
                <w:bCs/>
                <w:color w:val="000000"/>
              </w:rPr>
              <w:t>2014-2015</w:t>
            </w:r>
          </w:p>
        </w:tc>
      </w:tr>
      <w:tr w:rsidR="000430A4" w:rsidRPr="00C75CFE" w:rsidTr="002F32F0">
        <w:trPr>
          <w:trHeight w:val="256"/>
        </w:trPr>
        <w:tc>
          <w:tcPr>
            <w:tcW w:w="4767" w:type="dxa"/>
            <w:tcBorders>
              <w:top w:val="nil"/>
              <w:left w:val="single" w:sz="8" w:space="0" w:color="auto"/>
              <w:bottom w:val="nil"/>
              <w:right w:val="nil"/>
            </w:tcBorders>
            <w:shd w:val="clear" w:color="auto" w:fill="auto"/>
            <w:noWrap/>
            <w:vAlign w:val="bottom"/>
            <w:hideMark/>
          </w:tcPr>
          <w:p w:rsidR="000430A4" w:rsidRPr="00C75CFE"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C75CFE">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C75CFE">
              <w:rPr>
                <w:rFonts w:ascii="Calibri" w:eastAsia="Times New Roman" w:hAnsi="Calibri" w:cs="Times New Roman"/>
                <w:color w:val="000000"/>
              </w:rPr>
              <w:t xml:space="preserve"> </w:t>
            </w:r>
          </w:p>
        </w:tc>
        <w:tc>
          <w:tcPr>
            <w:tcW w:w="1177" w:type="dxa"/>
            <w:tcBorders>
              <w:top w:val="nil"/>
              <w:left w:val="nil"/>
              <w:bottom w:val="nil"/>
              <w:right w:val="nil"/>
            </w:tcBorders>
            <w:shd w:val="clear" w:color="auto" w:fill="auto"/>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815</w:t>
            </w:r>
          </w:p>
        </w:tc>
        <w:tc>
          <w:tcPr>
            <w:tcW w:w="2029" w:type="dxa"/>
            <w:tcBorders>
              <w:top w:val="nil"/>
              <w:left w:val="nil"/>
              <w:bottom w:val="nil"/>
              <w:right w:val="nil"/>
            </w:tcBorders>
            <w:shd w:val="clear" w:color="auto" w:fill="auto"/>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704</w:t>
            </w:r>
          </w:p>
        </w:tc>
        <w:tc>
          <w:tcPr>
            <w:tcW w:w="1518" w:type="dxa"/>
            <w:tcBorders>
              <w:top w:val="nil"/>
              <w:left w:val="nil"/>
              <w:bottom w:val="nil"/>
              <w:right w:val="single" w:sz="8" w:space="0" w:color="auto"/>
            </w:tcBorders>
            <w:shd w:val="clear" w:color="auto" w:fill="auto"/>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426</w:t>
            </w:r>
          </w:p>
        </w:tc>
      </w:tr>
      <w:tr w:rsidR="000430A4" w:rsidRPr="00C75CFE" w:rsidTr="002F32F0">
        <w:trPr>
          <w:trHeight w:val="256"/>
        </w:trPr>
        <w:tc>
          <w:tcPr>
            <w:tcW w:w="4767" w:type="dxa"/>
            <w:tcBorders>
              <w:top w:val="nil"/>
              <w:left w:val="single" w:sz="8" w:space="0" w:color="auto"/>
              <w:bottom w:val="nil"/>
              <w:right w:val="nil"/>
            </w:tcBorders>
            <w:shd w:val="clear" w:color="auto" w:fill="auto"/>
            <w:noWrap/>
            <w:vAlign w:val="bottom"/>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Total number of completed requests</w:t>
            </w:r>
          </w:p>
        </w:tc>
        <w:tc>
          <w:tcPr>
            <w:tcW w:w="1177" w:type="dxa"/>
            <w:tcBorders>
              <w:top w:val="nil"/>
              <w:left w:val="nil"/>
              <w:bottom w:val="nil"/>
              <w:right w:val="nil"/>
            </w:tcBorders>
            <w:shd w:val="clear" w:color="auto" w:fill="auto"/>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712</w:t>
            </w:r>
          </w:p>
        </w:tc>
        <w:tc>
          <w:tcPr>
            <w:tcW w:w="2029" w:type="dxa"/>
            <w:tcBorders>
              <w:top w:val="nil"/>
              <w:left w:val="nil"/>
              <w:bottom w:val="nil"/>
              <w:right w:val="nil"/>
            </w:tcBorders>
            <w:shd w:val="clear" w:color="auto" w:fill="auto"/>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618</w:t>
            </w:r>
          </w:p>
        </w:tc>
        <w:tc>
          <w:tcPr>
            <w:tcW w:w="1518" w:type="dxa"/>
            <w:tcBorders>
              <w:top w:val="nil"/>
              <w:left w:val="nil"/>
              <w:bottom w:val="nil"/>
              <w:right w:val="single" w:sz="8" w:space="0" w:color="auto"/>
            </w:tcBorders>
            <w:shd w:val="clear" w:color="auto" w:fill="auto"/>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517</w:t>
            </w:r>
          </w:p>
        </w:tc>
      </w:tr>
      <w:tr w:rsidR="000430A4" w:rsidRPr="00C75CFE" w:rsidTr="002F32F0">
        <w:trPr>
          <w:trHeight w:val="268"/>
        </w:trPr>
        <w:tc>
          <w:tcPr>
            <w:tcW w:w="4767" w:type="dxa"/>
            <w:tcBorders>
              <w:top w:val="nil"/>
              <w:left w:val="single" w:sz="8" w:space="0" w:color="auto"/>
              <w:bottom w:val="single" w:sz="8" w:space="0" w:color="auto"/>
              <w:right w:val="nil"/>
            </w:tcBorders>
            <w:shd w:val="clear" w:color="000000" w:fill="DBE5F1"/>
            <w:noWrap/>
            <w:vAlign w:val="bottom"/>
            <w:hideMark/>
          </w:tcPr>
          <w:p w:rsidR="000430A4" w:rsidRPr="00C75CFE" w:rsidRDefault="000430A4" w:rsidP="002F32F0">
            <w:pPr>
              <w:spacing w:after="0" w:line="240" w:lineRule="auto"/>
              <w:rPr>
                <w:rFonts w:ascii="Calibri" w:eastAsia="Times New Roman" w:hAnsi="Calibri" w:cs="Times New Roman"/>
                <w:color w:val="000000"/>
              </w:rPr>
            </w:pPr>
            <w:r w:rsidRPr="00C75CFE">
              <w:rPr>
                <w:rFonts w:ascii="Calibri" w:eastAsia="Times New Roman" w:hAnsi="Calibri" w:cs="Times New Roman"/>
                <w:color w:val="000000"/>
              </w:rPr>
              <w:t xml:space="preserve">Average number of exemptions per request </w:t>
            </w:r>
          </w:p>
        </w:tc>
        <w:tc>
          <w:tcPr>
            <w:tcW w:w="1177" w:type="dxa"/>
            <w:tcBorders>
              <w:top w:val="nil"/>
              <w:left w:val="nil"/>
              <w:bottom w:val="single" w:sz="8" w:space="0" w:color="auto"/>
              <w:right w:val="nil"/>
            </w:tcBorders>
            <w:shd w:val="clear" w:color="000000" w:fill="DBE5F1"/>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1.1</w:t>
            </w:r>
            <w:r>
              <w:rPr>
                <w:rFonts w:ascii="Calibri" w:eastAsia="Times New Roman" w:hAnsi="Calibri" w:cs="Times New Roman"/>
                <w:color w:val="000000"/>
              </w:rPr>
              <w:t>4</w:t>
            </w:r>
          </w:p>
        </w:tc>
        <w:tc>
          <w:tcPr>
            <w:tcW w:w="2029" w:type="dxa"/>
            <w:tcBorders>
              <w:top w:val="nil"/>
              <w:left w:val="nil"/>
              <w:bottom w:val="single" w:sz="8" w:space="0" w:color="auto"/>
              <w:right w:val="nil"/>
            </w:tcBorders>
            <w:shd w:val="clear" w:color="000000" w:fill="DBE5F1"/>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1.1</w:t>
            </w:r>
            <w:r>
              <w:rPr>
                <w:rFonts w:ascii="Calibri" w:eastAsia="Times New Roman" w:hAnsi="Calibri" w:cs="Times New Roman"/>
                <w:color w:val="000000"/>
              </w:rPr>
              <w:t>4</w:t>
            </w:r>
          </w:p>
        </w:tc>
        <w:tc>
          <w:tcPr>
            <w:tcW w:w="1518" w:type="dxa"/>
            <w:tcBorders>
              <w:top w:val="nil"/>
              <w:left w:val="nil"/>
              <w:bottom w:val="single" w:sz="8" w:space="0" w:color="auto"/>
              <w:right w:val="single" w:sz="8" w:space="0" w:color="auto"/>
            </w:tcBorders>
            <w:shd w:val="clear" w:color="000000" w:fill="DBE5F1"/>
            <w:noWrap/>
            <w:vAlign w:val="bottom"/>
            <w:hideMark/>
          </w:tcPr>
          <w:p w:rsidR="000430A4" w:rsidRPr="00C75CFE" w:rsidRDefault="000430A4" w:rsidP="002F32F0">
            <w:pPr>
              <w:spacing w:after="0" w:line="240" w:lineRule="auto"/>
              <w:jc w:val="center"/>
              <w:rPr>
                <w:rFonts w:ascii="Calibri" w:eastAsia="Times New Roman" w:hAnsi="Calibri" w:cs="Times New Roman"/>
                <w:color w:val="000000"/>
              </w:rPr>
            </w:pPr>
            <w:r w:rsidRPr="00C75CFE">
              <w:rPr>
                <w:rFonts w:ascii="Calibri" w:eastAsia="Times New Roman" w:hAnsi="Calibri" w:cs="Times New Roman"/>
                <w:color w:val="000000"/>
              </w:rPr>
              <w:t>0.8</w:t>
            </w:r>
            <w:r>
              <w:rPr>
                <w:rFonts w:ascii="Calibri" w:eastAsia="Times New Roman" w:hAnsi="Calibri" w:cs="Times New Roman"/>
                <w:color w:val="000000"/>
              </w:rPr>
              <w:t>2</w:t>
            </w:r>
          </w:p>
        </w:tc>
      </w:tr>
    </w:tbl>
    <w:p w:rsidR="000430A4" w:rsidRPr="00E51F3A" w:rsidRDefault="000430A4" w:rsidP="000430A4">
      <w:pPr>
        <w:pStyle w:val="Heading2"/>
        <w:spacing w:before="240"/>
      </w:pPr>
      <w:r w:rsidRPr="00E51F3A">
        <w:t>Complaints at the OIC</w:t>
      </w:r>
    </w:p>
    <w:p w:rsidR="000430A4" w:rsidRDefault="000430A4" w:rsidP="000430A4">
      <w:pPr>
        <w:jc w:val="both"/>
      </w:pPr>
      <w:r w:rsidRPr="007B462F">
        <w:t>In 2014-2015, the OIC received 33 complaints</w:t>
      </w:r>
      <w:r>
        <w:rPr>
          <w:rStyle w:val="FootnoteReference"/>
        </w:rPr>
        <w:footnoteReference w:id="80"/>
      </w:r>
      <w:r w:rsidRPr="007B462F">
        <w:t xml:space="preserve"> against CSC, which is a reduction from </w:t>
      </w:r>
      <w:r>
        <w:t xml:space="preserve">the </w:t>
      </w:r>
      <w:r w:rsidRPr="007B462F">
        <w:t xml:space="preserve">56 received in 2013-2014. </w:t>
      </w:r>
      <w:r>
        <w:t>Similar to the</w:t>
      </w:r>
      <w:r w:rsidRPr="007B462F">
        <w:t xml:space="preserve"> previous period, most of the complaints were refusals. Howeve</w:t>
      </w:r>
      <w:r>
        <w:t>r, the proportion of refusals de</w:t>
      </w:r>
      <w:r w:rsidRPr="007B462F">
        <w:t xml:space="preserve">creased from 57.1% in 2013-2014 to </w:t>
      </w:r>
      <w:r>
        <w:t>45.5</w:t>
      </w:r>
      <w:r w:rsidRPr="007B462F">
        <w:t xml:space="preserve">% in 2014-2015. In this reporting period, </w:t>
      </w:r>
      <w:r>
        <w:t>12</w:t>
      </w:r>
      <w:r w:rsidRPr="007B462F">
        <w:t xml:space="preserve"> complaints were well-founded, 3 were not well-founded, 11 were discontinued</w:t>
      </w:r>
      <w:r>
        <w:t xml:space="preserve">, 2 were settled </w:t>
      </w:r>
      <w:r w:rsidRPr="007B462F">
        <w:t xml:space="preserve">and </w:t>
      </w:r>
      <w:r>
        <w:t>5</w:t>
      </w:r>
      <w:r w:rsidRPr="007B462F">
        <w:t xml:space="preserve"> </w:t>
      </w:r>
      <w:r>
        <w:t>were</w:t>
      </w:r>
      <w:r w:rsidRPr="007B462F">
        <w:t xml:space="preserve"> pending</w:t>
      </w:r>
      <w:r>
        <w:t xml:space="preserve"> resolution</w:t>
      </w:r>
      <w:r w:rsidRPr="007B462F">
        <w:t>.</w:t>
      </w:r>
    </w:p>
    <w:p w:rsidR="000430A4" w:rsidRDefault="000430A4">
      <w:r>
        <w:br w:type="page"/>
      </w:r>
    </w:p>
    <w:p w:rsidR="000430A4" w:rsidRDefault="000430A4" w:rsidP="000430A4">
      <w:pPr>
        <w:pStyle w:val="Heading1"/>
      </w:pPr>
      <w:r>
        <w:t>Department of Justice Canada</w:t>
      </w:r>
    </w:p>
    <w:p w:rsidR="000430A4" w:rsidRPr="00766E65" w:rsidRDefault="000430A4" w:rsidP="000430A4">
      <w:pPr>
        <w:jc w:val="both"/>
        <w:rPr>
          <w:b/>
        </w:rPr>
      </w:pPr>
      <w:r w:rsidRPr="00766E65">
        <w:rPr>
          <w:rStyle w:val="Heading2Char"/>
        </w:rPr>
        <w:t>Overall performance</w:t>
      </w:r>
      <w:r>
        <w:rPr>
          <w:rStyle w:val="FootnoteReference"/>
          <w:b/>
        </w:rPr>
        <w:footnoteReference w:id="81"/>
      </w:r>
    </w:p>
    <w:p w:rsidR="000430A4" w:rsidRPr="00DD2076" w:rsidRDefault="000430A4" w:rsidP="000430A4">
      <w:pPr>
        <w:jc w:val="both"/>
        <w:rPr>
          <w:color w:val="000000" w:themeColor="text1"/>
        </w:rPr>
      </w:pPr>
      <w:r w:rsidRPr="0068737B">
        <w:rPr>
          <w:color w:val="000000" w:themeColor="text1"/>
        </w:rPr>
        <w:t>The</w:t>
      </w:r>
      <w:r w:rsidRPr="0068737B">
        <w:t xml:space="preserve"> Department of Justice Canada (JUS) experienced a decrease in the number of requests of 5.1% and increased the number of requests completed within 30 days by 2.4%. </w:t>
      </w:r>
      <w:r w:rsidRPr="0068737B">
        <w:rPr>
          <w:color w:val="000000" w:themeColor="text1"/>
        </w:rPr>
        <w:t>This report provides comparative statistics for the last three periods (2012-2015).</w:t>
      </w:r>
    </w:p>
    <w:p w:rsidR="000430A4" w:rsidRPr="00766E65" w:rsidRDefault="000430A4" w:rsidP="000430A4">
      <w:pPr>
        <w:pStyle w:val="Heading2"/>
      </w:pPr>
      <w:r w:rsidRPr="00766E65">
        <w:t>Workload</w:t>
      </w:r>
    </w:p>
    <w:p w:rsidR="000430A4" w:rsidRPr="00DD2076" w:rsidRDefault="000430A4" w:rsidP="000430A4">
      <w:pPr>
        <w:jc w:val="both"/>
        <w:rPr>
          <w:color w:val="000000" w:themeColor="text1"/>
        </w:rPr>
      </w:pPr>
      <w:r>
        <w:rPr>
          <w:color w:val="000000" w:themeColor="text1"/>
        </w:rPr>
        <w:t xml:space="preserve">JUS received 520 requests under the </w:t>
      </w:r>
      <w:r w:rsidRPr="004619B9">
        <w:rPr>
          <w:i/>
          <w:color w:val="000000" w:themeColor="text1"/>
        </w:rPr>
        <w:t>Access to Information Act</w:t>
      </w:r>
      <w:r w:rsidRPr="004619B9">
        <w:rPr>
          <w:color w:val="000000" w:themeColor="text1"/>
        </w:rPr>
        <w:t xml:space="preserve"> (the Act), representing 0.1% of total requests received across government in 2014-2015. The number of requests received this reporting period shows a decreased by 5.1% compared to the previous year.</w:t>
      </w:r>
    </w:p>
    <w:p w:rsidR="000430A4" w:rsidRDefault="000430A4" w:rsidP="000430A4">
      <w:pPr>
        <w:jc w:val="both"/>
        <w:rPr>
          <w:color w:val="000000" w:themeColor="text1"/>
        </w:rPr>
      </w:pPr>
      <w:r w:rsidRPr="00ED066C">
        <w:rPr>
          <w:color w:val="000000" w:themeColor="text1"/>
        </w:rPr>
        <w:t>The majority of requests received by JUS were from the public</w:t>
      </w:r>
      <w:r>
        <w:rPr>
          <w:color w:val="000000" w:themeColor="text1"/>
        </w:rPr>
        <w:t xml:space="preserve"> </w:t>
      </w:r>
      <w:r w:rsidRPr="00ED066C">
        <w:rPr>
          <w:color w:val="000000" w:themeColor="text1"/>
        </w:rPr>
        <w:t>(</w:t>
      </w:r>
      <w:r>
        <w:rPr>
          <w:color w:val="000000" w:themeColor="text1"/>
        </w:rPr>
        <w:t>40.0</w:t>
      </w:r>
      <w:r w:rsidRPr="00ED066C">
        <w:rPr>
          <w:color w:val="000000" w:themeColor="text1"/>
        </w:rPr>
        <w:t>%), followed by the</w:t>
      </w:r>
      <w:r>
        <w:rPr>
          <w:color w:val="000000" w:themeColor="text1"/>
        </w:rPr>
        <w:t xml:space="preserve"> media (27.5%) and the</w:t>
      </w:r>
      <w:r w:rsidRPr="00ED066C">
        <w:rPr>
          <w:color w:val="000000" w:themeColor="text1"/>
        </w:rPr>
        <w:t xml:space="preserve"> business sector (</w:t>
      </w:r>
      <w:r>
        <w:rPr>
          <w:color w:val="000000" w:themeColor="text1"/>
        </w:rPr>
        <w:t>16.5</w:t>
      </w:r>
      <w:r w:rsidRPr="00ED066C">
        <w:rPr>
          <w:color w:val="000000" w:themeColor="text1"/>
        </w:rPr>
        <w:t xml:space="preserve">%). </w:t>
      </w:r>
      <w:r>
        <w:rPr>
          <w:color w:val="000000" w:themeColor="text1"/>
        </w:rPr>
        <w:t>The number of r</w:t>
      </w:r>
      <w:r w:rsidRPr="00ED066C">
        <w:rPr>
          <w:color w:val="000000" w:themeColor="text1"/>
        </w:rPr>
        <w:t>equests from the public</w:t>
      </w:r>
      <w:r>
        <w:rPr>
          <w:color w:val="000000" w:themeColor="text1"/>
        </w:rPr>
        <w:t xml:space="preserve"> and the business sector increased by 10.1%</w:t>
      </w:r>
      <w:r w:rsidRPr="002332CB">
        <w:rPr>
          <w:color w:val="000000" w:themeColor="text1"/>
        </w:rPr>
        <w:t xml:space="preserve"> </w:t>
      </w:r>
      <w:r>
        <w:rPr>
          <w:color w:val="000000" w:themeColor="text1"/>
        </w:rPr>
        <w:t>and 16.2% respectively from the previous year, while requests from the media dropped by 41.6%.</w:t>
      </w:r>
    </w:p>
    <w:p w:rsidR="000430A4" w:rsidRDefault="000430A4" w:rsidP="000430A4">
      <w:pPr>
        <w:jc w:val="both"/>
      </w:pPr>
      <w:r w:rsidRPr="00061FAE">
        <w:rPr>
          <w:color w:val="000000" w:themeColor="text1"/>
        </w:rPr>
        <w:t xml:space="preserve">JUS completed </w:t>
      </w:r>
      <w:r>
        <w:rPr>
          <w:color w:val="000000" w:themeColor="text1"/>
        </w:rPr>
        <w:t>551</w:t>
      </w:r>
      <w:r w:rsidRPr="00061FAE">
        <w:rPr>
          <w:color w:val="000000" w:themeColor="text1"/>
        </w:rPr>
        <w:t xml:space="preserve"> requests this reporting period</w:t>
      </w:r>
      <w:r>
        <w:rPr>
          <w:color w:val="000000" w:themeColor="text1"/>
        </w:rPr>
        <w:t>.</w:t>
      </w:r>
      <w:r w:rsidRPr="00061FAE">
        <w:rPr>
          <w:color w:val="000000" w:themeColor="text1"/>
        </w:rPr>
        <w:t xml:space="preserve"> The completion rate</w:t>
      </w:r>
      <w:r>
        <w:rPr>
          <w:rStyle w:val="FootnoteReference"/>
          <w:color w:val="000000" w:themeColor="text1"/>
        </w:rPr>
        <w:footnoteReference w:id="82"/>
      </w:r>
      <w:r w:rsidRPr="00061FAE">
        <w:rPr>
          <w:color w:val="000000" w:themeColor="text1"/>
        </w:rPr>
        <w:t xml:space="preserve"> was </w:t>
      </w:r>
      <w:r>
        <w:rPr>
          <w:color w:val="000000" w:themeColor="text1"/>
        </w:rPr>
        <w:t>87.0</w:t>
      </w:r>
      <w:r w:rsidRPr="00061FAE">
        <w:rPr>
          <w:color w:val="000000" w:themeColor="text1"/>
        </w:rPr>
        <w:t>%</w:t>
      </w:r>
      <w:r>
        <w:rPr>
          <w:color w:val="000000" w:themeColor="text1"/>
        </w:rPr>
        <w:t xml:space="preserve">, which is higher than the government-wide rate of 85.1%. In </w:t>
      </w:r>
      <w:r w:rsidRPr="00061FAE">
        <w:rPr>
          <w:color w:val="000000" w:themeColor="text1"/>
        </w:rPr>
        <w:t>201</w:t>
      </w:r>
      <w:r>
        <w:rPr>
          <w:color w:val="000000" w:themeColor="text1"/>
        </w:rPr>
        <w:t xml:space="preserve">3-2014, the </w:t>
      </w:r>
      <w:r w:rsidRPr="004619B9">
        <w:rPr>
          <w:color w:val="000000" w:themeColor="text1"/>
        </w:rPr>
        <w:t>completion rate for JUS was 82</w:t>
      </w:r>
      <w:r>
        <w:rPr>
          <w:color w:val="000000" w:themeColor="text1"/>
        </w:rPr>
        <w:t>.4</w:t>
      </w:r>
      <w:r w:rsidRPr="004619B9">
        <w:rPr>
          <w:color w:val="000000" w:themeColor="text1"/>
        </w:rPr>
        <w:t xml:space="preserve">%. JUS also received 148 informal requests in 2014-2015 and 139 of these were completed within 30 days. </w:t>
      </w:r>
      <w:r w:rsidRPr="004619B9">
        <w:t xml:space="preserve">The number of consultations received by JUS from other federal government institutions decreased from 917 to 584, representing a decrease of 36.3% compared to 2013-2014. The number of consultations received by JUS was higher than the number of requests it </w:t>
      </w:r>
      <w:r>
        <w:t>received.</w:t>
      </w:r>
    </w:p>
    <w:p w:rsidR="000430A4" w:rsidRDefault="000430A4" w:rsidP="000430A4">
      <w:pPr>
        <w:jc w:val="both"/>
        <w:rPr>
          <w:color w:val="000000" w:themeColor="text1"/>
        </w:rPr>
      </w:pPr>
      <w:r>
        <w:rPr>
          <w:color w:val="000000" w:themeColor="text1"/>
        </w:rPr>
        <w:t xml:space="preserve">In 2014-2015, JUS processed 156,091 pages. </w:t>
      </w:r>
      <w:r w:rsidRPr="007F77A0">
        <w:rPr>
          <w:color w:val="000000" w:themeColor="text1"/>
        </w:rPr>
        <w:t xml:space="preserve">The average number of pages processed per completed request </w:t>
      </w:r>
      <w:r>
        <w:rPr>
          <w:color w:val="000000" w:themeColor="text1"/>
        </w:rPr>
        <w:t>was similar to the previous year.</w:t>
      </w:r>
    </w:p>
    <w:p w:rsidR="000430A4" w:rsidRPr="00766E65" w:rsidRDefault="000430A4" w:rsidP="000430A4">
      <w:pPr>
        <w:jc w:val="both"/>
        <w:rPr>
          <w:color w:val="000000" w:themeColor="text1"/>
        </w:rPr>
      </w:pPr>
      <w:r w:rsidRPr="00682012">
        <w:rPr>
          <w:color w:val="000000" w:themeColor="text1"/>
        </w:rPr>
        <w:t>The information released by JUS was mostly in paper</w:t>
      </w:r>
      <w:r>
        <w:rPr>
          <w:color w:val="000000" w:themeColor="text1"/>
        </w:rPr>
        <w:t xml:space="preserve"> </w:t>
      </w:r>
      <w:r w:rsidRPr="00682012">
        <w:rPr>
          <w:color w:val="000000" w:themeColor="text1"/>
        </w:rPr>
        <w:t>format</w:t>
      </w:r>
      <w:r>
        <w:rPr>
          <w:color w:val="000000" w:themeColor="text1"/>
        </w:rPr>
        <w:t>: 1</w:t>
      </w:r>
      <w:r w:rsidRPr="00682012">
        <w:rPr>
          <w:color w:val="000000" w:themeColor="text1"/>
        </w:rPr>
        <w:t>64</w:t>
      </w:r>
      <w:r>
        <w:rPr>
          <w:color w:val="000000" w:themeColor="text1"/>
        </w:rPr>
        <w:t xml:space="preserve"> in paper format</w:t>
      </w:r>
      <w:r w:rsidRPr="00682012">
        <w:rPr>
          <w:color w:val="000000" w:themeColor="text1"/>
        </w:rPr>
        <w:t xml:space="preserve"> compared to 79 in electronic </w:t>
      </w:r>
      <w:r>
        <w:rPr>
          <w:color w:val="000000" w:themeColor="text1"/>
        </w:rPr>
        <w:t>format.</w:t>
      </w:r>
    </w:p>
    <w:p w:rsidR="000430A4" w:rsidRPr="00766E65" w:rsidRDefault="000430A4" w:rsidP="000430A4">
      <w:pPr>
        <w:pStyle w:val="Heading3"/>
      </w:pPr>
      <w:r w:rsidRPr="00766E65">
        <w:t>Table 1: Workload</w:t>
      </w:r>
    </w:p>
    <w:tbl>
      <w:tblPr>
        <w:tblW w:w="9452" w:type="dxa"/>
        <w:tblInd w:w="98" w:type="dxa"/>
        <w:tblLook w:val="04A0"/>
      </w:tblPr>
      <w:tblGrid>
        <w:gridCol w:w="5237"/>
        <w:gridCol w:w="1405"/>
        <w:gridCol w:w="1405"/>
        <w:gridCol w:w="1405"/>
      </w:tblGrid>
      <w:tr w:rsidR="000430A4" w:rsidRPr="00964A07" w:rsidTr="002F32F0">
        <w:trPr>
          <w:trHeight w:val="259"/>
        </w:trPr>
        <w:tc>
          <w:tcPr>
            <w:tcW w:w="5237" w:type="dxa"/>
            <w:tcBorders>
              <w:top w:val="single" w:sz="8" w:space="0" w:color="auto"/>
              <w:left w:val="single" w:sz="8" w:space="0" w:color="auto"/>
              <w:bottom w:val="single" w:sz="8" w:space="0" w:color="auto"/>
              <w:right w:val="nil"/>
            </w:tcBorders>
            <w:shd w:val="clear" w:color="auto" w:fill="auto"/>
            <w:noWrap/>
            <w:vAlign w:val="bottom"/>
            <w:hideMark/>
          </w:tcPr>
          <w:p w:rsidR="000430A4" w:rsidRPr="00964A07" w:rsidRDefault="000430A4" w:rsidP="002F32F0">
            <w:pPr>
              <w:spacing w:after="0" w:line="240" w:lineRule="auto"/>
              <w:rPr>
                <w:rFonts w:ascii="Calibri" w:eastAsia="Times New Roman" w:hAnsi="Calibri" w:cs="Times New Roman"/>
                <w:color w:val="000000"/>
              </w:rPr>
            </w:pPr>
            <w:r w:rsidRPr="00964A07">
              <w:rPr>
                <w:rFonts w:ascii="Calibri" w:eastAsia="Times New Roman" w:hAnsi="Calibri" w:cs="Times New Roman"/>
                <w:color w:val="000000"/>
              </w:rPr>
              <w:t xml:space="preserve">Measures </w:t>
            </w:r>
          </w:p>
        </w:tc>
        <w:tc>
          <w:tcPr>
            <w:tcW w:w="1405" w:type="dxa"/>
            <w:tcBorders>
              <w:top w:val="single" w:sz="8" w:space="0" w:color="auto"/>
              <w:left w:val="nil"/>
              <w:bottom w:val="single" w:sz="8" w:space="0" w:color="auto"/>
              <w:right w:val="nil"/>
            </w:tcBorders>
            <w:shd w:val="clear" w:color="auto" w:fill="auto"/>
            <w:noWrap/>
            <w:vAlign w:val="bottom"/>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2012-2013</w:t>
            </w:r>
          </w:p>
        </w:tc>
        <w:tc>
          <w:tcPr>
            <w:tcW w:w="1405" w:type="dxa"/>
            <w:tcBorders>
              <w:top w:val="single" w:sz="8" w:space="0" w:color="auto"/>
              <w:left w:val="nil"/>
              <w:bottom w:val="single" w:sz="8" w:space="0" w:color="auto"/>
              <w:right w:val="nil"/>
            </w:tcBorders>
            <w:shd w:val="clear" w:color="auto" w:fill="auto"/>
            <w:noWrap/>
            <w:vAlign w:val="bottom"/>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2013-2014</w:t>
            </w:r>
          </w:p>
        </w:tc>
        <w:tc>
          <w:tcPr>
            <w:tcW w:w="1405" w:type="dxa"/>
            <w:tcBorders>
              <w:top w:val="single" w:sz="8" w:space="0" w:color="auto"/>
              <w:left w:val="nil"/>
              <w:bottom w:val="single" w:sz="8" w:space="0" w:color="auto"/>
              <w:right w:val="single" w:sz="8" w:space="0" w:color="auto"/>
            </w:tcBorders>
            <w:shd w:val="clear" w:color="auto" w:fill="auto"/>
            <w:noWrap/>
            <w:vAlign w:val="bottom"/>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2014-2015</w:t>
            </w:r>
          </w:p>
        </w:tc>
      </w:tr>
      <w:tr w:rsidR="000430A4" w:rsidRPr="00964A07" w:rsidTr="002F32F0">
        <w:trPr>
          <w:trHeight w:val="296"/>
        </w:trPr>
        <w:tc>
          <w:tcPr>
            <w:tcW w:w="5237" w:type="dxa"/>
            <w:tcBorders>
              <w:top w:val="nil"/>
              <w:left w:val="single" w:sz="8" w:space="0" w:color="auto"/>
              <w:bottom w:val="nil"/>
              <w:right w:val="nil"/>
            </w:tcBorders>
            <w:shd w:val="clear" w:color="000000" w:fill="DBE5F1"/>
            <w:noWrap/>
            <w:hideMark/>
          </w:tcPr>
          <w:p w:rsidR="000430A4" w:rsidRPr="00964A07" w:rsidRDefault="000430A4" w:rsidP="002F32F0">
            <w:pPr>
              <w:spacing w:after="0" w:line="240" w:lineRule="auto"/>
              <w:rPr>
                <w:rFonts w:ascii="Calibri" w:eastAsia="Times New Roman" w:hAnsi="Calibri" w:cs="Times New Roman"/>
                <w:color w:val="000000"/>
              </w:rPr>
            </w:pPr>
            <w:r w:rsidRPr="00964A07">
              <w:rPr>
                <w:rFonts w:ascii="Calibri" w:eastAsia="Times New Roman" w:hAnsi="Calibri" w:cs="Times New Roman"/>
                <w:color w:val="000000"/>
              </w:rPr>
              <w:t xml:space="preserve">Number of requests received </w:t>
            </w:r>
          </w:p>
        </w:tc>
        <w:tc>
          <w:tcPr>
            <w:tcW w:w="1405" w:type="dxa"/>
            <w:tcBorders>
              <w:top w:val="nil"/>
              <w:left w:val="nil"/>
              <w:bottom w:val="nil"/>
              <w:right w:val="nil"/>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343</w:t>
            </w:r>
          </w:p>
        </w:tc>
        <w:tc>
          <w:tcPr>
            <w:tcW w:w="1405" w:type="dxa"/>
            <w:tcBorders>
              <w:top w:val="nil"/>
              <w:left w:val="nil"/>
              <w:bottom w:val="nil"/>
              <w:right w:val="nil"/>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548</w:t>
            </w:r>
          </w:p>
        </w:tc>
        <w:tc>
          <w:tcPr>
            <w:tcW w:w="1405" w:type="dxa"/>
            <w:tcBorders>
              <w:top w:val="nil"/>
              <w:left w:val="nil"/>
              <w:bottom w:val="nil"/>
              <w:right w:val="single" w:sz="8" w:space="0" w:color="auto"/>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520</w:t>
            </w:r>
          </w:p>
        </w:tc>
      </w:tr>
      <w:tr w:rsidR="000430A4" w:rsidRPr="00964A07" w:rsidTr="002F32F0">
        <w:trPr>
          <w:trHeight w:val="296"/>
        </w:trPr>
        <w:tc>
          <w:tcPr>
            <w:tcW w:w="5237" w:type="dxa"/>
            <w:tcBorders>
              <w:top w:val="nil"/>
              <w:left w:val="single" w:sz="8" w:space="0" w:color="auto"/>
              <w:bottom w:val="nil"/>
              <w:right w:val="nil"/>
            </w:tcBorders>
            <w:shd w:val="clear" w:color="auto" w:fill="auto"/>
            <w:hideMark/>
          </w:tcPr>
          <w:p w:rsidR="000430A4" w:rsidRPr="00964A07" w:rsidRDefault="000430A4" w:rsidP="002F32F0">
            <w:pPr>
              <w:spacing w:after="0" w:line="240" w:lineRule="auto"/>
              <w:rPr>
                <w:rFonts w:ascii="Calibri" w:eastAsia="Times New Roman" w:hAnsi="Calibri" w:cs="Times New Roman"/>
                <w:color w:val="000000"/>
              </w:rPr>
            </w:pPr>
            <w:r w:rsidRPr="00964A07">
              <w:rPr>
                <w:rFonts w:ascii="Calibri" w:eastAsia="Times New Roman" w:hAnsi="Calibri" w:cs="Times New Roman"/>
                <w:color w:val="000000"/>
              </w:rPr>
              <w:t>Annual change (%)</w:t>
            </w:r>
          </w:p>
        </w:tc>
        <w:tc>
          <w:tcPr>
            <w:tcW w:w="1405" w:type="dxa"/>
            <w:tcBorders>
              <w:top w:val="nil"/>
              <w:left w:val="nil"/>
              <w:bottom w:val="nil"/>
              <w:right w:val="nil"/>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w:t>
            </w:r>
          </w:p>
        </w:tc>
        <w:tc>
          <w:tcPr>
            <w:tcW w:w="1405" w:type="dxa"/>
            <w:tcBorders>
              <w:top w:val="nil"/>
              <w:left w:val="nil"/>
              <w:bottom w:val="nil"/>
              <w:right w:val="nil"/>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59.8%</w:t>
            </w:r>
          </w:p>
        </w:tc>
        <w:tc>
          <w:tcPr>
            <w:tcW w:w="1405" w:type="dxa"/>
            <w:tcBorders>
              <w:top w:val="nil"/>
              <w:left w:val="nil"/>
              <w:bottom w:val="nil"/>
              <w:right w:val="single" w:sz="8" w:space="0" w:color="auto"/>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-5.1%</w:t>
            </w:r>
          </w:p>
        </w:tc>
      </w:tr>
      <w:tr w:rsidR="000430A4" w:rsidRPr="00964A07" w:rsidTr="002F32F0">
        <w:trPr>
          <w:trHeight w:val="246"/>
        </w:trPr>
        <w:tc>
          <w:tcPr>
            <w:tcW w:w="5237" w:type="dxa"/>
            <w:tcBorders>
              <w:top w:val="nil"/>
              <w:left w:val="single" w:sz="8" w:space="0" w:color="auto"/>
              <w:right w:val="nil"/>
            </w:tcBorders>
            <w:shd w:val="clear" w:color="000000" w:fill="DBE5F1"/>
            <w:hideMark/>
          </w:tcPr>
          <w:p w:rsidR="000430A4" w:rsidRPr="00964A07" w:rsidRDefault="000430A4" w:rsidP="002F32F0">
            <w:pPr>
              <w:spacing w:after="0" w:line="240" w:lineRule="auto"/>
              <w:rPr>
                <w:rFonts w:ascii="Calibri" w:eastAsia="Times New Roman" w:hAnsi="Calibri" w:cs="Times New Roman"/>
                <w:color w:val="000000"/>
              </w:rPr>
            </w:pPr>
            <w:r w:rsidRPr="00964A07">
              <w:rPr>
                <w:rFonts w:ascii="Calibri" w:eastAsia="Times New Roman" w:hAnsi="Calibri" w:cs="Times New Roman"/>
                <w:color w:val="000000"/>
              </w:rPr>
              <w:t>Completed requests</w:t>
            </w:r>
          </w:p>
        </w:tc>
        <w:tc>
          <w:tcPr>
            <w:tcW w:w="1405" w:type="dxa"/>
            <w:tcBorders>
              <w:top w:val="nil"/>
              <w:left w:val="nil"/>
              <w:right w:val="nil"/>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323</w:t>
            </w:r>
          </w:p>
        </w:tc>
        <w:tc>
          <w:tcPr>
            <w:tcW w:w="1405" w:type="dxa"/>
            <w:tcBorders>
              <w:top w:val="nil"/>
              <w:left w:val="nil"/>
              <w:right w:val="nil"/>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528</w:t>
            </w:r>
          </w:p>
        </w:tc>
        <w:tc>
          <w:tcPr>
            <w:tcW w:w="1405" w:type="dxa"/>
            <w:tcBorders>
              <w:top w:val="nil"/>
              <w:left w:val="nil"/>
              <w:right w:val="single" w:sz="8" w:space="0" w:color="auto"/>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551</w:t>
            </w:r>
          </w:p>
        </w:tc>
      </w:tr>
      <w:tr w:rsidR="000430A4" w:rsidRPr="00964A07" w:rsidTr="002F32F0">
        <w:trPr>
          <w:trHeight w:val="259"/>
        </w:trPr>
        <w:tc>
          <w:tcPr>
            <w:tcW w:w="5237" w:type="dxa"/>
            <w:tcBorders>
              <w:top w:val="nil"/>
              <w:left w:val="single" w:sz="8" w:space="0" w:color="auto"/>
              <w:right w:val="nil"/>
            </w:tcBorders>
            <w:shd w:val="clear" w:color="auto" w:fill="auto"/>
            <w:hideMark/>
          </w:tcPr>
          <w:p w:rsidR="000430A4" w:rsidRPr="00964A07" w:rsidRDefault="000430A4" w:rsidP="002F32F0">
            <w:pPr>
              <w:spacing w:after="0" w:line="240" w:lineRule="auto"/>
              <w:rPr>
                <w:rFonts w:ascii="Calibri" w:eastAsia="Times New Roman" w:hAnsi="Calibri" w:cs="Times New Roman"/>
                <w:color w:val="000000"/>
              </w:rPr>
            </w:pPr>
            <w:r w:rsidRPr="00964A07">
              <w:rPr>
                <w:rFonts w:ascii="Calibri" w:eastAsia="Times New Roman" w:hAnsi="Calibri" w:cs="Times New Roman"/>
                <w:color w:val="000000"/>
              </w:rPr>
              <w:t>Annual change</w:t>
            </w:r>
            <w:r>
              <w:rPr>
                <w:rFonts w:ascii="Calibri" w:eastAsia="Times New Roman" w:hAnsi="Calibri" w:cs="Times New Roman"/>
                <w:color w:val="000000"/>
              </w:rPr>
              <w:t xml:space="preserve"> (%)</w:t>
            </w:r>
          </w:p>
        </w:tc>
        <w:tc>
          <w:tcPr>
            <w:tcW w:w="1405" w:type="dxa"/>
            <w:tcBorders>
              <w:top w:val="nil"/>
              <w:left w:val="nil"/>
              <w:right w:val="nil"/>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w:t>
            </w:r>
          </w:p>
        </w:tc>
        <w:tc>
          <w:tcPr>
            <w:tcW w:w="1405" w:type="dxa"/>
            <w:tcBorders>
              <w:top w:val="nil"/>
              <w:left w:val="nil"/>
              <w:right w:val="nil"/>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63.5%</w:t>
            </w:r>
          </w:p>
        </w:tc>
        <w:tc>
          <w:tcPr>
            <w:tcW w:w="1405" w:type="dxa"/>
            <w:tcBorders>
              <w:top w:val="nil"/>
              <w:left w:val="nil"/>
              <w:right w:val="single" w:sz="8" w:space="0" w:color="auto"/>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4.4%</w:t>
            </w:r>
          </w:p>
        </w:tc>
      </w:tr>
      <w:tr w:rsidR="000430A4" w:rsidRPr="00964A07" w:rsidTr="002F32F0">
        <w:trPr>
          <w:trHeight w:val="469"/>
        </w:trPr>
        <w:tc>
          <w:tcPr>
            <w:tcW w:w="5237" w:type="dxa"/>
            <w:tcBorders>
              <w:left w:val="single" w:sz="8" w:space="0" w:color="auto"/>
              <w:right w:val="nil"/>
            </w:tcBorders>
            <w:shd w:val="clear" w:color="000000" w:fill="DBE5F1"/>
            <w:hideMark/>
          </w:tcPr>
          <w:p w:rsidR="000430A4" w:rsidRPr="00964A07" w:rsidRDefault="000430A4" w:rsidP="002F32F0">
            <w:pPr>
              <w:spacing w:after="0" w:line="240" w:lineRule="auto"/>
              <w:rPr>
                <w:rFonts w:ascii="Calibri" w:eastAsia="Times New Roman" w:hAnsi="Calibri" w:cs="Times New Roman"/>
                <w:color w:val="000000"/>
              </w:rPr>
            </w:pPr>
            <w:r w:rsidRPr="00964A07">
              <w:rPr>
                <w:rFonts w:ascii="Calibri" w:eastAsia="Times New Roman" w:hAnsi="Calibri" w:cs="Times New Roman"/>
                <w:color w:val="000000"/>
              </w:rPr>
              <w:t>Number of consultations received (from other government institutions)</w:t>
            </w:r>
          </w:p>
        </w:tc>
        <w:tc>
          <w:tcPr>
            <w:tcW w:w="1405" w:type="dxa"/>
            <w:tcBorders>
              <w:left w:val="nil"/>
              <w:right w:val="nil"/>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1</w:t>
            </w:r>
            <w:r w:rsidR="0005646E">
              <w:rPr>
                <w:rFonts w:ascii="Calibri" w:eastAsia="Times New Roman" w:hAnsi="Calibri" w:cs="Times New Roman"/>
                <w:b/>
                <w:bCs/>
                <w:color w:val="000000"/>
              </w:rPr>
              <w:t>,</w:t>
            </w:r>
            <w:r w:rsidRPr="00964A07">
              <w:rPr>
                <w:rFonts w:ascii="Calibri" w:eastAsia="Times New Roman" w:hAnsi="Calibri" w:cs="Times New Roman"/>
                <w:b/>
                <w:bCs/>
                <w:color w:val="000000"/>
              </w:rPr>
              <w:t>339</w:t>
            </w:r>
          </w:p>
        </w:tc>
        <w:tc>
          <w:tcPr>
            <w:tcW w:w="1405" w:type="dxa"/>
            <w:tcBorders>
              <w:left w:val="nil"/>
              <w:right w:val="nil"/>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917</w:t>
            </w:r>
          </w:p>
        </w:tc>
        <w:tc>
          <w:tcPr>
            <w:tcW w:w="1405" w:type="dxa"/>
            <w:tcBorders>
              <w:left w:val="nil"/>
              <w:right w:val="single" w:sz="8" w:space="0" w:color="auto"/>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584</w:t>
            </w:r>
          </w:p>
        </w:tc>
      </w:tr>
      <w:tr w:rsidR="000430A4" w:rsidRPr="00964A07" w:rsidTr="002F32F0">
        <w:trPr>
          <w:trHeight w:val="395"/>
        </w:trPr>
        <w:tc>
          <w:tcPr>
            <w:tcW w:w="5237" w:type="dxa"/>
            <w:tcBorders>
              <w:left w:val="single" w:sz="8" w:space="0" w:color="auto"/>
              <w:right w:val="nil"/>
            </w:tcBorders>
            <w:shd w:val="clear" w:color="auto" w:fill="auto"/>
            <w:hideMark/>
          </w:tcPr>
          <w:p w:rsidR="000430A4" w:rsidRPr="00964A07" w:rsidRDefault="000430A4" w:rsidP="002F32F0">
            <w:pPr>
              <w:spacing w:after="0" w:line="240" w:lineRule="auto"/>
              <w:rPr>
                <w:rFonts w:ascii="Calibri" w:eastAsia="Times New Roman" w:hAnsi="Calibri" w:cs="Times New Roman"/>
                <w:color w:val="000000"/>
              </w:rPr>
            </w:pPr>
            <w:r w:rsidRPr="00964A07">
              <w:rPr>
                <w:rFonts w:ascii="Calibri" w:eastAsia="Times New Roman" w:hAnsi="Calibri" w:cs="Times New Roman"/>
                <w:color w:val="000000"/>
              </w:rPr>
              <w:t>Annual change (%)</w:t>
            </w:r>
          </w:p>
        </w:tc>
        <w:tc>
          <w:tcPr>
            <w:tcW w:w="1405" w:type="dxa"/>
            <w:tcBorders>
              <w:left w:val="nil"/>
              <w:right w:val="nil"/>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w:t>
            </w:r>
          </w:p>
        </w:tc>
        <w:tc>
          <w:tcPr>
            <w:tcW w:w="1405" w:type="dxa"/>
            <w:tcBorders>
              <w:left w:val="nil"/>
              <w:right w:val="nil"/>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-31.5%</w:t>
            </w:r>
          </w:p>
        </w:tc>
        <w:tc>
          <w:tcPr>
            <w:tcW w:w="1405" w:type="dxa"/>
            <w:tcBorders>
              <w:left w:val="nil"/>
              <w:right w:val="single" w:sz="8" w:space="0" w:color="auto"/>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-36.3%</w:t>
            </w:r>
          </w:p>
        </w:tc>
      </w:tr>
      <w:tr w:rsidR="000430A4" w:rsidRPr="00964A07" w:rsidTr="002F32F0">
        <w:trPr>
          <w:trHeight w:val="506"/>
        </w:trPr>
        <w:tc>
          <w:tcPr>
            <w:tcW w:w="5237" w:type="dxa"/>
            <w:tcBorders>
              <w:left w:val="single" w:sz="8" w:space="0" w:color="auto"/>
              <w:bottom w:val="nil"/>
              <w:right w:val="nil"/>
            </w:tcBorders>
            <w:shd w:val="clear" w:color="000000" w:fill="DBE5F1"/>
            <w:hideMark/>
          </w:tcPr>
          <w:p w:rsidR="000430A4" w:rsidRPr="00964A07" w:rsidRDefault="000430A4" w:rsidP="002F32F0">
            <w:pPr>
              <w:spacing w:after="0" w:line="240" w:lineRule="auto"/>
              <w:rPr>
                <w:rFonts w:ascii="Calibri" w:eastAsia="Times New Roman" w:hAnsi="Calibri" w:cs="Times New Roman"/>
                <w:color w:val="000000"/>
              </w:rPr>
            </w:pPr>
            <w:r w:rsidRPr="00964A07">
              <w:rPr>
                <w:rFonts w:ascii="Calibri" w:eastAsia="Times New Roman" w:hAnsi="Calibri" w:cs="Times New Roman"/>
                <w:color w:val="000000"/>
              </w:rPr>
              <w:t>Average number of pages processed per request completed</w:t>
            </w:r>
          </w:p>
        </w:tc>
        <w:tc>
          <w:tcPr>
            <w:tcW w:w="1405" w:type="dxa"/>
            <w:tcBorders>
              <w:left w:val="nil"/>
              <w:bottom w:val="nil"/>
              <w:right w:val="nil"/>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472</w:t>
            </w:r>
          </w:p>
        </w:tc>
        <w:tc>
          <w:tcPr>
            <w:tcW w:w="1405" w:type="dxa"/>
            <w:tcBorders>
              <w:left w:val="nil"/>
              <w:bottom w:val="nil"/>
              <w:right w:val="nil"/>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498</w:t>
            </w:r>
          </w:p>
        </w:tc>
        <w:tc>
          <w:tcPr>
            <w:tcW w:w="1405" w:type="dxa"/>
            <w:tcBorders>
              <w:left w:val="nil"/>
              <w:bottom w:val="nil"/>
              <w:right w:val="single" w:sz="8" w:space="0" w:color="auto"/>
            </w:tcBorders>
            <w:shd w:val="clear" w:color="000000" w:fill="DBE5F1"/>
            <w:noWrap/>
            <w:vAlign w:val="center"/>
            <w:hideMark/>
          </w:tcPr>
          <w:p w:rsidR="000430A4" w:rsidRPr="00964A07" w:rsidRDefault="000430A4" w:rsidP="002F32F0">
            <w:pPr>
              <w:spacing w:after="0" w:line="240" w:lineRule="auto"/>
              <w:jc w:val="center"/>
              <w:rPr>
                <w:rFonts w:ascii="Calibri" w:eastAsia="Times New Roman" w:hAnsi="Calibri" w:cs="Times New Roman"/>
                <w:b/>
                <w:bCs/>
                <w:color w:val="000000"/>
              </w:rPr>
            </w:pPr>
            <w:r w:rsidRPr="00964A07">
              <w:rPr>
                <w:rFonts w:ascii="Calibri" w:eastAsia="Times New Roman" w:hAnsi="Calibri" w:cs="Times New Roman"/>
                <w:b/>
                <w:bCs/>
                <w:color w:val="000000"/>
              </w:rPr>
              <w:t>496</w:t>
            </w:r>
          </w:p>
        </w:tc>
      </w:tr>
      <w:tr w:rsidR="000430A4" w:rsidRPr="00964A07" w:rsidTr="002F32F0">
        <w:trPr>
          <w:trHeight w:val="445"/>
        </w:trPr>
        <w:tc>
          <w:tcPr>
            <w:tcW w:w="5237" w:type="dxa"/>
            <w:tcBorders>
              <w:top w:val="nil"/>
              <w:left w:val="single" w:sz="8" w:space="0" w:color="auto"/>
              <w:bottom w:val="single" w:sz="8" w:space="0" w:color="auto"/>
              <w:right w:val="nil"/>
            </w:tcBorders>
            <w:shd w:val="clear" w:color="auto" w:fill="auto"/>
            <w:hideMark/>
          </w:tcPr>
          <w:p w:rsidR="000430A4" w:rsidRPr="00964A07" w:rsidRDefault="000430A4" w:rsidP="002F32F0">
            <w:pPr>
              <w:spacing w:after="0" w:line="240" w:lineRule="auto"/>
              <w:rPr>
                <w:rFonts w:ascii="Calibri" w:eastAsia="Times New Roman" w:hAnsi="Calibri" w:cs="Times New Roman"/>
                <w:color w:val="000000"/>
              </w:rPr>
            </w:pPr>
            <w:r w:rsidRPr="00964A07">
              <w:rPr>
                <w:rFonts w:ascii="Calibri" w:eastAsia="Times New Roman" w:hAnsi="Calibri" w:cs="Times New Roman"/>
                <w:color w:val="000000"/>
              </w:rPr>
              <w:t>% of requests for which more than 1</w:t>
            </w:r>
            <w:r w:rsidR="0005646E">
              <w:rPr>
                <w:rFonts w:ascii="Calibri" w:eastAsia="Times New Roman" w:hAnsi="Calibri" w:cs="Times New Roman"/>
                <w:color w:val="000000"/>
              </w:rPr>
              <w:t>,</w:t>
            </w:r>
            <w:r w:rsidRPr="00964A07">
              <w:rPr>
                <w:rFonts w:ascii="Calibri" w:eastAsia="Times New Roman" w:hAnsi="Calibri" w:cs="Times New Roman"/>
                <w:color w:val="000000"/>
              </w:rPr>
              <w:t>000 pages were processed</w:t>
            </w:r>
          </w:p>
        </w:tc>
        <w:tc>
          <w:tcPr>
            <w:tcW w:w="1405" w:type="dxa"/>
            <w:tcBorders>
              <w:top w:val="nil"/>
              <w:left w:val="nil"/>
              <w:bottom w:val="single" w:sz="8" w:space="0" w:color="auto"/>
              <w:right w:val="nil"/>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8.6%</w:t>
            </w:r>
          </w:p>
        </w:tc>
        <w:tc>
          <w:tcPr>
            <w:tcW w:w="1405" w:type="dxa"/>
            <w:tcBorders>
              <w:top w:val="nil"/>
              <w:left w:val="nil"/>
              <w:bottom w:val="single" w:sz="8" w:space="0" w:color="auto"/>
              <w:right w:val="nil"/>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7.9%</w:t>
            </w:r>
          </w:p>
        </w:tc>
        <w:tc>
          <w:tcPr>
            <w:tcW w:w="1405" w:type="dxa"/>
            <w:tcBorders>
              <w:top w:val="nil"/>
              <w:left w:val="nil"/>
              <w:bottom w:val="single" w:sz="8" w:space="0" w:color="auto"/>
              <w:right w:val="single" w:sz="8" w:space="0" w:color="auto"/>
            </w:tcBorders>
            <w:shd w:val="clear" w:color="auto" w:fill="auto"/>
            <w:noWrap/>
            <w:vAlign w:val="center"/>
            <w:hideMark/>
          </w:tcPr>
          <w:p w:rsidR="000430A4" w:rsidRPr="00964A07" w:rsidRDefault="000430A4" w:rsidP="002F32F0">
            <w:pPr>
              <w:spacing w:after="0" w:line="240" w:lineRule="auto"/>
              <w:jc w:val="center"/>
              <w:rPr>
                <w:rFonts w:ascii="Calibri" w:eastAsia="Times New Roman" w:hAnsi="Calibri" w:cs="Times New Roman"/>
                <w:color w:val="000000"/>
              </w:rPr>
            </w:pPr>
            <w:r w:rsidRPr="00964A07">
              <w:rPr>
                <w:rFonts w:ascii="Calibri" w:eastAsia="Times New Roman" w:hAnsi="Calibri" w:cs="Times New Roman"/>
                <w:color w:val="000000"/>
              </w:rPr>
              <w:t>8.6%</w:t>
            </w:r>
          </w:p>
        </w:tc>
      </w:tr>
    </w:tbl>
    <w:p w:rsidR="000430A4" w:rsidRPr="00766E65" w:rsidRDefault="000430A4" w:rsidP="000430A4">
      <w:pPr>
        <w:pStyle w:val="Heading2"/>
        <w:spacing w:before="240"/>
      </w:pPr>
      <w:r>
        <w:t>R</w:t>
      </w:r>
      <w:r w:rsidR="0005646E">
        <w:t>equest</w:t>
      </w:r>
      <w:r w:rsidRPr="00766E65">
        <w:t xml:space="preserve"> completion time</w:t>
      </w:r>
    </w:p>
    <w:p w:rsidR="000430A4" w:rsidRPr="00766E65" w:rsidRDefault="000430A4" w:rsidP="000430A4">
      <w:pPr>
        <w:pStyle w:val="Heading4"/>
      </w:pPr>
      <w:r w:rsidRPr="00766E65">
        <w:t>Timeliness</w:t>
      </w:r>
    </w:p>
    <w:p w:rsidR="000430A4" w:rsidRPr="00682012" w:rsidRDefault="000430A4" w:rsidP="000430A4">
      <w:pPr>
        <w:jc w:val="both"/>
        <w:rPr>
          <w:color w:val="000000" w:themeColor="text1"/>
        </w:rPr>
      </w:pPr>
      <w:r w:rsidRPr="00682012">
        <w:rPr>
          <w:color w:val="000000" w:themeColor="text1"/>
        </w:rPr>
        <w:t xml:space="preserve">Figure 1 reveals that </w:t>
      </w:r>
      <w:r>
        <w:rPr>
          <w:color w:val="000000" w:themeColor="text1"/>
        </w:rPr>
        <w:t>74.4</w:t>
      </w:r>
      <w:r w:rsidRPr="00682012">
        <w:rPr>
          <w:color w:val="000000" w:themeColor="text1"/>
        </w:rPr>
        <w:t xml:space="preserve">% of </w:t>
      </w:r>
      <w:r>
        <w:rPr>
          <w:color w:val="000000" w:themeColor="text1"/>
        </w:rPr>
        <w:t xml:space="preserve">requests were completed </w:t>
      </w:r>
      <w:r w:rsidRPr="00682012">
        <w:rPr>
          <w:color w:val="000000" w:themeColor="text1"/>
        </w:rPr>
        <w:t>in 30 days or less, which is slightly higher than the</w:t>
      </w:r>
      <w:r>
        <w:rPr>
          <w:color w:val="000000" w:themeColor="text1"/>
        </w:rPr>
        <w:t xml:space="preserve"> results observed in 2013-2014 and well above the government-wide average.</w:t>
      </w:r>
      <w:r w:rsidRPr="00682012">
        <w:rPr>
          <w:color w:val="000000" w:themeColor="text1"/>
        </w:rPr>
        <w:t xml:space="preserve"> </w:t>
      </w:r>
      <w:r>
        <w:rPr>
          <w:color w:val="000000" w:themeColor="text1"/>
        </w:rPr>
        <w:t>The number of requests completed in more than 30 days was relatively similar.</w:t>
      </w:r>
    </w:p>
    <w:p w:rsidR="000430A4" w:rsidRPr="00766E65" w:rsidRDefault="000430A4" w:rsidP="000430A4">
      <w:pPr>
        <w:spacing w:line="240" w:lineRule="auto"/>
        <w:rPr>
          <w:sz w:val="24"/>
          <w:szCs w:val="24"/>
        </w:rPr>
      </w:pPr>
      <w:r w:rsidRPr="00766E65">
        <w:rPr>
          <w:rStyle w:val="Heading3Char"/>
        </w:rPr>
        <w:t>Figure 1: Request Completion T</w:t>
      </w:r>
      <w:r>
        <w:rPr>
          <w:rStyle w:val="Heading3Char"/>
        </w:rPr>
        <w:t>ime</w:t>
      </w:r>
      <w:r w:rsidRPr="003A72A1">
        <w:rPr>
          <w:noProof/>
          <w:color w:val="FF0000"/>
          <w:sz w:val="24"/>
          <w:szCs w:val="24"/>
        </w:rPr>
        <w:drawing>
          <wp:inline distT="0" distB="0" distL="0" distR="0">
            <wp:extent cx="6090249" cy="4537494"/>
            <wp:effectExtent l="0" t="0" r="6350" b="0"/>
            <wp:docPr id="6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0430A4" w:rsidRPr="00766E65" w:rsidRDefault="000430A4" w:rsidP="000430A4">
      <w:pPr>
        <w:pStyle w:val="Heading4"/>
      </w:pPr>
      <w:r w:rsidRPr="00766E65">
        <w:t>Extensions</w:t>
      </w:r>
    </w:p>
    <w:p w:rsidR="000430A4" w:rsidRPr="00A63542" w:rsidRDefault="000430A4" w:rsidP="000430A4">
      <w:pPr>
        <w:jc w:val="both"/>
        <w:rPr>
          <w:color w:val="000000" w:themeColor="text1"/>
        </w:rPr>
      </w:pPr>
      <w:r w:rsidRPr="00A63542">
        <w:rPr>
          <w:color w:val="000000" w:themeColor="text1"/>
        </w:rPr>
        <w:t>JUS took a total of 172 extensions in 2014-2015 compared to 141 in 2013-2014. The most common reason for taking an extension was interference with operations (49.4%), followed by consultations (47.7%), and third-party notice (2.9%).</w:t>
      </w:r>
    </w:p>
    <w:p w:rsidR="000430A4" w:rsidRPr="00A63542" w:rsidRDefault="000430A4" w:rsidP="000430A4">
      <w:pPr>
        <w:jc w:val="both"/>
        <w:rPr>
          <w:color w:val="000000" w:themeColor="text1"/>
        </w:rPr>
      </w:pPr>
      <w:r w:rsidRPr="00A63542">
        <w:rPr>
          <w:color w:val="000000" w:themeColor="text1"/>
        </w:rPr>
        <w:t>Figure 2 shows that 38.4% of extensions were taken for 30 days or less, which is higher by 4.8% compared to 2013-2014. Figure 2 also reveals that the proportion of extensions taken between 31 and 60 days in 2014-2015 increased by 3.1% compared to 2013-2014. We note that the extensions taken between 121 and 180 days decreased by 11.2%.</w:t>
      </w:r>
    </w:p>
    <w:p w:rsidR="000430A4" w:rsidRDefault="000430A4" w:rsidP="000430A4">
      <w:r w:rsidRPr="00766E65">
        <w:rPr>
          <w:rStyle w:val="Heading3Char"/>
        </w:rPr>
        <w:t>Figure 2: Length of Extensions</w:t>
      </w:r>
      <w:r w:rsidRPr="003A72A1">
        <w:rPr>
          <w:noProof/>
        </w:rPr>
        <w:drawing>
          <wp:inline distT="0" distB="0" distL="0" distR="0">
            <wp:extent cx="5943600" cy="4408098"/>
            <wp:effectExtent l="0" t="0" r="0" b="0"/>
            <wp:docPr id="6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0430A4" w:rsidRPr="00D2368F" w:rsidRDefault="000430A4" w:rsidP="000430A4">
      <w:pPr>
        <w:pStyle w:val="Heading4"/>
      </w:pPr>
      <w:r>
        <w:t>Deemed refusals</w:t>
      </w:r>
    </w:p>
    <w:p w:rsidR="000430A4" w:rsidRPr="00A63542" w:rsidRDefault="000430A4" w:rsidP="000430A4">
      <w:pPr>
        <w:jc w:val="both"/>
      </w:pPr>
      <w:r w:rsidRPr="00A63542">
        <w:t>In 2014-2015, the number of requests closed past the statutory deadline was 42, which accounts for 7.6% of all completed request. This rate represents a “B” grade.</w:t>
      </w:r>
      <w:r w:rsidRPr="00A63542">
        <w:rPr>
          <w:rStyle w:val="FootnoteReference"/>
        </w:rPr>
        <w:footnoteReference w:id="83"/>
      </w:r>
      <w:r w:rsidRPr="00A63542">
        <w:t xml:space="preserve"> 28.6% of these requests were late for 30 days or less while 40.5% were late by more than 365 days (see Figure 3). The most common reasons for not meeting statutory deadlines were workload (59.5%) and consultations (23.8%).</w:t>
      </w:r>
    </w:p>
    <w:p w:rsidR="00966569" w:rsidRDefault="00966569" w:rsidP="000430A4">
      <w:pPr>
        <w:rPr>
          <w:rStyle w:val="Heading2Char"/>
        </w:rPr>
      </w:pPr>
    </w:p>
    <w:p w:rsidR="00966569" w:rsidRDefault="00966569" w:rsidP="000430A4">
      <w:pPr>
        <w:rPr>
          <w:rStyle w:val="Heading2Char"/>
        </w:rPr>
      </w:pPr>
    </w:p>
    <w:p w:rsidR="00966569" w:rsidRDefault="00966569" w:rsidP="000430A4">
      <w:pPr>
        <w:rPr>
          <w:rStyle w:val="Heading2Char"/>
        </w:rPr>
      </w:pPr>
    </w:p>
    <w:p w:rsidR="000430A4" w:rsidRPr="0014677F" w:rsidRDefault="000430A4" w:rsidP="000430A4">
      <w:bookmarkStart w:id="2" w:name="_GoBack"/>
      <w:bookmarkEnd w:id="2"/>
      <w:r w:rsidRPr="00766E65">
        <w:rPr>
          <w:rStyle w:val="Heading2Char"/>
        </w:rPr>
        <w:t>Figure 3: Lateness of Overdue Requests</w:t>
      </w:r>
    </w:p>
    <w:p w:rsidR="00966569" w:rsidRDefault="00966569" w:rsidP="00966569">
      <w:r w:rsidRPr="003A72A1">
        <w:rPr>
          <w:noProof/>
        </w:rPr>
        <w:drawing>
          <wp:inline distT="0" distB="0" distL="0" distR="0">
            <wp:extent cx="5923722" cy="4222142"/>
            <wp:effectExtent l="0" t="0" r="20320" b="26035"/>
            <wp:docPr id="9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0430A4" w:rsidRPr="00766E65" w:rsidRDefault="000430A4" w:rsidP="000430A4">
      <w:pPr>
        <w:pStyle w:val="Heading2"/>
      </w:pPr>
      <w:r w:rsidRPr="00766E65">
        <w:t>Disclosure</w:t>
      </w:r>
    </w:p>
    <w:p w:rsidR="000430A4" w:rsidRPr="00D2368F" w:rsidRDefault="000430A4" w:rsidP="000430A4">
      <w:pPr>
        <w:pStyle w:val="Heading4"/>
      </w:pPr>
      <w:r w:rsidRPr="00D2368F">
        <w:t xml:space="preserve">Percentage of requests for </w:t>
      </w:r>
      <w:r>
        <w:t>which information was disclosed</w:t>
      </w:r>
    </w:p>
    <w:p w:rsidR="000430A4" w:rsidRPr="001827F6" w:rsidRDefault="000430A4" w:rsidP="000430A4">
      <w:pPr>
        <w:jc w:val="both"/>
      </w:pPr>
      <w:r w:rsidRPr="001827F6">
        <w:t xml:space="preserve">In 2014-2015, </w:t>
      </w:r>
      <w:r>
        <w:t>8.7</w:t>
      </w:r>
      <w:r w:rsidRPr="001827F6">
        <w:t>% of completed requests were</w:t>
      </w:r>
      <w:r>
        <w:t xml:space="preserve"> all</w:t>
      </w:r>
      <w:r w:rsidRPr="001827F6">
        <w:t xml:space="preserve"> disclosed</w:t>
      </w:r>
      <w:r>
        <w:t xml:space="preserve">, </w:t>
      </w:r>
      <w:r w:rsidRPr="001827F6">
        <w:t xml:space="preserve">which is </w:t>
      </w:r>
      <w:r>
        <w:t>lower compared to 2013-2014</w:t>
      </w:r>
      <w:r w:rsidRPr="001827F6">
        <w:t xml:space="preserve"> (see Figure 4). Figure 4 also shows that the rate for partially disclosed requests was </w:t>
      </w:r>
      <w:r>
        <w:t>35.4</w:t>
      </w:r>
      <w:r w:rsidRPr="001827F6">
        <w:t>% in 2014-2015, which is a decrease of</w:t>
      </w:r>
      <w:r>
        <w:t xml:space="preserve"> 8.6%</w:t>
      </w:r>
      <w:r w:rsidRPr="001827F6">
        <w:t xml:space="preserve"> from the previous period.</w:t>
      </w:r>
    </w:p>
    <w:p w:rsidR="000430A4" w:rsidRDefault="000430A4" w:rsidP="000430A4">
      <w:pPr>
        <w:spacing w:line="240" w:lineRule="auto"/>
      </w:pPr>
      <w:r w:rsidRPr="00766E65">
        <w:rPr>
          <w:rStyle w:val="Heading3Char"/>
        </w:rPr>
        <w:t>Figure 4: Level of Disclosure</w:t>
      </w:r>
      <w:r w:rsidRPr="003A72A1">
        <w:rPr>
          <w:noProof/>
        </w:rPr>
        <w:drawing>
          <wp:inline distT="0" distB="0" distL="0" distR="0">
            <wp:extent cx="6116128" cy="4106173"/>
            <wp:effectExtent l="0" t="0" r="0" b="8890"/>
            <wp:docPr id="7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0430A4" w:rsidRPr="00D2368F" w:rsidRDefault="000430A4" w:rsidP="000430A4">
      <w:pPr>
        <w:pStyle w:val="Heading4"/>
      </w:pPr>
      <w:r>
        <w:t>Exemptions</w:t>
      </w:r>
    </w:p>
    <w:p w:rsidR="000430A4" w:rsidRPr="00A63542" w:rsidRDefault="000430A4" w:rsidP="000430A4">
      <w:pPr>
        <w:jc w:val="both"/>
      </w:pPr>
      <w:r w:rsidRPr="00A63542">
        <w:t>The number of exemptions used per completed requests decreased slightly from 1.24 in 2013-2014 to 1.13 in 2014-2015 (see Table 2). The most used exemptions for this reporting period were section 21 (Operations of Government) (30.0%), section 19 (Personal Information) (22.4%) and section 23 (solicitor-client privilege) (18.1%) in 2014-2015.</w:t>
      </w:r>
    </w:p>
    <w:p w:rsidR="000430A4" w:rsidRPr="00766E65" w:rsidRDefault="000430A4" w:rsidP="000430A4">
      <w:pPr>
        <w:pStyle w:val="Heading3"/>
      </w:pPr>
      <w:r w:rsidRPr="00916BD0">
        <w:t xml:space="preserve">Table </w:t>
      </w:r>
      <w:r>
        <w:t>2</w:t>
      </w:r>
      <w:r w:rsidRPr="00916BD0">
        <w:t>: Exemptions</w:t>
      </w:r>
    </w:p>
    <w:tbl>
      <w:tblPr>
        <w:tblW w:w="9727" w:type="dxa"/>
        <w:tblInd w:w="98" w:type="dxa"/>
        <w:tblLook w:val="04A0"/>
      </w:tblPr>
      <w:tblGrid>
        <w:gridCol w:w="5587"/>
        <w:gridCol w:w="1380"/>
        <w:gridCol w:w="1380"/>
        <w:gridCol w:w="1380"/>
      </w:tblGrid>
      <w:tr w:rsidR="000430A4" w:rsidRPr="005255FD" w:rsidTr="002F32F0">
        <w:trPr>
          <w:trHeight w:val="348"/>
        </w:trPr>
        <w:tc>
          <w:tcPr>
            <w:tcW w:w="5587"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5255FD" w:rsidRDefault="000430A4" w:rsidP="002F32F0">
            <w:pPr>
              <w:spacing w:after="0" w:line="240" w:lineRule="auto"/>
              <w:rPr>
                <w:rFonts w:ascii="Calibri" w:eastAsia="Times New Roman" w:hAnsi="Calibri" w:cs="Times New Roman"/>
                <w:color w:val="000000"/>
              </w:rPr>
            </w:pPr>
            <w:r w:rsidRPr="005255FD">
              <w:rPr>
                <w:rFonts w:ascii="Calibri" w:eastAsia="Times New Roman" w:hAnsi="Calibri" w:cs="Times New Roman"/>
                <w:color w:val="000000"/>
              </w:rPr>
              <w:t xml:space="preserve">Exemptions </w:t>
            </w:r>
          </w:p>
        </w:tc>
        <w:tc>
          <w:tcPr>
            <w:tcW w:w="1380" w:type="dxa"/>
            <w:tcBorders>
              <w:top w:val="single" w:sz="8" w:space="0" w:color="auto"/>
              <w:left w:val="nil"/>
              <w:bottom w:val="single" w:sz="8" w:space="0" w:color="auto"/>
              <w:right w:val="nil"/>
            </w:tcBorders>
            <w:shd w:val="clear" w:color="000000" w:fill="DBE5F1"/>
            <w:noWrap/>
            <w:vAlign w:val="bottom"/>
            <w:hideMark/>
          </w:tcPr>
          <w:p w:rsidR="000430A4" w:rsidRPr="005255FD" w:rsidRDefault="000430A4" w:rsidP="002F32F0">
            <w:pPr>
              <w:spacing w:after="0" w:line="240" w:lineRule="auto"/>
              <w:jc w:val="center"/>
              <w:rPr>
                <w:rFonts w:ascii="Calibri" w:eastAsia="Times New Roman" w:hAnsi="Calibri" w:cs="Times New Roman"/>
                <w:b/>
                <w:bCs/>
                <w:color w:val="000000"/>
              </w:rPr>
            </w:pPr>
            <w:r w:rsidRPr="005255FD">
              <w:rPr>
                <w:rFonts w:ascii="Calibri" w:eastAsia="Times New Roman" w:hAnsi="Calibri" w:cs="Times New Roman"/>
                <w:b/>
                <w:bCs/>
                <w:color w:val="000000"/>
              </w:rPr>
              <w:t>2012-2013</w:t>
            </w:r>
          </w:p>
        </w:tc>
        <w:tc>
          <w:tcPr>
            <w:tcW w:w="1380" w:type="dxa"/>
            <w:tcBorders>
              <w:top w:val="single" w:sz="8" w:space="0" w:color="auto"/>
              <w:left w:val="nil"/>
              <w:bottom w:val="single" w:sz="8" w:space="0" w:color="auto"/>
              <w:right w:val="nil"/>
            </w:tcBorders>
            <w:shd w:val="clear" w:color="000000" w:fill="DBE5F1"/>
            <w:noWrap/>
            <w:vAlign w:val="bottom"/>
            <w:hideMark/>
          </w:tcPr>
          <w:p w:rsidR="000430A4" w:rsidRPr="005255FD" w:rsidRDefault="000430A4" w:rsidP="002F32F0">
            <w:pPr>
              <w:spacing w:after="0" w:line="240" w:lineRule="auto"/>
              <w:jc w:val="center"/>
              <w:rPr>
                <w:rFonts w:ascii="Calibri" w:eastAsia="Times New Roman" w:hAnsi="Calibri" w:cs="Times New Roman"/>
                <w:b/>
                <w:bCs/>
                <w:color w:val="000000"/>
              </w:rPr>
            </w:pPr>
            <w:r w:rsidRPr="005255FD">
              <w:rPr>
                <w:rFonts w:ascii="Calibri" w:eastAsia="Times New Roman" w:hAnsi="Calibri" w:cs="Times New Roman"/>
                <w:b/>
                <w:bCs/>
                <w:color w:val="000000"/>
              </w:rPr>
              <w:t>2013-2014</w:t>
            </w:r>
          </w:p>
        </w:tc>
        <w:tc>
          <w:tcPr>
            <w:tcW w:w="1380"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5255FD" w:rsidRDefault="000430A4" w:rsidP="002F32F0">
            <w:pPr>
              <w:spacing w:after="0" w:line="240" w:lineRule="auto"/>
              <w:jc w:val="center"/>
              <w:rPr>
                <w:rFonts w:ascii="Calibri" w:eastAsia="Times New Roman" w:hAnsi="Calibri" w:cs="Times New Roman"/>
                <w:b/>
                <w:bCs/>
                <w:color w:val="000000"/>
              </w:rPr>
            </w:pPr>
            <w:r w:rsidRPr="005255FD">
              <w:rPr>
                <w:rFonts w:ascii="Calibri" w:eastAsia="Times New Roman" w:hAnsi="Calibri" w:cs="Times New Roman"/>
                <w:b/>
                <w:bCs/>
                <w:color w:val="000000"/>
              </w:rPr>
              <w:t>2014-2015</w:t>
            </w:r>
          </w:p>
        </w:tc>
      </w:tr>
      <w:tr w:rsidR="000430A4" w:rsidRPr="005255FD" w:rsidTr="002F32F0">
        <w:trPr>
          <w:trHeight w:val="331"/>
        </w:trPr>
        <w:tc>
          <w:tcPr>
            <w:tcW w:w="5587" w:type="dxa"/>
            <w:tcBorders>
              <w:top w:val="nil"/>
              <w:left w:val="single" w:sz="8" w:space="0" w:color="auto"/>
              <w:bottom w:val="nil"/>
              <w:right w:val="nil"/>
            </w:tcBorders>
            <w:shd w:val="clear" w:color="auto" w:fill="auto"/>
            <w:noWrap/>
            <w:vAlign w:val="bottom"/>
            <w:hideMark/>
          </w:tcPr>
          <w:p w:rsidR="000430A4" w:rsidRPr="005255FD"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5255FD">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5255FD">
              <w:rPr>
                <w:rFonts w:ascii="Calibri" w:eastAsia="Times New Roman" w:hAnsi="Calibri" w:cs="Times New Roman"/>
                <w:color w:val="000000"/>
              </w:rPr>
              <w:t xml:space="preserve"> </w:t>
            </w:r>
          </w:p>
        </w:tc>
        <w:tc>
          <w:tcPr>
            <w:tcW w:w="1380" w:type="dxa"/>
            <w:tcBorders>
              <w:top w:val="nil"/>
              <w:left w:val="nil"/>
              <w:bottom w:val="nil"/>
              <w:right w:val="nil"/>
            </w:tcBorders>
            <w:shd w:val="clear" w:color="auto" w:fill="auto"/>
            <w:noWrap/>
            <w:vAlign w:val="bottom"/>
            <w:hideMark/>
          </w:tcPr>
          <w:p w:rsidR="000430A4" w:rsidRPr="005255FD" w:rsidRDefault="000430A4" w:rsidP="002F32F0">
            <w:pPr>
              <w:spacing w:after="0" w:line="240" w:lineRule="auto"/>
              <w:jc w:val="center"/>
              <w:rPr>
                <w:rFonts w:ascii="Calibri" w:eastAsia="Times New Roman" w:hAnsi="Calibri" w:cs="Times New Roman"/>
                <w:color w:val="000000"/>
              </w:rPr>
            </w:pPr>
            <w:r w:rsidRPr="005255FD">
              <w:rPr>
                <w:rFonts w:ascii="Calibri" w:eastAsia="Times New Roman" w:hAnsi="Calibri" w:cs="Times New Roman"/>
                <w:color w:val="000000"/>
              </w:rPr>
              <w:t>395</w:t>
            </w:r>
          </w:p>
        </w:tc>
        <w:tc>
          <w:tcPr>
            <w:tcW w:w="1380" w:type="dxa"/>
            <w:tcBorders>
              <w:top w:val="nil"/>
              <w:left w:val="nil"/>
              <w:bottom w:val="nil"/>
              <w:right w:val="nil"/>
            </w:tcBorders>
            <w:shd w:val="clear" w:color="auto" w:fill="auto"/>
            <w:noWrap/>
            <w:vAlign w:val="bottom"/>
            <w:hideMark/>
          </w:tcPr>
          <w:p w:rsidR="000430A4" w:rsidRPr="005255FD" w:rsidRDefault="000430A4" w:rsidP="002F32F0">
            <w:pPr>
              <w:spacing w:after="0" w:line="240" w:lineRule="auto"/>
              <w:jc w:val="center"/>
              <w:rPr>
                <w:rFonts w:ascii="Calibri" w:eastAsia="Times New Roman" w:hAnsi="Calibri" w:cs="Times New Roman"/>
                <w:color w:val="000000"/>
              </w:rPr>
            </w:pPr>
            <w:r w:rsidRPr="005255FD">
              <w:rPr>
                <w:rFonts w:ascii="Calibri" w:eastAsia="Times New Roman" w:hAnsi="Calibri" w:cs="Times New Roman"/>
                <w:color w:val="000000"/>
              </w:rPr>
              <w:t>655</w:t>
            </w:r>
          </w:p>
        </w:tc>
        <w:tc>
          <w:tcPr>
            <w:tcW w:w="1380" w:type="dxa"/>
            <w:tcBorders>
              <w:top w:val="nil"/>
              <w:left w:val="nil"/>
              <w:bottom w:val="nil"/>
              <w:right w:val="single" w:sz="8" w:space="0" w:color="auto"/>
            </w:tcBorders>
            <w:shd w:val="clear" w:color="auto" w:fill="auto"/>
            <w:noWrap/>
            <w:vAlign w:val="bottom"/>
            <w:hideMark/>
          </w:tcPr>
          <w:p w:rsidR="000430A4" w:rsidRPr="005255FD" w:rsidRDefault="000430A4" w:rsidP="002F32F0">
            <w:pPr>
              <w:spacing w:after="0" w:line="240" w:lineRule="auto"/>
              <w:jc w:val="center"/>
              <w:rPr>
                <w:rFonts w:ascii="Calibri" w:eastAsia="Times New Roman" w:hAnsi="Calibri" w:cs="Times New Roman"/>
                <w:color w:val="000000"/>
              </w:rPr>
            </w:pPr>
            <w:r w:rsidRPr="005255FD">
              <w:rPr>
                <w:rFonts w:ascii="Calibri" w:eastAsia="Times New Roman" w:hAnsi="Calibri" w:cs="Times New Roman"/>
                <w:color w:val="000000"/>
              </w:rPr>
              <w:t>624</w:t>
            </w:r>
          </w:p>
        </w:tc>
      </w:tr>
      <w:tr w:rsidR="000430A4" w:rsidRPr="005255FD" w:rsidTr="002F32F0">
        <w:trPr>
          <w:trHeight w:val="331"/>
        </w:trPr>
        <w:tc>
          <w:tcPr>
            <w:tcW w:w="5587" w:type="dxa"/>
            <w:tcBorders>
              <w:top w:val="nil"/>
              <w:left w:val="single" w:sz="8" w:space="0" w:color="auto"/>
              <w:bottom w:val="nil"/>
              <w:right w:val="nil"/>
            </w:tcBorders>
            <w:shd w:val="clear" w:color="auto" w:fill="auto"/>
            <w:noWrap/>
            <w:vAlign w:val="bottom"/>
            <w:hideMark/>
          </w:tcPr>
          <w:p w:rsidR="000430A4" w:rsidRPr="005255FD" w:rsidRDefault="000430A4" w:rsidP="002F32F0">
            <w:pPr>
              <w:spacing w:after="0" w:line="240" w:lineRule="auto"/>
              <w:rPr>
                <w:rFonts w:ascii="Calibri" w:eastAsia="Times New Roman" w:hAnsi="Calibri" w:cs="Times New Roman"/>
                <w:color w:val="000000"/>
              </w:rPr>
            </w:pPr>
            <w:r w:rsidRPr="005255FD">
              <w:rPr>
                <w:rFonts w:ascii="Calibri" w:eastAsia="Times New Roman" w:hAnsi="Calibri" w:cs="Times New Roman"/>
                <w:color w:val="000000"/>
              </w:rPr>
              <w:t>Total number of completed requests</w:t>
            </w:r>
          </w:p>
        </w:tc>
        <w:tc>
          <w:tcPr>
            <w:tcW w:w="1380" w:type="dxa"/>
            <w:tcBorders>
              <w:top w:val="nil"/>
              <w:left w:val="nil"/>
              <w:bottom w:val="nil"/>
              <w:right w:val="nil"/>
            </w:tcBorders>
            <w:shd w:val="clear" w:color="auto" w:fill="auto"/>
            <w:noWrap/>
            <w:vAlign w:val="bottom"/>
            <w:hideMark/>
          </w:tcPr>
          <w:p w:rsidR="000430A4" w:rsidRPr="005255FD" w:rsidRDefault="000430A4" w:rsidP="002F32F0">
            <w:pPr>
              <w:spacing w:after="0" w:line="240" w:lineRule="auto"/>
              <w:jc w:val="center"/>
              <w:rPr>
                <w:rFonts w:ascii="Calibri" w:eastAsia="Times New Roman" w:hAnsi="Calibri" w:cs="Times New Roman"/>
                <w:color w:val="000000"/>
              </w:rPr>
            </w:pPr>
            <w:r w:rsidRPr="005255FD">
              <w:rPr>
                <w:rFonts w:ascii="Calibri" w:eastAsia="Times New Roman" w:hAnsi="Calibri" w:cs="Times New Roman"/>
                <w:color w:val="000000"/>
              </w:rPr>
              <w:t>323</w:t>
            </w:r>
          </w:p>
        </w:tc>
        <w:tc>
          <w:tcPr>
            <w:tcW w:w="1380" w:type="dxa"/>
            <w:tcBorders>
              <w:top w:val="nil"/>
              <w:left w:val="nil"/>
              <w:bottom w:val="nil"/>
              <w:right w:val="nil"/>
            </w:tcBorders>
            <w:shd w:val="clear" w:color="auto" w:fill="auto"/>
            <w:noWrap/>
            <w:vAlign w:val="bottom"/>
            <w:hideMark/>
          </w:tcPr>
          <w:p w:rsidR="000430A4" w:rsidRPr="005255FD" w:rsidRDefault="000430A4" w:rsidP="002F32F0">
            <w:pPr>
              <w:spacing w:after="0" w:line="240" w:lineRule="auto"/>
              <w:jc w:val="center"/>
              <w:rPr>
                <w:rFonts w:ascii="Calibri" w:eastAsia="Times New Roman" w:hAnsi="Calibri" w:cs="Times New Roman"/>
                <w:color w:val="000000"/>
              </w:rPr>
            </w:pPr>
            <w:r w:rsidRPr="005255FD">
              <w:rPr>
                <w:rFonts w:ascii="Calibri" w:eastAsia="Times New Roman" w:hAnsi="Calibri" w:cs="Times New Roman"/>
                <w:color w:val="000000"/>
              </w:rPr>
              <w:t>528</w:t>
            </w:r>
          </w:p>
        </w:tc>
        <w:tc>
          <w:tcPr>
            <w:tcW w:w="1380" w:type="dxa"/>
            <w:tcBorders>
              <w:top w:val="nil"/>
              <w:left w:val="nil"/>
              <w:bottom w:val="nil"/>
              <w:right w:val="single" w:sz="8" w:space="0" w:color="auto"/>
            </w:tcBorders>
            <w:shd w:val="clear" w:color="auto" w:fill="auto"/>
            <w:noWrap/>
            <w:vAlign w:val="bottom"/>
            <w:hideMark/>
          </w:tcPr>
          <w:p w:rsidR="000430A4" w:rsidRPr="005255FD" w:rsidRDefault="000430A4" w:rsidP="002F32F0">
            <w:pPr>
              <w:spacing w:after="0" w:line="240" w:lineRule="auto"/>
              <w:jc w:val="center"/>
              <w:rPr>
                <w:rFonts w:ascii="Calibri" w:eastAsia="Times New Roman" w:hAnsi="Calibri" w:cs="Times New Roman"/>
                <w:color w:val="000000"/>
              </w:rPr>
            </w:pPr>
            <w:r w:rsidRPr="005255FD">
              <w:rPr>
                <w:rFonts w:ascii="Calibri" w:eastAsia="Times New Roman" w:hAnsi="Calibri" w:cs="Times New Roman"/>
                <w:color w:val="000000"/>
              </w:rPr>
              <w:t>551</w:t>
            </w:r>
          </w:p>
        </w:tc>
      </w:tr>
      <w:tr w:rsidR="000430A4" w:rsidRPr="005255FD" w:rsidTr="002F32F0">
        <w:trPr>
          <w:trHeight w:val="348"/>
        </w:trPr>
        <w:tc>
          <w:tcPr>
            <w:tcW w:w="5587" w:type="dxa"/>
            <w:tcBorders>
              <w:top w:val="nil"/>
              <w:left w:val="single" w:sz="8" w:space="0" w:color="auto"/>
              <w:bottom w:val="single" w:sz="8" w:space="0" w:color="auto"/>
              <w:right w:val="nil"/>
            </w:tcBorders>
            <w:shd w:val="clear" w:color="000000" w:fill="DBE5F1"/>
            <w:noWrap/>
            <w:vAlign w:val="bottom"/>
            <w:hideMark/>
          </w:tcPr>
          <w:p w:rsidR="000430A4" w:rsidRPr="005255FD" w:rsidRDefault="000430A4" w:rsidP="002F32F0">
            <w:pPr>
              <w:spacing w:after="0" w:line="240" w:lineRule="auto"/>
              <w:rPr>
                <w:rFonts w:ascii="Calibri" w:eastAsia="Times New Roman" w:hAnsi="Calibri" w:cs="Times New Roman"/>
                <w:color w:val="000000"/>
              </w:rPr>
            </w:pPr>
            <w:r w:rsidRPr="005255FD">
              <w:rPr>
                <w:rFonts w:ascii="Calibri" w:eastAsia="Times New Roman" w:hAnsi="Calibri" w:cs="Times New Roman"/>
                <w:color w:val="000000"/>
              </w:rPr>
              <w:t xml:space="preserve">Average number of exemptions per request </w:t>
            </w:r>
          </w:p>
        </w:tc>
        <w:tc>
          <w:tcPr>
            <w:tcW w:w="1380" w:type="dxa"/>
            <w:tcBorders>
              <w:top w:val="nil"/>
              <w:left w:val="nil"/>
              <w:bottom w:val="single" w:sz="8" w:space="0" w:color="auto"/>
              <w:right w:val="nil"/>
            </w:tcBorders>
            <w:shd w:val="clear" w:color="000000" w:fill="DBE5F1"/>
            <w:noWrap/>
            <w:vAlign w:val="bottom"/>
            <w:hideMark/>
          </w:tcPr>
          <w:p w:rsidR="000430A4" w:rsidRPr="005255FD" w:rsidRDefault="000430A4" w:rsidP="002F32F0">
            <w:pPr>
              <w:spacing w:after="0" w:line="240" w:lineRule="auto"/>
              <w:jc w:val="center"/>
              <w:rPr>
                <w:rFonts w:ascii="Calibri" w:eastAsia="Times New Roman" w:hAnsi="Calibri" w:cs="Times New Roman"/>
                <w:color w:val="000000"/>
              </w:rPr>
            </w:pPr>
            <w:r w:rsidRPr="005255FD">
              <w:rPr>
                <w:rFonts w:ascii="Calibri" w:eastAsia="Times New Roman" w:hAnsi="Calibri" w:cs="Times New Roman"/>
                <w:color w:val="000000"/>
              </w:rPr>
              <w:t>1.2</w:t>
            </w:r>
            <w:r>
              <w:rPr>
                <w:rFonts w:ascii="Calibri" w:eastAsia="Times New Roman" w:hAnsi="Calibri" w:cs="Times New Roman"/>
                <w:color w:val="000000"/>
              </w:rPr>
              <w:t>2</w:t>
            </w:r>
          </w:p>
        </w:tc>
        <w:tc>
          <w:tcPr>
            <w:tcW w:w="1380" w:type="dxa"/>
            <w:tcBorders>
              <w:top w:val="nil"/>
              <w:left w:val="nil"/>
              <w:bottom w:val="single" w:sz="8" w:space="0" w:color="auto"/>
              <w:right w:val="nil"/>
            </w:tcBorders>
            <w:shd w:val="clear" w:color="000000" w:fill="DBE5F1"/>
            <w:noWrap/>
            <w:vAlign w:val="bottom"/>
            <w:hideMark/>
          </w:tcPr>
          <w:p w:rsidR="000430A4" w:rsidRPr="005255FD" w:rsidRDefault="000430A4" w:rsidP="002F32F0">
            <w:pPr>
              <w:spacing w:after="0" w:line="240" w:lineRule="auto"/>
              <w:jc w:val="center"/>
              <w:rPr>
                <w:rFonts w:ascii="Calibri" w:eastAsia="Times New Roman" w:hAnsi="Calibri" w:cs="Times New Roman"/>
                <w:color w:val="000000"/>
              </w:rPr>
            </w:pPr>
            <w:r w:rsidRPr="005255FD">
              <w:rPr>
                <w:rFonts w:ascii="Calibri" w:eastAsia="Times New Roman" w:hAnsi="Calibri" w:cs="Times New Roman"/>
                <w:color w:val="000000"/>
              </w:rPr>
              <w:t>1.2</w:t>
            </w:r>
            <w:r>
              <w:rPr>
                <w:rFonts w:ascii="Calibri" w:eastAsia="Times New Roman" w:hAnsi="Calibri" w:cs="Times New Roman"/>
                <w:color w:val="000000"/>
              </w:rPr>
              <w:t>4</w:t>
            </w:r>
          </w:p>
        </w:tc>
        <w:tc>
          <w:tcPr>
            <w:tcW w:w="1380" w:type="dxa"/>
            <w:tcBorders>
              <w:top w:val="nil"/>
              <w:left w:val="nil"/>
              <w:bottom w:val="single" w:sz="8" w:space="0" w:color="auto"/>
              <w:right w:val="single" w:sz="8" w:space="0" w:color="auto"/>
            </w:tcBorders>
            <w:shd w:val="clear" w:color="000000" w:fill="DBE5F1"/>
            <w:noWrap/>
            <w:vAlign w:val="bottom"/>
            <w:hideMark/>
          </w:tcPr>
          <w:p w:rsidR="000430A4" w:rsidRPr="005255FD" w:rsidRDefault="000430A4" w:rsidP="002F32F0">
            <w:pPr>
              <w:spacing w:after="0" w:line="240" w:lineRule="auto"/>
              <w:jc w:val="center"/>
              <w:rPr>
                <w:rFonts w:ascii="Calibri" w:eastAsia="Times New Roman" w:hAnsi="Calibri" w:cs="Times New Roman"/>
                <w:color w:val="000000"/>
              </w:rPr>
            </w:pPr>
            <w:r w:rsidRPr="005255FD">
              <w:rPr>
                <w:rFonts w:ascii="Calibri" w:eastAsia="Times New Roman" w:hAnsi="Calibri" w:cs="Times New Roman"/>
                <w:color w:val="000000"/>
              </w:rPr>
              <w:t>1.1</w:t>
            </w:r>
            <w:r>
              <w:rPr>
                <w:rFonts w:ascii="Calibri" w:eastAsia="Times New Roman" w:hAnsi="Calibri" w:cs="Times New Roman"/>
                <w:color w:val="000000"/>
              </w:rPr>
              <w:t>3</w:t>
            </w:r>
          </w:p>
        </w:tc>
      </w:tr>
    </w:tbl>
    <w:p w:rsidR="000430A4" w:rsidRPr="00766E65" w:rsidRDefault="000430A4" w:rsidP="000430A4">
      <w:pPr>
        <w:pStyle w:val="Heading2"/>
        <w:spacing w:before="240"/>
      </w:pPr>
      <w:r w:rsidRPr="00766E65">
        <w:t>Complaints at the OIC</w:t>
      </w:r>
    </w:p>
    <w:p w:rsidR="000430A4" w:rsidRDefault="000430A4" w:rsidP="000430A4">
      <w:pPr>
        <w:jc w:val="both"/>
      </w:pPr>
      <w:r w:rsidRPr="00125287">
        <w:t>The number of complaints received</w:t>
      </w:r>
      <w:r>
        <w:rPr>
          <w:rStyle w:val="FootnoteReference"/>
        </w:rPr>
        <w:footnoteReference w:id="84"/>
      </w:r>
      <w:r w:rsidRPr="00125287">
        <w:t xml:space="preserve"> against JUS</w:t>
      </w:r>
      <w:r>
        <w:t xml:space="preserve"> decreased from 51 in 2013-2014 to 44 </w:t>
      </w:r>
      <w:r w:rsidRPr="00125287">
        <w:t>this reporting period. We observe</w:t>
      </w:r>
      <w:r>
        <w:t xml:space="preserve">d a large increase in the proportion of </w:t>
      </w:r>
      <w:r w:rsidRPr="00125287">
        <w:t>administrative complaints compared to the previous p</w:t>
      </w:r>
      <w:r>
        <w:t>eriod (11.7% in 2013-2014 and 56.8</w:t>
      </w:r>
      <w:r w:rsidRPr="00125287">
        <w:t xml:space="preserve">% in 2014-2015). </w:t>
      </w:r>
      <w:r>
        <w:t>17 complaints were</w:t>
      </w:r>
      <w:r w:rsidRPr="00125287">
        <w:t xml:space="preserve"> well-founded</w:t>
      </w:r>
      <w:r>
        <w:t>, 9 d</w:t>
      </w:r>
      <w:r w:rsidRPr="00125287">
        <w:t>iscontinued</w:t>
      </w:r>
      <w:r>
        <w:t>, 4 settled</w:t>
      </w:r>
      <w:r w:rsidRPr="00125287">
        <w:t xml:space="preserve"> an</w:t>
      </w:r>
      <w:r>
        <w:t>d</w:t>
      </w:r>
      <w:r w:rsidRPr="00125287">
        <w:t xml:space="preserve"> </w:t>
      </w:r>
      <w:r>
        <w:t xml:space="preserve">14 were </w:t>
      </w:r>
      <w:r w:rsidRPr="00125287">
        <w:t>pending</w:t>
      </w:r>
      <w:r>
        <w:t xml:space="preserve"> resolution.</w:t>
      </w:r>
    </w:p>
    <w:p w:rsidR="000430A4" w:rsidRDefault="000430A4" w:rsidP="000430A4">
      <w:r>
        <w:br w:type="page"/>
      </w:r>
    </w:p>
    <w:p w:rsidR="000430A4" w:rsidRPr="0050448B" w:rsidRDefault="000430A4" w:rsidP="000430A4">
      <w:pPr>
        <w:pStyle w:val="Heading1"/>
      </w:pPr>
      <w:r w:rsidRPr="0050448B">
        <w:t>Department of Finance Canada</w:t>
      </w:r>
    </w:p>
    <w:p w:rsidR="000430A4" w:rsidRPr="00A42C23" w:rsidRDefault="000430A4" w:rsidP="000430A4">
      <w:pPr>
        <w:pStyle w:val="Heading2"/>
      </w:pPr>
      <w:r w:rsidRPr="00A42C23">
        <w:t>Overall performance</w:t>
      </w:r>
      <w:r>
        <w:rPr>
          <w:rStyle w:val="FootnoteReference"/>
        </w:rPr>
        <w:footnoteReference w:id="85"/>
      </w:r>
    </w:p>
    <w:p w:rsidR="000430A4" w:rsidRPr="00A42C23" w:rsidRDefault="000430A4" w:rsidP="000430A4">
      <w:pPr>
        <w:jc w:val="both"/>
      </w:pPr>
      <w:r w:rsidRPr="00E97733">
        <w:t xml:space="preserve">The Department of Finance Canada’s (FIN) saw a decrease of 5.1% in the number of requests received. Its </w:t>
      </w:r>
      <w:r>
        <w:t xml:space="preserve">overall </w:t>
      </w:r>
      <w:r w:rsidRPr="00E97733">
        <w:t>performance</w:t>
      </w:r>
      <w:r>
        <w:t xml:space="preserve"> in 2014-2015</w:t>
      </w:r>
      <w:r w:rsidRPr="00E97733">
        <w:t xml:space="preserve"> was similar compared to the previous period. This report provides comparative statistics for the last three periods (2012-2015).</w:t>
      </w:r>
    </w:p>
    <w:p w:rsidR="000430A4" w:rsidRPr="00A42C23" w:rsidRDefault="000430A4" w:rsidP="000430A4">
      <w:pPr>
        <w:pStyle w:val="Heading2"/>
      </w:pPr>
      <w:r w:rsidRPr="00A42C23">
        <w:t>Workload</w:t>
      </w:r>
    </w:p>
    <w:p w:rsidR="000430A4" w:rsidRPr="006E6261" w:rsidRDefault="000430A4" w:rsidP="000430A4">
      <w:pPr>
        <w:jc w:val="both"/>
      </w:pPr>
      <w:r>
        <w:t xml:space="preserve">FIN received 519 requests under the </w:t>
      </w:r>
      <w:r w:rsidRPr="004D730A">
        <w:rPr>
          <w:i/>
        </w:rPr>
        <w:t>Access to Information Act</w:t>
      </w:r>
      <w:r>
        <w:t xml:space="preserve"> (the Act), representing 0.7</w:t>
      </w:r>
      <w:r w:rsidRPr="006E6261">
        <w:t xml:space="preserve">% </w:t>
      </w:r>
      <w:r>
        <w:t xml:space="preserve">of total requests received across government in 2014-2015. </w:t>
      </w:r>
      <w:r w:rsidRPr="006E6261">
        <w:t>The majority of requests received by FIN</w:t>
      </w:r>
      <w:r>
        <w:t xml:space="preserve"> were from the media </w:t>
      </w:r>
      <w:r w:rsidRPr="006E6261">
        <w:t>(</w:t>
      </w:r>
      <w:r>
        <w:t>36.4</w:t>
      </w:r>
      <w:r w:rsidRPr="006E6261">
        <w:t>%), followed by the business sector (</w:t>
      </w:r>
      <w:r>
        <w:t>23.9</w:t>
      </w:r>
      <w:r w:rsidRPr="006E6261">
        <w:t xml:space="preserve">%). Requests from the </w:t>
      </w:r>
      <w:r>
        <w:t xml:space="preserve">media decreased by 42.6% </w:t>
      </w:r>
      <w:r w:rsidRPr="006E6261">
        <w:t>this reporting perio</w:t>
      </w:r>
      <w:r>
        <w:t xml:space="preserve">d compared to 2013-2014, whereas requests </w:t>
      </w:r>
      <w:r w:rsidRPr="006E6261">
        <w:t xml:space="preserve">from </w:t>
      </w:r>
      <w:r>
        <w:t xml:space="preserve">the </w:t>
      </w:r>
      <w:r w:rsidRPr="006E6261">
        <w:t xml:space="preserve">business sector </w:t>
      </w:r>
      <w:r>
        <w:t>increased</w:t>
      </w:r>
      <w:r w:rsidRPr="006E6261">
        <w:t xml:space="preserve"> by 2</w:t>
      </w:r>
      <w:r>
        <w:t>7.8%.</w:t>
      </w:r>
    </w:p>
    <w:p w:rsidR="000430A4" w:rsidRPr="00DB1E81" w:rsidRDefault="000430A4" w:rsidP="000430A4">
      <w:pPr>
        <w:jc w:val="both"/>
      </w:pPr>
      <w:r w:rsidRPr="00DB1E81">
        <w:t xml:space="preserve">FIN completed </w:t>
      </w:r>
      <w:r>
        <w:t>482</w:t>
      </w:r>
      <w:r w:rsidRPr="00DB1E81">
        <w:t xml:space="preserve"> requests</w:t>
      </w:r>
      <w:r>
        <w:t xml:space="preserve"> this reporting period. The completion </w:t>
      </w:r>
      <w:r w:rsidRPr="00DB1E81">
        <w:t>rate</w:t>
      </w:r>
      <w:r>
        <w:rPr>
          <w:rStyle w:val="FootnoteReference"/>
        </w:rPr>
        <w:footnoteReference w:id="86"/>
      </w:r>
      <w:r w:rsidRPr="00DB1E81">
        <w:t xml:space="preserve"> </w:t>
      </w:r>
      <w:r>
        <w:t xml:space="preserve">was 80.1%, which is lower than the government-wide rate of 85.1% and a decrease </w:t>
      </w:r>
      <w:r w:rsidRPr="00E97733">
        <w:t>of 7.5% compared</w:t>
      </w:r>
      <w:r>
        <w:t xml:space="preserve"> to FIN’s completion rate in the previous period. </w:t>
      </w:r>
      <w:r w:rsidRPr="00E97733">
        <w:t xml:space="preserve">FIN also received 292 informal requests in 2014-2015, and 80.8% were completed within 30 days. The number </w:t>
      </w:r>
      <w:r>
        <w:t>of consultations received by FIN</w:t>
      </w:r>
      <w:r w:rsidRPr="00E97733">
        <w:t xml:space="preserve"> from other federal government institutions decreased from 189 to</w:t>
      </w:r>
      <w:r>
        <w:t xml:space="preserve"> </w:t>
      </w:r>
      <w:r w:rsidRPr="00E97733">
        <w:t>159, representing a decrease of 15.9% compared to 2013-2014.</w:t>
      </w:r>
    </w:p>
    <w:p w:rsidR="000430A4" w:rsidRDefault="000430A4" w:rsidP="000430A4">
      <w:pPr>
        <w:jc w:val="both"/>
      </w:pPr>
      <w:r>
        <w:t xml:space="preserve">In 2014-2015, FIN processed 48,699 pages. </w:t>
      </w:r>
      <w:r w:rsidRPr="001D012E">
        <w:t xml:space="preserve">The average number of pages processed per completed request </w:t>
      </w:r>
      <w:r>
        <w:t xml:space="preserve">increased </w:t>
      </w:r>
      <w:r w:rsidRPr="001D012E">
        <w:t xml:space="preserve">from </w:t>
      </w:r>
      <w:r>
        <w:t>130</w:t>
      </w:r>
      <w:r w:rsidRPr="001D012E">
        <w:t xml:space="preserve"> in 2013-2014 to </w:t>
      </w:r>
      <w:r>
        <w:t xml:space="preserve">136 </w:t>
      </w:r>
      <w:r w:rsidRPr="001D012E">
        <w:t>in 2014-2015.</w:t>
      </w:r>
    </w:p>
    <w:p w:rsidR="000430A4" w:rsidRDefault="000430A4" w:rsidP="000430A4">
      <w:pPr>
        <w:jc w:val="both"/>
      </w:pPr>
      <w:r w:rsidRPr="001D012E">
        <w:t xml:space="preserve">The information released by FIN was mostly in </w:t>
      </w:r>
      <w:r>
        <w:t xml:space="preserve">paper </w:t>
      </w:r>
      <w:r w:rsidRPr="001D012E">
        <w:t>format</w:t>
      </w:r>
      <w:r>
        <w:t>: 222 requests in paper format</w:t>
      </w:r>
      <w:r w:rsidRPr="001D012E">
        <w:t xml:space="preserve"> compared to </w:t>
      </w:r>
      <w:r>
        <w:t>118</w:t>
      </w:r>
      <w:r w:rsidRPr="001D012E">
        <w:t xml:space="preserve"> in </w:t>
      </w:r>
      <w:r>
        <w:t xml:space="preserve">electronic </w:t>
      </w:r>
      <w:r w:rsidRPr="001D012E">
        <w:t>format.</w:t>
      </w:r>
    </w:p>
    <w:p w:rsidR="000430A4" w:rsidRDefault="000430A4" w:rsidP="000430A4">
      <w:pPr>
        <w:pStyle w:val="Heading3"/>
      </w:pPr>
      <w:r w:rsidRPr="00D2368F">
        <w:t xml:space="preserve">Table </w:t>
      </w:r>
      <w:r>
        <w:t xml:space="preserve">1: </w:t>
      </w:r>
      <w:r w:rsidRPr="00A42C23">
        <w:t>Workload</w:t>
      </w:r>
    </w:p>
    <w:tbl>
      <w:tblPr>
        <w:tblW w:w="9508" w:type="dxa"/>
        <w:tblInd w:w="98" w:type="dxa"/>
        <w:tblLook w:val="04A0"/>
      </w:tblPr>
      <w:tblGrid>
        <w:gridCol w:w="4893"/>
        <w:gridCol w:w="1312"/>
        <w:gridCol w:w="1991"/>
        <w:gridCol w:w="1312"/>
      </w:tblGrid>
      <w:tr w:rsidR="000430A4" w:rsidRPr="00412F7C" w:rsidTr="002F32F0">
        <w:trPr>
          <w:trHeight w:val="263"/>
        </w:trPr>
        <w:tc>
          <w:tcPr>
            <w:tcW w:w="4893" w:type="dxa"/>
            <w:tcBorders>
              <w:top w:val="single" w:sz="4" w:space="0" w:color="auto"/>
              <w:left w:val="single" w:sz="4" w:space="0" w:color="auto"/>
              <w:bottom w:val="single" w:sz="8" w:space="0" w:color="auto"/>
              <w:right w:val="nil"/>
            </w:tcBorders>
            <w:shd w:val="clear" w:color="auto" w:fill="auto"/>
            <w:noWrap/>
            <w:vAlign w:val="bottom"/>
            <w:hideMark/>
          </w:tcPr>
          <w:p w:rsidR="000430A4" w:rsidRPr="00412F7C" w:rsidRDefault="000430A4" w:rsidP="002F32F0">
            <w:pPr>
              <w:spacing w:after="0" w:line="240" w:lineRule="auto"/>
              <w:rPr>
                <w:rFonts w:ascii="Calibri" w:eastAsia="Times New Roman" w:hAnsi="Calibri" w:cs="Times New Roman"/>
                <w:color w:val="000000"/>
              </w:rPr>
            </w:pPr>
            <w:r w:rsidRPr="00412F7C">
              <w:rPr>
                <w:rFonts w:ascii="Calibri" w:eastAsia="Times New Roman" w:hAnsi="Calibri" w:cs="Times New Roman"/>
                <w:color w:val="000000"/>
              </w:rPr>
              <w:t xml:space="preserve">Measures </w:t>
            </w:r>
          </w:p>
        </w:tc>
        <w:tc>
          <w:tcPr>
            <w:tcW w:w="1312" w:type="dxa"/>
            <w:tcBorders>
              <w:top w:val="single" w:sz="4" w:space="0" w:color="auto"/>
              <w:left w:val="nil"/>
              <w:bottom w:val="single" w:sz="8" w:space="0" w:color="auto"/>
              <w:right w:val="nil"/>
            </w:tcBorders>
            <w:shd w:val="clear" w:color="auto" w:fill="auto"/>
            <w:noWrap/>
            <w:vAlign w:val="bottom"/>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2012-2013</w:t>
            </w:r>
          </w:p>
        </w:tc>
        <w:tc>
          <w:tcPr>
            <w:tcW w:w="1991" w:type="dxa"/>
            <w:tcBorders>
              <w:top w:val="single" w:sz="4" w:space="0" w:color="auto"/>
              <w:left w:val="nil"/>
              <w:bottom w:val="single" w:sz="8" w:space="0" w:color="auto"/>
              <w:right w:val="nil"/>
            </w:tcBorders>
            <w:shd w:val="clear" w:color="auto" w:fill="auto"/>
            <w:noWrap/>
            <w:vAlign w:val="bottom"/>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2013-2014</w:t>
            </w:r>
          </w:p>
        </w:tc>
        <w:tc>
          <w:tcPr>
            <w:tcW w:w="1312" w:type="dxa"/>
            <w:tcBorders>
              <w:top w:val="single" w:sz="4" w:space="0" w:color="auto"/>
              <w:left w:val="nil"/>
              <w:bottom w:val="single" w:sz="8" w:space="0" w:color="auto"/>
              <w:right w:val="single" w:sz="4" w:space="0" w:color="auto"/>
            </w:tcBorders>
            <w:shd w:val="clear" w:color="auto" w:fill="auto"/>
            <w:noWrap/>
            <w:vAlign w:val="bottom"/>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2014-2015</w:t>
            </w:r>
          </w:p>
        </w:tc>
      </w:tr>
      <w:tr w:rsidR="000430A4" w:rsidRPr="00412F7C" w:rsidTr="002F32F0">
        <w:trPr>
          <w:trHeight w:val="302"/>
        </w:trPr>
        <w:tc>
          <w:tcPr>
            <w:tcW w:w="4893" w:type="dxa"/>
            <w:tcBorders>
              <w:top w:val="nil"/>
              <w:left w:val="single" w:sz="4" w:space="0" w:color="auto"/>
              <w:bottom w:val="nil"/>
              <w:right w:val="nil"/>
            </w:tcBorders>
            <w:shd w:val="clear" w:color="000000" w:fill="DBE5F1"/>
            <w:noWrap/>
            <w:hideMark/>
          </w:tcPr>
          <w:p w:rsidR="000430A4" w:rsidRPr="00412F7C" w:rsidRDefault="000430A4" w:rsidP="002F32F0">
            <w:pPr>
              <w:spacing w:after="0" w:line="240" w:lineRule="auto"/>
              <w:rPr>
                <w:rFonts w:ascii="Calibri" w:eastAsia="Times New Roman" w:hAnsi="Calibri" w:cs="Times New Roman"/>
                <w:color w:val="000000"/>
              </w:rPr>
            </w:pPr>
            <w:r w:rsidRPr="00412F7C">
              <w:rPr>
                <w:rFonts w:ascii="Calibri" w:eastAsia="Times New Roman" w:hAnsi="Calibri" w:cs="Times New Roman"/>
                <w:color w:val="000000"/>
              </w:rPr>
              <w:t xml:space="preserve">Number of requests received </w:t>
            </w:r>
          </w:p>
        </w:tc>
        <w:tc>
          <w:tcPr>
            <w:tcW w:w="1312" w:type="dxa"/>
            <w:tcBorders>
              <w:top w:val="nil"/>
              <w:left w:val="nil"/>
              <w:bottom w:val="nil"/>
              <w:right w:val="nil"/>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495</w:t>
            </w:r>
          </w:p>
        </w:tc>
        <w:tc>
          <w:tcPr>
            <w:tcW w:w="1991" w:type="dxa"/>
            <w:tcBorders>
              <w:top w:val="nil"/>
              <w:left w:val="nil"/>
              <w:bottom w:val="nil"/>
              <w:right w:val="nil"/>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547</w:t>
            </w:r>
          </w:p>
        </w:tc>
        <w:tc>
          <w:tcPr>
            <w:tcW w:w="1312" w:type="dxa"/>
            <w:tcBorders>
              <w:top w:val="nil"/>
              <w:left w:val="nil"/>
              <w:bottom w:val="nil"/>
              <w:right w:val="single" w:sz="4" w:space="0" w:color="auto"/>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519</w:t>
            </w:r>
          </w:p>
        </w:tc>
      </w:tr>
      <w:tr w:rsidR="000430A4" w:rsidRPr="00412F7C" w:rsidTr="002F32F0">
        <w:trPr>
          <w:trHeight w:val="302"/>
        </w:trPr>
        <w:tc>
          <w:tcPr>
            <w:tcW w:w="4893" w:type="dxa"/>
            <w:tcBorders>
              <w:top w:val="nil"/>
              <w:left w:val="single" w:sz="4" w:space="0" w:color="auto"/>
              <w:right w:val="nil"/>
            </w:tcBorders>
            <w:shd w:val="clear" w:color="auto" w:fill="auto"/>
            <w:hideMark/>
          </w:tcPr>
          <w:p w:rsidR="000430A4" w:rsidRPr="00412F7C" w:rsidRDefault="000430A4" w:rsidP="002F32F0">
            <w:pPr>
              <w:spacing w:after="0" w:line="240" w:lineRule="auto"/>
              <w:rPr>
                <w:rFonts w:ascii="Calibri" w:eastAsia="Times New Roman" w:hAnsi="Calibri" w:cs="Times New Roman"/>
                <w:color w:val="000000"/>
              </w:rPr>
            </w:pPr>
            <w:r w:rsidRPr="00412F7C">
              <w:rPr>
                <w:rFonts w:ascii="Calibri" w:eastAsia="Times New Roman" w:hAnsi="Calibri" w:cs="Times New Roman"/>
                <w:color w:val="000000"/>
              </w:rPr>
              <w:t>Annual change (%)</w:t>
            </w:r>
          </w:p>
        </w:tc>
        <w:tc>
          <w:tcPr>
            <w:tcW w:w="1312" w:type="dxa"/>
            <w:tcBorders>
              <w:top w:val="nil"/>
              <w:left w:val="nil"/>
              <w:right w:val="nil"/>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w:t>
            </w:r>
          </w:p>
        </w:tc>
        <w:tc>
          <w:tcPr>
            <w:tcW w:w="1991" w:type="dxa"/>
            <w:tcBorders>
              <w:top w:val="nil"/>
              <w:left w:val="nil"/>
              <w:right w:val="nil"/>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10.5%</w:t>
            </w:r>
          </w:p>
        </w:tc>
        <w:tc>
          <w:tcPr>
            <w:tcW w:w="1312" w:type="dxa"/>
            <w:tcBorders>
              <w:top w:val="nil"/>
              <w:left w:val="nil"/>
              <w:right w:val="single" w:sz="4" w:space="0" w:color="auto"/>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-5.1%</w:t>
            </w:r>
          </w:p>
        </w:tc>
      </w:tr>
      <w:tr w:rsidR="000430A4" w:rsidRPr="00412F7C" w:rsidTr="002F32F0">
        <w:trPr>
          <w:trHeight w:val="252"/>
        </w:trPr>
        <w:tc>
          <w:tcPr>
            <w:tcW w:w="4893" w:type="dxa"/>
            <w:tcBorders>
              <w:top w:val="nil"/>
              <w:left w:val="single" w:sz="4" w:space="0" w:color="auto"/>
              <w:bottom w:val="nil"/>
              <w:right w:val="nil"/>
            </w:tcBorders>
            <w:shd w:val="clear" w:color="000000" w:fill="DBE5F1"/>
            <w:hideMark/>
          </w:tcPr>
          <w:p w:rsidR="000430A4" w:rsidRPr="00412F7C" w:rsidRDefault="000430A4" w:rsidP="002F32F0">
            <w:pPr>
              <w:spacing w:after="0" w:line="240" w:lineRule="auto"/>
              <w:rPr>
                <w:rFonts w:ascii="Calibri" w:eastAsia="Times New Roman" w:hAnsi="Calibri" w:cs="Times New Roman"/>
                <w:color w:val="000000"/>
              </w:rPr>
            </w:pPr>
            <w:r w:rsidRPr="00412F7C">
              <w:rPr>
                <w:rFonts w:ascii="Calibri" w:eastAsia="Times New Roman" w:hAnsi="Calibri" w:cs="Times New Roman"/>
                <w:color w:val="000000"/>
              </w:rPr>
              <w:t>Completed requests</w:t>
            </w:r>
          </w:p>
        </w:tc>
        <w:tc>
          <w:tcPr>
            <w:tcW w:w="1312" w:type="dxa"/>
            <w:tcBorders>
              <w:top w:val="nil"/>
              <w:left w:val="nil"/>
              <w:bottom w:val="nil"/>
              <w:right w:val="nil"/>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458</w:t>
            </w:r>
          </w:p>
        </w:tc>
        <w:tc>
          <w:tcPr>
            <w:tcW w:w="1991" w:type="dxa"/>
            <w:tcBorders>
              <w:top w:val="nil"/>
              <w:left w:val="nil"/>
              <w:bottom w:val="nil"/>
              <w:right w:val="nil"/>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573</w:t>
            </w:r>
          </w:p>
        </w:tc>
        <w:tc>
          <w:tcPr>
            <w:tcW w:w="1312" w:type="dxa"/>
            <w:tcBorders>
              <w:top w:val="nil"/>
              <w:left w:val="nil"/>
              <w:bottom w:val="nil"/>
              <w:right w:val="single" w:sz="4" w:space="0" w:color="auto"/>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482</w:t>
            </w:r>
          </w:p>
        </w:tc>
      </w:tr>
      <w:tr w:rsidR="000430A4" w:rsidRPr="00412F7C" w:rsidTr="002F32F0">
        <w:trPr>
          <w:trHeight w:val="263"/>
        </w:trPr>
        <w:tc>
          <w:tcPr>
            <w:tcW w:w="4893" w:type="dxa"/>
            <w:tcBorders>
              <w:top w:val="nil"/>
              <w:left w:val="single" w:sz="4" w:space="0" w:color="auto"/>
              <w:right w:val="nil"/>
            </w:tcBorders>
            <w:shd w:val="clear" w:color="auto" w:fill="auto"/>
            <w:hideMark/>
          </w:tcPr>
          <w:p w:rsidR="000430A4" w:rsidRPr="00412F7C" w:rsidRDefault="000430A4" w:rsidP="002F32F0">
            <w:pPr>
              <w:spacing w:after="0" w:line="240" w:lineRule="auto"/>
              <w:rPr>
                <w:rFonts w:ascii="Calibri" w:eastAsia="Times New Roman" w:hAnsi="Calibri" w:cs="Times New Roman"/>
                <w:color w:val="000000"/>
              </w:rPr>
            </w:pPr>
            <w:r w:rsidRPr="00412F7C">
              <w:rPr>
                <w:rFonts w:ascii="Calibri" w:eastAsia="Times New Roman" w:hAnsi="Calibri" w:cs="Times New Roman"/>
                <w:color w:val="000000"/>
              </w:rPr>
              <w:t>Annual change</w:t>
            </w:r>
            <w:r>
              <w:rPr>
                <w:rFonts w:ascii="Calibri" w:eastAsia="Times New Roman" w:hAnsi="Calibri" w:cs="Times New Roman"/>
                <w:color w:val="000000"/>
              </w:rPr>
              <w:t xml:space="preserve"> (%)</w:t>
            </w:r>
          </w:p>
        </w:tc>
        <w:tc>
          <w:tcPr>
            <w:tcW w:w="1312" w:type="dxa"/>
            <w:tcBorders>
              <w:top w:val="nil"/>
              <w:left w:val="nil"/>
              <w:right w:val="nil"/>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w:t>
            </w:r>
          </w:p>
        </w:tc>
        <w:tc>
          <w:tcPr>
            <w:tcW w:w="1991" w:type="dxa"/>
            <w:tcBorders>
              <w:top w:val="nil"/>
              <w:left w:val="nil"/>
              <w:right w:val="nil"/>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25.1%</w:t>
            </w:r>
          </w:p>
        </w:tc>
        <w:tc>
          <w:tcPr>
            <w:tcW w:w="1312" w:type="dxa"/>
            <w:tcBorders>
              <w:top w:val="nil"/>
              <w:left w:val="nil"/>
              <w:right w:val="single" w:sz="4" w:space="0" w:color="auto"/>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-15.9%</w:t>
            </w:r>
          </w:p>
        </w:tc>
      </w:tr>
      <w:tr w:rsidR="000430A4" w:rsidRPr="00412F7C" w:rsidTr="002F32F0">
        <w:trPr>
          <w:trHeight w:val="478"/>
        </w:trPr>
        <w:tc>
          <w:tcPr>
            <w:tcW w:w="4893" w:type="dxa"/>
            <w:tcBorders>
              <w:top w:val="nil"/>
              <w:left w:val="single" w:sz="4" w:space="0" w:color="auto"/>
              <w:right w:val="nil"/>
            </w:tcBorders>
            <w:shd w:val="clear" w:color="000000" w:fill="DBE5F1"/>
            <w:hideMark/>
          </w:tcPr>
          <w:p w:rsidR="000430A4" w:rsidRPr="00412F7C" w:rsidRDefault="000430A4" w:rsidP="002F32F0">
            <w:pPr>
              <w:spacing w:after="0" w:line="240" w:lineRule="auto"/>
              <w:rPr>
                <w:rFonts w:ascii="Calibri" w:eastAsia="Times New Roman" w:hAnsi="Calibri" w:cs="Times New Roman"/>
                <w:color w:val="000000"/>
              </w:rPr>
            </w:pPr>
            <w:r w:rsidRPr="00412F7C">
              <w:rPr>
                <w:rFonts w:ascii="Calibri" w:eastAsia="Times New Roman" w:hAnsi="Calibri" w:cs="Times New Roman"/>
                <w:color w:val="000000"/>
              </w:rPr>
              <w:t>Number of consultations received (from other government institutions)</w:t>
            </w:r>
          </w:p>
        </w:tc>
        <w:tc>
          <w:tcPr>
            <w:tcW w:w="1312" w:type="dxa"/>
            <w:tcBorders>
              <w:top w:val="nil"/>
              <w:left w:val="nil"/>
              <w:right w:val="nil"/>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261</w:t>
            </w:r>
          </w:p>
        </w:tc>
        <w:tc>
          <w:tcPr>
            <w:tcW w:w="1991" w:type="dxa"/>
            <w:tcBorders>
              <w:top w:val="nil"/>
              <w:left w:val="nil"/>
              <w:right w:val="nil"/>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189</w:t>
            </w:r>
          </w:p>
        </w:tc>
        <w:tc>
          <w:tcPr>
            <w:tcW w:w="1312" w:type="dxa"/>
            <w:tcBorders>
              <w:top w:val="nil"/>
              <w:left w:val="nil"/>
              <w:right w:val="single" w:sz="4" w:space="0" w:color="auto"/>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159</w:t>
            </w:r>
          </w:p>
        </w:tc>
      </w:tr>
      <w:tr w:rsidR="000430A4" w:rsidRPr="00412F7C" w:rsidTr="002F32F0">
        <w:trPr>
          <w:trHeight w:val="401"/>
        </w:trPr>
        <w:tc>
          <w:tcPr>
            <w:tcW w:w="4893" w:type="dxa"/>
            <w:tcBorders>
              <w:top w:val="nil"/>
              <w:left w:val="single" w:sz="4" w:space="0" w:color="auto"/>
              <w:right w:val="nil"/>
            </w:tcBorders>
            <w:shd w:val="clear" w:color="auto" w:fill="auto"/>
            <w:hideMark/>
          </w:tcPr>
          <w:p w:rsidR="000430A4" w:rsidRPr="00412F7C" w:rsidRDefault="000430A4" w:rsidP="002F32F0">
            <w:pPr>
              <w:spacing w:after="0" w:line="240" w:lineRule="auto"/>
              <w:rPr>
                <w:rFonts w:ascii="Calibri" w:eastAsia="Times New Roman" w:hAnsi="Calibri" w:cs="Times New Roman"/>
                <w:color w:val="000000"/>
              </w:rPr>
            </w:pPr>
            <w:r w:rsidRPr="00412F7C">
              <w:rPr>
                <w:rFonts w:ascii="Calibri" w:eastAsia="Times New Roman" w:hAnsi="Calibri" w:cs="Times New Roman"/>
                <w:color w:val="000000"/>
              </w:rPr>
              <w:t>Annual change (%)</w:t>
            </w:r>
          </w:p>
        </w:tc>
        <w:tc>
          <w:tcPr>
            <w:tcW w:w="1312" w:type="dxa"/>
            <w:tcBorders>
              <w:top w:val="nil"/>
              <w:left w:val="nil"/>
              <w:right w:val="nil"/>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w:t>
            </w:r>
          </w:p>
        </w:tc>
        <w:tc>
          <w:tcPr>
            <w:tcW w:w="1991" w:type="dxa"/>
            <w:tcBorders>
              <w:top w:val="nil"/>
              <w:left w:val="nil"/>
              <w:right w:val="nil"/>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-27.6%</w:t>
            </w:r>
          </w:p>
        </w:tc>
        <w:tc>
          <w:tcPr>
            <w:tcW w:w="1312" w:type="dxa"/>
            <w:tcBorders>
              <w:top w:val="nil"/>
              <w:left w:val="nil"/>
              <w:right w:val="single" w:sz="4" w:space="0" w:color="auto"/>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-15.9%</w:t>
            </w:r>
          </w:p>
        </w:tc>
      </w:tr>
      <w:tr w:rsidR="000430A4" w:rsidRPr="00412F7C" w:rsidTr="002F32F0">
        <w:trPr>
          <w:trHeight w:val="515"/>
        </w:trPr>
        <w:tc>
          <w:tcPr>
            <w:tcW w:w="4893" w:type="dxa"/>
            <w:tcBorders>
              <w:left w:val="single" w:sz="4" w:space="0" w:color="auto"/>
              <w:bottom w:val="nil"/>
              <w:right w:val="nil"/>
            </w:tcBorders>
            <w:shd w:val="clear" w:color="000000" w:fill="DBE5F1"/>
            <w:hideMark/>
          </w:tcPr>
          <w:p w:rsidR="000430A4" w:rsidRPr="00412F7C" w:rsidRDefault="000430A4" w:rsidP="002F32F0">
            <w:pPr>
              <w:spacing w:after="0" w:line="240" w:lineRule="auto"/>
              <w:rPr>
                <w:rFonts w:ascii="Calibri" w:eastAsia="Times New Roman" w:hAnsi="Calibri" w:cs="Times New Roman"/>
                <w:color w:val="000000"/>
              </w:rPr>
            </w:pPr>
            <w:r w:rsidRPr="00412F7C">
              <w:rPr>
                <w:rFonts w:ascii="Calibri" w:eastAsia="Times New Roman" w:hAnsi="Calibri" w:cs="Times New Roman"/>
                <w:color w:val="000000"/>
              </w:rPr>
              <w:t>Average number of pages processed per request completed</w:t>
            </w:r>
          </w:p>
        </w:tc>
        <w:tc>
          <w:tcPr>
            <w:tcW w:w="1312" w:type="dxa"/>
            <w:tcBorders>
              <w:left w:val="nil"/>
              <w:bottom w:val="nil"/>
              <w:right w:val="nil"/>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135</w:t>
            </w:r>
          </w:p>
        </w:tc>
        <w:tc>
          <w:tcPr>
            <w:tcW w:w="1991" w:type="dxa"/>
            <w:tcBorders>
              <w:left w:val="nil"/>
              <w:bottom w:val="nil"/>
              <w:right w:val="nil"/>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130</w:t>
            </w:r>
          </w:p>
        </w:tc>
        <w:tc>
          <w:tcPr>
            <w:tcW w:w="1312" w:type="dxa"/>
            <w:tcBorders>
              <w:left w:val="nil"/>
              <w:bottom w:val="nil"/>
              <w:right w:val="single" w:sz="4" w:space="0" w:color="auto"/>
            </w:tcBorders>
            <w:shd w:val="clear" w:color="000000" w:fill="DBE5F1"/>
            <w:noWrap/>
            <w:vAlign w:val="center"/>
            <w:hideMark/>
          </w:tcPr>
          <w:p w:rsidR="000430A4" w:rsidRPr="00412F7C" w:rsidRDefault="000430A4" w:rsidP="002F32F0">
            <w:pPr>
              <w:spacing w:after="0" w:line="240" w:lineRule="auto"/>
              <w:jc w:val="center"/>
              <w:rPr>
                <w:rFonts w:ascii="Calibri" w:eastAsia="Times New Roman" w:hAnsi="Calibri" w:cs="Times New Roman"/>
                <w:b/>
                <w:bCs/>
                <w:color w:val="000000"/>
              </w:rPr>
            </w:pPr>
            <w:r w:rsidRPr="00412F7C">
              <w:rPr>
                <w:rFonts w:ascii="Calibri" w:eastAsia="Times New Roman" w:hAnsi="Calibri" w:cs="Times New Roman"/>
                <w:b/>
                <w:bCs/>
                <w:color w:val="000000"/>
              </w:rPr>
              <w:t>136</w:t>
            </w:r>
          </w:p>
        </w:tc>
      </w:tr>
      <w:tr w:rsidR="000430A4" w:rsidRPr="00412F7C" w:rsidTr="002F32F0">
        <w:trPr>
          <w:trHeight w:val="453"/>
        </w:trPr>
        <w:tc>
          <w:tcPr>
            <w:tcW w:w="4893" w:type="dxa"/>
            <w:tcBorders>
              <w:top w:val="nil"/>
              <w:left w:val="single" w:sz="4" w:space="0" w:color="auto"/>
              <w:bottom w:val="single" w:sz="4" w:space="0" w:color="auto"/>
              <w:right w:val="nil"/>
            </w:tcBorders>
            <w:shd w:val="clear" w:color="auto" w:fill="auto"/>
            <w:hideMark/>
          </w:tcPr>
          <w:p w:rsidR="000430A4" w:rsidRPr="00412F7C" w:rsidRDefault="000430A4" w:rsidP="002F32F0">
            <w:pPr>
              <w:spacing w:after="0" w:line="240" w:lineRule="auto"/>
              <w:rPr>
                <w:rFonts w:ascii="Calibri" w:eastAsia="Times New Roman" w:hAnsi="Calibri" w:cs="Times New Roman"/>
                <w:color w:val="000000"/>
              </w:rPr>
            </w:pPr>
            <w:r w:rsidRPr="00412F7C">
              <w:rPr>
                <w:rFonts w:ascii="Calibri" w:eastAsia="Times New Roman" w:hAnsi="Calibri" w:cs="Times New Roman"/>
                <w:color w:val="000000"/>
              </w:rPr>
              <w:t>% of requests for which more than 1</w:t>
            </w:r>
            <w:r w:rsidR="0005646E">
              <w:rPr>
                <w:rFonts w:ascii="Calibri" w:eastAsia="Times New Roman" w:hAnsi="Calibri" w:cs="Times New Roman"/>
                <w:color w:val="000000"/>
              </w:rPr>
              <w:t>,</w:t>
            </w:r>
            <w:r w:rsidRPr="00412F7C">
              <w:rPr>
                <w:rFonts w:ascii="Calibri" w:eastAsia="Times New Roman" w:hAnsi="Calibri" w:cs="Times New Roman"/>
                <w:color w:val="000000"/>
              </w:rPr>
              <w:t>000 pages were processed</w:t>
            </w:r>
          </w:p>
        </w:tc>
        <w:tc>
          <w:tcPr>
            <w:tcW w:w="1312" w:type="dxa"/>
            <w:tcBorders>
              <w:top w:val="nil"/>
              <w:left w:val="nil"/>
              <w:bottom w:val="single" w:sz="4" w:space="0" w:color="auto"/>
              <w:right w:val="nil"/>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2.2%</w:t>
            </w:r>
          </w:p>
        </w:tc>
        <w:tc>
          <w:tcPr>
            <w:tcW w:w="1991" w:type="dxa"/>
            <w:tcBorders>
              <w:top w:val="nil"/>
              <w:left w:val="nil"/>
              <w:bottom w:val="single" w:sz="4" w:space="0" w:color="auto"/>
              <w:right w:val="nil"/>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2.7%</w:t>
            </w:r>
          </w:p>
        </w:tc>
        <w:tc>
          <w:tcPr>
            <w:tcW w:w="1312" w:type="dxa"/>
            <w:tcBorders>
              <w:top w:val="nil"/>
              <w:left w:val="nil"/>
              <w:bottom w:val="single" w:sz="4" w:space="0" w:color="auto"/>
              <w:right w:val="single" w:sz="4" w:space="0" w:color="auto"/>
            </w:tcBorders>
            <w:shd w:val="clear" w:color="auto" w:fill="auto"/>
            <w:noWrap/>
            <w:vAlign w:val="center"/>
            <w:hideMark/>
          </w:tcPr>
          <w:p w:rsidR="000430A4" w:rsidRPr="00412F7C" w:rsidRDefault="000430A4" w:rsidP="002F32F0">
            <w:pPr>
              <w:spacing w:after="0" w:line="240" w:lineRule="auto"/>
              <w:jc w:val="center"/>
              <w:rPr>
                <w:rFonts w:ascii="Calibri" w:eastAsia="Times New Roman" w:hAnsi="Calibri" w:cs="Times New Roman"/>
                <w:color w:val="000000"/>
              </w:rPr>
            </w:pPr>
            <w:r w:rsidRPr="00412F7C">
              <w:rPr>
                <w:rFonts w:ascii="Calibri" w:eastAsia="Times New Roman" w:hAnsi="Calibri" w:cs="Times New Roman"/>
                <w:color w:val="000000"/>
              </w:rPr>
              <w:t>1.7%</w:t>
            </w:r>
          </w:p>
        </w:tc>
      </w:tr>
    </w:tbl>
    <w:p w:rsidR="000430A4" w:rsidRPr="00A42C23" w:rsidRDefault="0005646E" w:rsidP="000430A4">
      <w:pPr>
        <w:pStyle w:val="Heading2"/>
      </w:pPr>
      <w:r>
        <w:t>Request</w:t>
      </w:r>
      <w:r w:rsidR="000430A4" w:rsidRPr="00A42C23">
        <w:t xml:space="preserve"> completion time</w:t>
      </w:r>
    </w:p>
    <w:p w:rsidR="000430A4" w:rsidRPr="004D30BF" w:rsidRDefault="000430A4" w:rsidP="000430A4">
      <w:pPr>
        <w:pStyle w:val="Heading4"/>
      </w:pPr>
      <w:r w:rsidRPr="004D30BF">
        <w:t>Timeliness</w:t>
      </w:r>
    </w:p>
    <w:p w:rsidR="000430A4" w:rsidRPr="00376536" w:rsidRDefault="000430A4" w:rsidP="000430A4">
      <w:pPr>
        <w:jc w:val="both"/>
      </w:pPr>
      <w:r w:rsidRPr="00376536">
        <w:t xml:space="preserve">Figure 1 </w:t>
      </w:r>
      <w:r>
        <w:t xml:space="preserve">shows </w:t>
      </w:r>
      <w:r w:rsidRPr="00376536">
        <w:t xml:space="preserve">that </w:t>
      </w:r>
      <w:r>
        <w:t>53.1</w:t>
      </w:r>
      <w:r w:rsidRPr="00376536">
        <w:t>%</w:t>
      </w:r>
      <w:r>
        <w:t xml:space="preserve"> of requests were completed </w:t>
      </w:r>
      <w:r w:rsidRPr="00376536">
        <w:t xml:space="preserve">in 30 days or less, which is slightly </w:t>
      </w:r>
      <w:r>
        <w:t xml:space="preserve">lower </w:t>
      </w:r>
      <w:r w:rsidRPr="00376536">
        <w:t>than the results observed in 2013-2014 (</w:t>
      </w:r>
      <w:r>
        <w:t>56.7</w:t>
      </w:r>
      <w:r w:rsidRPr="00376536">
        <w:t xml:space="preserve">%). </w:t>
      </w:r>
      <w:r>
        <w:t>The proportion of requests completed between 31 and 60 days increased slightly by 1.4%. We also saw a marginal reduction in the percentage of requests completed in more than 365 days.</w:t>
      </w:r>
    </w:p>
    <w:p w:rsidR="000430A4" w:rsidRPr="005003C0" w:rsidRDefault="000430A4" w:rsidP="000430A4">
      <w:pPr>
        <w:pStyle w:val="Heading3"/>
        <w:spacing w:after="200"/>
        <w:rPr>
          <w:sz w:val="24"/>
          <w:szCs w:val="24"/>
        </w:rPr>
      </w:pPr>
      <w:r w:rsidRPr="008F3C98">
        <w:t>Figure 1: Request Completion T</w:t>
      </w:r>
      <w:r>
        <w:t>ime</w:t>
      </w:r>
      <w:r w:rsidRPr="00952DE2">
        <w:rPr>
          <w:noProof/>
          <w:color w:val="FF0000"/>
          <w:sz w:val="24"/>
          <w:szCs w:val="24"/>
        </w:rPr>
        <w:drawing>
          <wp:inline distT="0" distB="0" distL="0" distR="0">
            <wp:extent cx="5947576" cy="4039263"/>
            <wp:effectExtent l="0" t="0" r="0" b="0"/>
            <wp:docPr id="7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0430A4" w:rsidRPr="00D2368F" w:rsidRDefault="000430A4" w:rsidP="000430A4">
      <w:pPr>
        <w:pStyle w:val="Heading4"/>
      </w:pPr>
      <w:r w:rsidRPr="00D2368F">
        <w:t>Extensions</w:t>
      </w:r>
    </w:p>
    <w:p w:rsidR="000430A4" w:rsidRPr="000E36DC" w:rsidRDefault="000430A4" w:rsidP="000430A4">
      <w:pPr>
        <w:jc w:val="both"/>
      </w:pPr>
      <w:r w:rsidRPr="000E36DC">
        <w:t>FIN took a total of 255 extensions in 2014-2015 compared to 299 in 2013-2014. Most extensions were for consultations (61.2%), followed by interference with operations (20.0%), and third-party notice (18.8%).</w:t>
      </w:r>
    </w:p>
    <w:p w:rsidR="000430A4" w:rsidRPr="000E36DC" w:rsidRDefault="000430A4" w:rsidP="000430A4">
      <w:pPr>
        <w:jc w:val="both"/>
      </w:pPr>
      <w:r w:rsidRPr="000E36DC">
        <w:t>Figure 2 shows that 30.2% of extensions were taken for 30 days or less, which is an increase of 7.1% from the previous period. Figure 2 also shows that the proportion of extensions taken between 31 and 60 days in 2014-2015 decreased significantly by 23.9% since 2012-2013. No extensions were taken for more than 180 days in 2014-2015.</w:t>
      </w:r>
    </w:p>
    <w:p w:rsidR="000430A4" w:rsidRDefault="000430A4" w:rsidP="000430A4">
      <w:pPr>
        <w:pStyle w:val="Heading3"/>
        <w:spacing w:after="200"/>
      </w:pPr>
      <w:r w:rsidRPr="008F3C98">
        <w:t>Figure 2: Length of E</w:t>
      </w:r>
      <w:r>
        <w:t>xtensions</w:t>
      </w:r>
      <w:r w:rsidRPr="00952DE2">
        <w:rPr>
          <w:noProof/>
        </w:rPr>
        <w:drawing>
          <wp:inline distT="0" distB="0" distL="0" distR="0">
            <wp:extent cx="5947576" cy="4277802"/>
            <wp:effectExtent l="0" t="0" r="15240" b="27940"/>
            <wp:docPr id="7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0430A4" w:rsidRPr="00D2368F" w:rsidRDefault="000430A4" w:rsidP="000430A4">
      <w:pPr>
        <w:pStyle w:val="Heading4"/>
      </w:pPr>
      <w:r>
        <w:t>Deemed refusals</w:t>
      </w:r>
    </w:p>
    <w:p w:rsidR="000430A4" w:rsidRPr="000E36DC" w:rsidRDefault="000430A4" w:rsidP="000430A4">
      <w:pPr>
        <w:jc w:val="both"/>
      </w:pPr>
      <w:r w:rsidRPr="000E36DC">
        <w:t>In 2014-2015, the number of requests closed past the statutory deadline was 37, which accounts for 7.7% of completed request. This rate represents a “B” grade.</w:t>
      </w:r>
      <w:r w:rsidRPr="000E36DC">
        <w:rPr>
          <w:rStyle w:val="FootnoteReference"/>
        </w:rPr>
        <w:footnoteReference w:id="87"/>
      </w:r>
      <w:r w:rsidRPr="000E36DC">
        <w:t xml:space="preserve"> The most common reasons for overdue requests were external consultations (24.3%), internal consultations (18.9%), others (43.2%) and workload (13.5%).</w:t>
      </w:r>
    </w:p>
    <w:p w:rsidR="000430A4" w:rsidRPr="000E36DC" w:rsidRDefault="000430A4" w:rsidP="000430A4">
      <w:pPr>
        <w:jc w:val="both"/>
      </w:pPr>
      <w:r w:rsidRPr="000E36DC">
        <w:t>Figure 3 shows that 48.7% of the overdue requests were late by 15 days or less and 13.5% of were late between 16 and 30 days. In total, 62.2% of overdue requests were late by 30 days or less.</w:t>
      </w:r>
    </w:p>
    <w:p w:rsidR="000430A4" w:rsidRPr="002117F9" w:rsidRDefault="000430A4" w:rsidP="000430A4">
      <w:pPr>
        <w:pStyle w:val="Heading3"/>
        <w:spacing w:after="200"/>
      </w:pPr>
      <w:r w:rsidRPr="008F3C98">
        <w:t>Figure 3: Lateness of Overdue Requests</w:t>
      </w:r>
      <w:r w:rsidRPr="0022012D">
        <w:rPr>
          <w:noProof/>
        </w:rPr>
        <w:drawing>
          <wp:inline distT="0" distB="0" distL="0" distR="0">
            <wp:extent cx="6066845" cy="4015408"/>
            <wp:effectExtent l="0" t="0" r="0" b="4445"/>
            <wp:docPr id="7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0430A4" w:rsidRPr="00A42C23" w:rsidRDefault="000430A4" w:rsidP="000430A4">
      <w:pPr>
        <w:pStyle w:val="Heading2"/>
      </w:pPr>
      <w:r w:rsidRPr="00A42C23">
        <w:t>Disclosure</w:t>
      </w:r>
    </w:p>
    <w:p w:rsidR="000430A4" w:rsidRPr="00D2368F" w:rsidRDefault="000430A4" w:rsidP="000430A4">
      <w:pPr>
        <w:pStyle w:val="Heading4"/>
      </w:pPr>
      <w:r w:rsidRPr="00D2368F">
        <w:t xml:space="preserve">Percentage of requests for </w:t>
      </w:r>
      <w:r>
        <w:t>which information was disclosed</w:t>
      </w:r>
    </w:p>
    <w:p w:rsidR="000430A4" w:rsidRPr="004104B6" w:rsidRDefault="000430A4" w:rsidP="000430A4">
      <w:pPr>
        <w:jc w:val="both"/>
      </w:pPr>
      <w:r w:rsidRPr="004104B6">
        <w:t xml:space="preserve">In 2014-2015, </w:t>
      </w:r>
      <w:r>
        <w:t xml:space="preserve">42 of completed requests </w:t>
      </w:r>
      <w:r w:rsidRPr="004104B6">
        <w:t>were entirely disclosed,</w:t>
      </w:r>
      <w:r>
        <w:t xml:space="preserve"> representing 8.7% of all completed requests. This</w:t>
      </w:r>
      <w:r w:rsidRPr="004104B6">
        <w:t xml:space="preserve"> is </w:t>
      </w:r>
      <w:r>
        <w:t xml:space="preserve">the lowest disclosure rate since 2012 </w:t>
      </w:r>
      <w:r w:rsidRPr="004104B6">
        <w:t xml:space="preserve">(see Figure 4). Figure 4 also shows that the rate for partially disclosed requests was </w:t>
      </w:r>
      <w:r>
        <w:t>61.8</w:t>
      </w:r>
      <w:r w:rsidRPr="004104B6">
        <w:t xml:space="preserve">% in 2014-2015, which is </w:t>
      </w:r>
      <w:r>
        <w:t>similar to the previous two periods.</w:t>
      </w:r>
    </w:p>
    <w:p w:rsidR="000430A4" w:rsidRDefault="000430A4" w:rsidP="000430A4">
      <w:pPr>
        <w:pStyle w:val="Heading3"/>
        <w:spacing w:after="200"/>
      </w:pPr>
      <w:r w:rsidRPr="008F3C98">
        <w:t>Figure 4: Level of Disclosure</w:t>
      </w:r>
      <w:r w:rsidRPr="00952DE2">
        <w:rPr>
          <w:noProof/>
        </w:rPr>
        <w:drawing>
          <wp:inline distT="0" distB="0" distL="0" distR="0">
            <wp:extent cx="5947576" cy="4118776"/>
            <wp:effectExtent l="0" t="0" r="0" b="0"/>
            <wp:docPr id="7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0430A4" w:rsidRPr="00D2368F" w:rsidRDefault="000430A4" w:rsidP="000430A4">
      <w:pPr>
        <w:pStyle w:val="Heading4"/>
      </w:pPr>
      <w:r>
        <w:t>Exemptions</w:t>
      </w:r>
    </w:p>
    <w:p w:rsidR="000430A4" w:rsidRPr="006968CA" w:rsidRDefault="000430A4" w:rsidP="000430A4">
      <w:pPr>
        <w:jc w:val="both"/>
      </w:pPr>
      <w:r w:rsidRPr="006968CA">
        <w:t xml:space="preserve">The </w:t>
      </w:r>
      <w:r>
        <w:t xml:space="preserve">average </w:t>
      </w:r>
      <w:r w:rsidRPr="006968CA">
        <w:t>number of exemption</w:t>
      </w:r>
      <w:r>
        <w:t>s</w:t>
      </w:r>
      <w:r w:rsidRPr="006968CA">
        <w:t xml:space="preserve"> used per completed request decreased </w:t>
      </w:r>
      <w:r>
        <w:t xml:space="preserve">from 3.22 in 2013-2014 to 2.97 </w:t>
      </w:r>
      <w:r w:rsidRPr="006968CA">
        <w:t>in 2014-2015</w:t>
      </w:r>
      <w:r>
        <w:t xml:space="preserve"> (see Table 2).</w:t>
      </w:r>
    </w:p>
    <w:p w:rsidR="000430A4" w:rsidRDefault="000430A4" w:rsidP="000430A4">
      <w:pPr>
        <w:jc w:val="both"/>
      </w:pPr>
      <w:r w:rsidRPr="006968CA">
        <w:t xml:space="preserve">The most used exemptions in 2014-2015 </w:t>
      </w:r>
      <w:r w:rsidRPr="008F3C98">
        <w:t>were for section 21 (Operations of Government) (39</w:t>
      </w:r>
      <w:r>
        <w:t>.9</w:t>
      </w:r>
      <w:r w:rsidRPr="008F3C98">
        <w:t>%), section 20 (Third-Party Information) (</w:t>
      </w:r>
      <w:r>
        <w:t>10.6</w:t>
      </w:r>
      <w:r w:rsidRPr="008F3C98">
        <w:t>%) and section 14 (Federal-Provincial Affairs) (</w:t>
      </w:r>
      <w:r>
        <w:t>10.8</w:t>
      </w:r>
      <w:r w:rsidRPr="008F3C98">
        <w:t xml:space="preserve">%). In general, we observed an increase in the use of exemptions </w:t>
      </w:r>
      <w:r>
        <w:t>compared to previous period.</w:t>
      </w:r>
    </w:p>
    <w:p w:rsidR="000430A4" w:rsidRDefault="000430A4" w:rsidP="000430A4">
      <w:pPr>
        <w:pStyle w:val="Heading3"/>
      </w:pPr>
      <w:r w:rsidRPr="00916BD0">
        <w:t xml:space="preserve">Table </w:t>
      </w:r>
      <w:r>
        <w:t>2</w:t>
      </w:r>
      <w:r w:rsidRPr="00916BD0">
        <w:t>: Exemptions</w:t>
      </w:r>
    </w:p>
    <w:tbl>
      <w:tblPr>
        <w:tblW w:w="9492" w:type="dxa"/>
        <w:tblInd w:w="98" w:type="dxa"/>
        <w:tblLook w:val="04A0"/>
      </w:tblPr>
      <w:tblGrid>
        <w:gridCol w:w="5079"/>
        <w:gridCol w:w="1255"/>
        <w:gridCol w:w="1903"/>
        <w:gridCol w:w="1255"/>
      </w:tblGrid>
      <w:tr w:rsidR="000430A4" w:rsidRPr="00F264B1" w:rsidTr="002F32F0">
        <w:trPr>
          <w:trHeight w:val="301"/>
        </w:trPr>
        <w:tc>
          <w:tcPr>
            <w:tcW w:w="5079"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F264B1" w:rsidRDefault="000430A4" w:rsidP="002F32F0">
            <w:pPr>
              <w:spacing w:after="0" w:line="240" w:lineRule="auto"/>
              <w:rPr>
                <w:rFonts w:ascii="Calibri" w:eastAsia="Times New Roman" w:hAnsi="Calibri" w:cs="Times New Roman"/>
                <w:color w:val="000000"/>
              </w:rPr>
            </w:pPr>
            <w:r w:rsidRPr="00F264B1">
              <w:rPr>
                <w:rFonts w:ascii="Calibri" w:eastAsia="Times New Roman" w:hAnsi="Calibri" w:cs="Times New Roman"/>
                <w:color w:val="000000"/>
              </w:rPr>
              <w:t xml:space="preserve">Exemptions </w:t>
            </w:r>
          </w:p>
        </w:tc>
        <w:tc>
          <w:tcPr>
            <w:tcW w:w="1255" w:type="dxa"/>
            <w:tcBorders>
              <w:top w:val="single" w:sz="8" w:space="0" w:color="auto"/>
              <w:left w:val="nil"/>
              <w:bottom w:val="single" w:sz="8" w:space="0" w:color="auto"/>
              <w:right w:val="nil"/>
            </w:tcBorders>
            <w:shd w:val="clear" w:color="000000" w:fill="DBE5F1"/>
            <w:noWrap/>
            <w:vAlign w:val="bottom"/>
            <w:hideMark/>
          </w:tcPr>
          <w:p w:rsidR="000430A4" w:rsidRPr="00F264B1" w:rsidRDefault="000430A4" w:rsidP="002F32F0">
            <w:pPr>
              <w:spacing w:after="0" w:line="240" w:lineRule="auto"/>
              <w:jc w:val="center"/>
              <w:rPr>
                <w:rFonts w:ascii="Calibri" w:eastAsia="Times New Roman" w:hAnsi="Calibri" w:cs="Times New Roman"/>
                <w:b/>
                <w:bCs/>
                <w:color w:val="000000"/>
              </w:rPr>
            </w:pPr>
            <w:r w:rsidRPr="00F264B1">
              <w:rPr>
                <w:rFonts w:ascii="Calibri" w:eastAsia="Times New Roman" w:hAnsi="Calibri" w:cs="Times New Roman"/>
                <w:b/>
                <w:bCs/>
                <w:color w:val="000000"/>
              </w:rPr>
              <w:t>2012-2013</w:t>
            </w:r>
          </w:p>
        </w:tc>
        <w:tc>
          <w:tcPr>
            <w:tcW w:w="1903" w:type="dxa"/>
            <w:tcBorders>
              <w:top w:val="single" w:sz="8" w:space="0" w:color="auto"/>
              <w:left w:val="nil"/>
              <w:bottom w:val="single" w:sz="8" w:space="0" w:color="auto"/>
              <w:right w:val="nil"/>
            </w:tcBorders>
            <w:shd w:val="clear" w:color="000000" w:fill="DBE5F1"/>
            <w:noWrap/>
            <w:vAlign w:val="bottom"/>
            <w:hideMark/>
          </w:tcPr>
          <w:p w:rsidR="000430A4" w:rsidRPr="00F264B1" w:rsidRDefault="000430A4" w:rsidP="002F32F0">
            <w:pPr>
              <w:spacing w:after="0" w:line="240" w:lineRule="auto"/>
              <w:jc w:val="center"/>
              <w:rPr>
                <w:rFonts w:ascii="Calibri" w:eastAsia="Times New Roman" w:hAnsi="Calibri" w:cs="Times New Roman"/>
                <w:b/>
                <w:bCs/>
                <w:color w:val="000000"/>
              </w:rPr>
            </w:pPr>
            <w:r w:rsidRPr="00F264B1">
              <w:rPr>
                <w:rFonts w:ascii="Calibri" w:eastAsia="Times New Roman" w:hAnsi="Calibri" w:cs="Times New Roman"/>
                <w:b/>
                <w:bCs/>
                <w:color w:val="000000"/>
              </w:rPr>
              <w:t>2013-2014</w:t>
            </w:r>
          </w:p>
        </w:tc>
        <w:tc>
          <w:tcPr>
            <w:tcW w:w="1255"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F264B1" w:rsidRDefault="000430A4" w:rsidP="002F32F0">
            <w:pPr>
              <w:spacing w:after="0" w:line="240" w:lineRule="auto"/>
              <w:jc w:val="center"/>
              <w:rPr>
                <w:rFonts w:ascii="Calibri" w:eastAsia="Times New Roman" w:hAnsi="Calibri" w:cs="Times New Roman"/>
                <w:b/>
                <w:bCs/>
                <w:color w:val="000000"/>
              </w:rPr>
            </w:pPr>
            <w:r w:rsidRPr="00F264B1">
              <w:rPr>
                <w:rFonts w:ascii="Calibri" w:eastAsia="Times New Roman" w:hAnsi="Calibri" w:cs="Times New Roman"/>
                <w:b/>
                <w:bCs/>
                <w:color w:val="000000"/>
              </w:rPr>
              <w:t>2014-2015</w:t>
            </w:r>
          </w:p>
        </w:tc>
      </w:tr>
      <w:tr w:rsidR="000430A4" w:rsidRPr="00F264B1" w:rsidTr="002F32F0">
        <w:trPr>
          <w:trHeight w:val="287"/>
        </w:trPr>
        <w:tc>
          <w:tcPr>
            <w:tcW w:w="5079" w:type="dxa"/>
            <w:tcBorders>
              <w:top w:val="nil"/>
              <w:left w:val="single" w:sz="8" w:space="0" w:color="auto"/>
              <w:bottom w:val="nil"/>
              <w:right w:val="nil"/>
            </w:tcBorders>
            <w:shd w:val="clear" w:color="auto" w:fill="auto"/>
            <w:noWrap/>
            <w:vAlign w:val="bottom"/>
            <w:hideMark/>
          </w:tcPr>
          <w:p w:rsidR="000430A4" w:rsidRPr="00F264B1"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F264B1">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F264B1">
              <w:rPr>
                <w:rFonts w:ascii="Calibri" w:eastAsia="Times New Roman" w:hAnsi="Calibri" w:cs="Times New Roman"/>
                <w:color w:val="000000"/>
              </w:rPr>
              <w:t xml:space="preserve"> </w:t>
            </w:r>
          </w:p>
        </w:tc>
        <w:tc>
          <w:tcPr>
            <w:tcW w:w="1255" w:type="dxa"/>
            <w:tcBorders>
              <w:top w:val="nil"/>
              <w:left w:val="nil"/>
              <w:bottom w:val="nil"/>
              <w:right w:val="nil"/>
            </w:tcBorders>
            <w:shd w:val="clear" w:color="auto" w:fill="auto"/>
            <w:noWrap/>
            <w:vAlign w:val="bottom"/>
            <w:hideMark/>
          </w:tcPr>
          <w:p w:rsidR="000430A4" w:rsidRPr="00F264B1" w:rsidRDefault="000430A4" w:rsidP="002F32F0">
            <w:pPr>
              <w:spacing w:after="0" w:line="240" w:lineRule="auto"/>
              <w:jc w:val="center"/>
              <w:rPr>
                <w:rFonts w:ascii="Calibri" w:eastAsia="Times New Roman" w:hAnsi="Calibri" w:cs="Times New Roman"/>
                <w:color w:val="000000"/>
              </w:rPr>
            </w:pPr>
            <w:r w:rsidRPr="00F264B1">
              <w:rPr>
                <w:rFonts w:ascii="Calibri" w:eastAsia="Times New Roman" w:hAnsi="Calibri" w:cs="Times New Roman"/>
                <w:color w:val="000000"/>
              </w:rPr>
              <w:t>1</w:t>
            </w:r>
            <w:r w:rsidR="0005646E">
              <w:rPr>
                <w:rFonts w:ascii="Calibri" w:eastAsia="Times New Roman" w:hAnsi="Calibri" w:cs="Times New Roman"/>
                <w:color w:val="000000"/>
              </w:rPr>
              <w:t>,</w:t>
            </w:r>
            <w:r w:rsidRPr="00F264B1">
              <w:rPr>
                <w:rFonts w:ascii="Calibri" w:eastAsia="Times New Roman" w:hAnsi="Calibri" w:cs="Times New Roman"/>
                <w:color w:val="000000"/>
              </w:rPr>
              <w:t>289</w:t>
            </w:r>
          </w:p>
        </w:tc>
        <w:tc>
          <w:tcPr>
            <w:tcW w:w="1903" w:type="dxa"/>
            <w:tcBorders>
              <w:top w:val="nil"/>
              <w:left w:val="nil"/>
              <w:bottom w:val="nil"/>
              <w:right w:val="nil"/>
            </w:tcBorders>
            <w:shd w:val="clear" w:color="auto" w:fill="auto"/>
            <w:noWrap/>
            <w:vAlign w:val="bottom"/>
            <w:hideMark/>
          </w:tcPr>
          <w:p w:rsidR="000430A4" w:rsidRPr="00F264B1" w:rsidRDefault="000430A4" w:rsidP="002F32F0">
            <w:pPr>
              <w:spacing w:after="0" w:line="240" w:lineRule="auto"/>
              <w:jc w:val="center"/>
              <w:rPr>
                <w:rFonts w:ascii="Calibri" w:eastAsia="Times New Roman" w:hAnsi="Calibri" w:cs="Times New Roman"/>
                <w:color w:val="000000"/>
              </w:rPr>
            </w:pPr>
            <w:r w:rsidRPr="00F264B1">
              <w:rPr>
                <w:rFonts w:ascii="Calibri" w:eastAsia="Times New Roman" w:hAnsi="Calibri" w:cs="Times New Roman"/>
                <w:color w:val="000000"/>
              </w:rPr>
              <w:t>1</w:t>
            </w:r>
            <w:r w:rsidR="0005646E">
              <w:rPr>
                <w:rFonts w:ascii="Calibri" w:eastAsia="Times New Roman" w:hAnsi="Calibri" w:cs="Times New Roman"/>
                <w:color w:val="000000"/>
              </w:rPr>
              <w:t>,</w:t>
            </w:r>
            <w:r w:rsidRPr="00F264B1">
              <w:rPr>
                <w:rFonts w:ascii="Calibri" w:eastAsia="Times New Roman" w:hAnsi="Calibri" w:cs="Times New Roman"/>
                <w:color w:val="000000"/>
              </w:rPr>
              <w:t>846</w:t>
            </w:r>
          </w:p>
        </w:tc>
        <w:tc>
          <w:tcPr>
            <w:tcW w:w="1255" w:type="dxa"/>
            <w:tcBorders>
              <w:top w:val="nil"/>
              <w:left w:val="nil"/>
              <w:bottom w:val="nil"/>
              <w:right w:val="single" w:sz="8" w:space="0" w:color="auto"/>
            </w:tcBorders>
            <w:shd w:val="clear" w:color="auto" w:fill="auto"/>
            <w:noWrap/>
            <w:vAlign w:val="bottom"/>
            <w:hideMark/>
          </w:tcPr>
          <w:p w:rsidR="000430A4" w:rsidRPr="00F264B1" w:rsidRDefault="000430A4" w:rsidP="002F32F0">
            <w:pPr>
              <w:spacing w:after="0" w:line="240" w:lineRule="auto"/>
              <w:jc w:val="center"/>
              <w:rPr>
                <w:rFonts w:ascii="Calibri" w:eastAsia="Times New Roman" w:hAnsi="Calibri" w:cs="Times New Roman"/>
                <w:color w:val="000000"/>
              </w:rPr>
            </w:pPr>
            <w:r w:rsidRPr="00F264B1">
              <w:rPr>
                <w:rFonts w:ascii="Calibri" w:eastAsia="Times New Roman" w:hAnsi="Calibri" w:cs="Times New Roman"/>
                <w:color w:val="000000"/>
              </w:rPr>
              <w:t>1</w:t>
            </w:r>
            <w:r w:rsidR="0005646E">
              <w:rPr>
                <w:rFonts w:ascii="Calibri" w:eastAsia="Times New Roman" w:hAnsi="Calibri" w:cs="Times New Roman"/>
                <w:color w:val="000000"/>
              </w:rPr>
              <w:t>,</w:t>
            </w:r>
            <w:r w:rsidRPr="00F264B1">
              <w:rPr>
                <w:rFonts w:ascii="Calibri" w:eastAsia="Times New Roman" w:hAnsi="Calibri" w:cs="Times New Roman"/>
                <w:color w:val="000000"/>
              </w:rPr>
              <w:t>430</w:t>
            </w:r>
          </w:p>
        </w:tc>
      </w:tr>
      <w:tr w:rsidR="000430A4" w:rsidRPr="00F264B1" w:rsidTr="002F32F0">
        <w:trPr>
          <w:trHeight w:val="287"/>
        </w:trPr>
        <w:tc>
          <w:tcPr>
            <w:tcW w:w="5079" w:type="dxa"/>
            <w:tcBorders>
              <w:top w:val="nil"/>
              <w:left w:val="single" w:sz="8" w:space="0" w:color="auto"/>
              <w:bottom w:val="nil"/>
              <w:right w:val="nil"/>
            </w:tcBorders>
            <w:shd w:val="clear" w:color="auto" w:fill="auto"/>
            <w:noWrap/>
            <w:vAlign w:val="bottom"/>
            <w:hideMark/>
          </w:tcPr>
          <w:p w:rsidR="000430A4" w:rsidRPr="00F264B1" w:rsidRDefault="000430A4" w:rsidP="002F32F0">
            <w:pPr>
              <w:spacing w:after="0" w:line="240" w:lineRule="auto"/>
              <w:rPr>
                <w:rFonts w:ascii="Calibri" w:eastAsia="Times New Roman" w:hAnsi="Calibri" w:cs="Times New Roman"/>
                <w:color w:val="000000"/>
              </w:rPr>
            </w:pPr>
            <w:r w:rsidRPr="00F264B1">
              <w:rPr>
                <w:rFonts w:ascii="Calibri" w:eastAsia="Times New Roman" w:hAnsi="Calibri" w:cs="Times New Roman"/>
                <w:color w:val="000000"/>
              </w:rPr>
              <w:t>Total number of completed requests</w:t>
            </w:r>
          </w:p>
        </w:tc>
        <w:tc>
          <w:tcPr>
            <w:tcW w:w="1255" w:type="dxa"/>
            <w:tcBorders>
              <w:top w:val="nil"/>
              <w:left w:val="nil"/>
              <w:bottom w:val="nil"/>
              <w:right w:val="nil"/>
            </w:tcBorders>
            <w:shd w:val="clear" w:color="auto" w:fill="auto"/>
            <w:noWrap/>
            <w:vAlign w:val="bottom"/>
            <w:hideMark/>
          </w:tcPr>
          <w:p w:rsidR="000430A4" w:rsidRPr="00F264B1" w:rsidRDefault="000430A4" w:rsidP="002F32F0">
            <w:pPr>
              <w:spacing w:after="0" w:line="240" w:lineRule="auto"/>
              <w:jc w:val="center"/>
              <w:rPr>
                <w:rFonts w:ascii="Calibri" w:eastAsia="Times New Roman" w:hAnsi="Calibri" w:cs="Times New Roman"/>
                <w:color w:val="000000"/>
              </w:rPr>
            </w:pPr>
            <w:r w:rsidRPr="00F264B1">
              <w:rPr>
                <w:rFonts w:ascii="Calibri" w:eastAsia="Times New Roman" w:hAnsi="Calibri" w:cs="Times New Roman"/>
                <w:color w:val="000000"/>
              </w:rPr>
              <w:t>458</w:t>
            </w:r>
          </w:p>
        </w:tc>
        <w:tc>
          <w:tcPr>
            <w:tcW w:w="1903" w:type="dxa"/>
            <w:tcBorders>
              <w:top w:val="nil"/>
              <w:left w:val="nil"/>
              <w:bottom w:val="nil"/>
              <w:right w:val="nil"/>
            </w:tcBorders>
            <w:shd w:val="clear" w:color="auto" w:fill="auto"/>
            <w:noWrap/>
            <w:vAlign w:val="bottom"/>
            <w:hideMark/>
          </w:tcPr>
          <w:p w:rsidR="000430A4" w:rsidRPr="00F264B1" w:rsidRDefault="000430A4" w:rsidP="002F32F0">
            <w:pPr>
              <w:spacing w:after="0" w:line="240" w:lineRule="auto"/>
              <w:jc w:val="center"/>
              <w:rPr>
                <w:rFonts w:ascii="Calibri" w:eastAsia="Times New Roman" w:hAnsi="Calibri" w:cs="Times New Roman"/>
                <w:color w:val="000000"/>
              </w:rPr>
            </w:pPr>
            <w:r w:rsidRPr="00F264B1">
              <w:rPr>
                <w:rFonts w:ascii="Calibri" w:eastAsia="Times New Roman" w:hAnsi="Calibri" w:cs="Times New Roman"/>
                <w:color w:val="000000"/>
              </w:rPr>
              <w:t>573</w:t>
            </w:r>
          </w:p>
        </w:tc>
        <w:tc>
          <w:tcPr>
            <w:tcW w:w="1255" w:type="dxa"/>
            <w:tcBorders>
              <w:top w:val="nil"/>
              <w:left w:val="nil"/>
              <w:bottom w:val="nil"/>
              <w:right w:val="single" w:sz="8" w:space="0" w:color="auto"/>
            </w:tcBorders>
            <w:shd w:val="clear" w:color="auto" w:fill="auto"/>
            <w:noWrap/>
            <w:vAlign w:val="bottom"/>
            <w:hideMark/>
          </w:tcPr>
          <w:p w:rsidR="000430A4" w:rsidRPr="00F264B1" w:rsidRDefault="000430A4" w:rsidP="002F32F0">
            <w:pPr>
              <w:spacing w:after="0" w:line="240" w:lineRule="auto"/>
              <w:jc w:val="center"/>
              <w:rPr>
                <w:rFonts w:ascii="Calibri" w:eastAsia="Times New Roman" w:hAnsi="Calibri" w:cs="Times New Roman"/>
                <w:color w:val="000000"/>
              </w:rPr>
            </w:pPr>
            <w:r w:rsidRPr="00F264B1">
              <w:rPr>
                <w:rFonts w:ascii="Calibri" w:eastAsia="Times New Roman" w:hAnsi="Calibri" w:cs="Times New Roman"/>
                <w:color w:val="000000"/>
              </w:rPr>
              <w:t>482</w:t>
            </w:r>
          </w:p>
        </w:tc>
      </w:tr>
      <w:tr w:rsidR="000430A4" w:rsidRPr="00F264B1" w:rsidTr="002F32F0">
        <w:trPr>
          <w:trHeight w:val="301"/>
        </w:trPr>
        <w:tc>
          <w:tcPr>
            <w:tcW w:w="5079" w:type="dxa"/>
            <w:tcBorders>
              <w:top w:val="nil"/>
              <w:left w:val="single" w:sz="8" w:space="0" w:color="auto"/>
              <w:bottom w:val="single" w:sz="8" w:space="0" w:color="auto"/>
              <w:right w:val="nil"/>
            </w:tcBorders>
            <w:shd w:val="clear" w:color="000000" w:fill="DBE5F1"/>
            <w:noWrap/>
            <w:vAlign w:val="bottom"/>
            <w:hideMark/>
          </w:tcPr>
          <w:p w:rsidR="000430A4" w:rsidRPr="00F264B1" w:rsidRDefault="000430A4" w:rsidP="002F32F0">
            <w:pPr>
              <w:spacing w:after="0" w:line="240" w:lineRule="auto"/>
              <w:rPr>
                <w:rFonts w:ascii="Calibri" w:eastAsia="Times New Roman" w:hAnsi="Calibri" w:cs="Times New Roman"/>
                <w:color w:val="000000"/>
              </w:rPr>
            </w:pPr>
            <w:r w:rsidRPr="00F264B1">
              <w:rPr>
                <w:rFonts w:ascii="Calibri" w:eastAsia="Times New Roman" w:hAnsi="Calibri" w:cs="Times New Roman"/>
                <w:color w:val="000000"/>
              </w:rPr>
              <w:t xml:space="preserve">Average number of exemptions per request </w:t>
            </w:r>
          </w:p>
        </w:tc>
        <w:tc>
          <w:tcPr>
            <w:tcW w:w="1255" w:type="dxa"/>
            <w:tcBorders>
              <w:top w:val="nil"/>
              <w:left w:val="nil"/>
              <w:bottom w:val="single" w:sz="8" w:space="0" w:color="auto"/>
              <w:right w:val="nil"/>
            </w:tcBorders>
            <w:shd w:val="clear" w:color="000000" w:fill="DBE5F1"/>
            <w:noWrap/>
            <w:vAlign w:val="bottom"/>
            <w:hideMark/>
          </w:tcPr>
          <w:p w:rsidR="000430A4" w:rsidRPr="00F264B1" w:rsidRDefault="000430A4" w:rsidP="002F32F0">
            <w:pPr>
              <w:spacing w:after="0" w:line="240" w:lineRule="auto"/>
              <w:jc w:val="center"/>
              <w:rPr>
                <w:rFonts w:ascii="Calibri" w:eastAsia="Times New Roman" w:hAnsi="Calibri" w:cs="Times New Roman"/>
                <w:color w:val="000000"/>
              </w:rPr>
            </w:pPr>
            <w:r w:rsidRPr="00F264B1">
              <w:rPr>
                <w:rFonts w:ascii="Calibri" w:eastAsia="Times New Roman" w:hAnsi="Calibri" w:cs="Times New Roman"/>
                <w:color w:val="000000"/>
              </w:rPr>
              <w:t>2.8</w:t>
            </w:r>
            <w:r>
              <w:rPr>
                <w:rFonts w:ascii="Calibri" w:eastAsia="Times New Roman" w:hAnsi="Calibri" w:cs="Times New Roman"/>
                <w:color w:val="000000"/>
              </w:rPr>
              <w:t>1</w:t>
            </w:r>
          </w:p>
        </w:tc>
        <w:tc>
          <w:tcPr>
            <w:tcW w:w="1903" w:type="dxa"/>
            <w:tcBorders>
              <w:top w:val="nil"/>
              <w:left w:val="nil"/>
              <w:bottom w:val="single" w:sz="8" w:space="0" w:color="auto"/>
              <w:right w:val="nil"/>
            </w:tcBorders>
            <w:shd w:val="clear" w:color="000000" w:fill="DBE5F1"/>
            <w:noWrap/>
            <w:vAlign w:val="bottom"/>
            <w:hideMark/>
          </w:tcPr>
          <w:p w:rsidR="000430A4" w:rsidRPr="00F264B1" w:rsidRDefault="000430A4" w:rsidP="002F32F0">
            <w:pPr>
              <w:spacing w:after="0" w:line="240" w:lineRule="auto"/>
              <w:jc w:val="center"/>
              <w:rPr>
                <w:rFonts w:ascii="Calibri" w:eastAsia="Times New Roman" w:hAnsi="Calibri" w:cs="Times New Roman"/>
                <w:color w:val="000000"/>
              </w:rPr>
            </w:pPr>
            <w:r w:rsidRPr="00F264B1">
              <w:rPr>
                <w:rFonts w:ascii="Calibri" w:eastAsia="Times New Roman" w:hAnsi="Calibri" w:cs="Times New Roman"/>
                <w:color w:val="000000"/>
              </w:rPr>
              <w:t>3.2</w:t>
            </w:r>
            <w:r>
              <w:rPr>
                <w:rFonts w:ascii="Calibri" w:eastAsia="Times New Roman" w:hAnsi="Calibri" w:cs="Times New Roman"/>
                <w:color w:val="000000"/>
              </w:rPr>
              <w:t>2</w:t>
            </w:r>
          </w:p>
        </w:tc>
        <w:tc>
          <w:tcPr>
            <w:tcW w:w="1255" w:type="dxa"/>
            <w:tcBorders>
              <w:top w:val="nil"/>
              <w:left w:val="nil"/>
              <w:bottom w:val="single" w:sz="8" w:space="0" w:color="auto"/>
              <w:right w:val="single" w:sz="8" w:space="0" w:color="auto"/>
            </w:tcBorders>
            <w:shd w:val="clear" w:color="000000" w:fill="DBE5F1"/>
            <w:noWrap/>
            <w:vAlign w:val="bottom"/>
            <w:hideMark/>
          </w:tcPr>
          <w:p w:rsidR="000430A4" w:rsidRPr="00F264B1"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2.97</w:t>
            </w:r>
          </w:p>
        </w:tc>
      </w:tr>
    </w:tbl>
    <w:p w:rsidR="000430A4" w:rsidRDefault="000430A4" w:rsidP="000430A4">
      <w:pPr>
        <w:pStyle w:val="Heading2"/>
        <w:spacing w:before="240"/>
      </w:pPr>
    </w:p>
    <w:p w:rsidR="000430A4" w:rsidRDefault="000430A4" w:rsidP="000430A4">
      <w:r>
        <w:br w:type="page"/>
      </w:r>
    </w:p>
    <w:p w:rsidR="000430A4" w:rsidRPr="00A42C23" w:rsidRDefault="000430A4" w:rsidP="000430A4">
      <w:pPr>
        <w:pStyle w:val="Heading2"/>
        <w:spacing w:before="240"/>
      </w:pPr>
      <w:r w:rsidRPr="00A42C23">
        <w:t>Complaints at the OIC</w:t>
      </w:r>
    </w:p>
    <w:p w:rsidR="000430A4" w:rsidRDefault="000430A4" w:rsidP="000430A4">
      <w:pPr>
        <w:jc w:val="both"/>
      </w:pPr>
      <w:r w:rsidRPr="00941A60">
        <w:t>In 2014-2015, the OIC received 12 complaints</w:t>
      </w:r>
      <w:r>
        <w:rPr>
          <w:rStyle w:val="FootnoteReference"/>
        </w:rPr>
        <w:footnoteReference w:id="88"/>
      </w:r>
      <w:r w:rsidRPr="00941A60">
        <w:t xml:space="preserve"> against FIN, </w:t>
      </w:r>
      <w:r>
        <w:t>which</w:t>
      </w:r>
      <w:r w:rsidRPr="00941A60">
        <w:t xml:space="preserve"> </w:t>
      </w:r>
      <w:r>
        <w:t xml:space="preserve">is </w:t>
      </w:r>
      <w:r w:rsidRPr="00941A60">
        <w:t xml:space="preserve">less compared to </w:t>
      </w:r>
      <w:r>
        <w:t xml:space="preserve">19 complaints received in </w:t>
      </w:r>
      <w:r w:rsidRPr="00941A60">
        <w:t xml:space="preserve">2013-2014. </w:t>
      </w:r>
      <w:r>
        <w:t>The m</w:t>
      </w:r>
      <w:r w:rsidRPr="00941A60">
        <w:t xml:space="preserve">ajority </w:t>
      </w:r>
      <w:r>
        <w:t xml:space="preserve">of </w:t>
      </w:r>
      <w:r w:rsidRPr="00941A60">
        <w:t>complaints were refusal</w:t>
      </w:r>
      <w:r>
        <w:t xml:space="preserve"> </w:t>
      </w:r>
      <w:r w:rsidRPr="00941A60">
        <w:t>(10)</w:t>
      </w:r>
      <w:r>
        <w:t>, while the minority were administrative (2). This is similar to</w:t>
      </w:r>
      <w:r w:rsidRPr="00941A60">
        <w:t xml:space="preserve"> </w:t>
      </w:r>
      <w:r>
        <w:t xml:space="preserve">last year’s complaints statistics </w:t>
      </w:r>
      <w:r w:rsidRPr="00941A60">
        <w:t>(14 refusal an</w:t>
      </w:r>
      <w:r>
        <w:t>d 5 administrative complaints).</w:t>
      </w:r>
    </w:p>
    <w:p w:rsidR="000430A4" w:rsidRDefault="000430A4" w:rsidP="000430A4">
      <w:pPr>
        <w:jc w:val="both"/>
      </w:pPr>
      <w:r w:rsidRPr="00941A60">
        <w:t>Half of the complaints</w:t>
      </w:r>
      <w:r>
        <w:t xml:space="preserve"> received in 2014-2015</w:t>
      </w:r>
      <w:r w:rsidRPr="00941A60">
        <w:t xml:space="preserve"> were well-founded and resolved and half</w:t>
      </w:r>
      <w:r>
        <w:t xml:space="preserve"> were</w:t>
      </w:r>
      <w:r w:rsidRPr="00941A60">
        <w:t xml:space="preserve"> disc</w:t>
      </w:r>
      <w:r>
        <w:t>ontinued this reporting period.</w:t>
      </w:r>
    </w:p>
    <w:p w:rsidR="000430A4" w:rsidRDefault="000430A4">
      <w:r>
        <w:br w:type="page"/>
      </w:r>
    </w:p>
    <w:p w:rsidR="000430A4" w:rsidRPr="005D1FC3" w:rsidRDefault="000430A4" w:rsidP="000430A4">
      <w:pPr>
        <w:pStyle w:val="Heading1"/>
      </w:pPr>
      <w:r w:rsidRPr="005D1FC3">
        <w:t>Fisheries and Oceans Canada</w:t>
      </w:r>
    </w:p>
    <w:p w:rsidR="000430A4" w:rsidRPr="000A6B57" w:rsidRDefault="000430A4" w:rsidP="000430A4">
      <w:pPr>
        <w:pStyle w:val="Heading2"/>
      </w:pPr>
      <w:r w:rsidRPr="000A6B57">
        <w:t>Overall performance</w:t>
      </w:r>
      <w:r>
        <w:rPr>
          <w:rStyle w:val="FootnoteReference"/>
        </w:rPr>
        <w:footnoteReference w:id="89"/>
      </w:r>
    </w:p>
    <w:p w:rsidR="000430A4" w:rsidRPr="00E87624" w:rsidRDefault="000430A4" w:rsidP="000430A4">
      <w:pPr>
        <w:jc w:val="both"/>
        <w:rPr>
          <w:color w:val="000000" w:themeColor="text1"/>
        </w:rPr>
      </w:pPr>
      <w:r w:rsidRPr="00D54A49">
        <w:rPr>
          <w:color w:val="000000" w:themeColor="text1"/>
        </w:rPr>
        <w:t>Fisheries and Oceans Canada (DFO) experienced a</w:t>
      </w:r>
      <w:r w:rsidR="0005646E">
        <w:rPr>
          <w:color w:val="000000" w:themeColor="text1"/>
        </w:rPr>
        <w:t>n</w:t>
      </w:r>
      <w:r w:rsidRPr="00D54A49">
        <w:rPr>
          <w:color w:val="000000" w:themeColor="text1"/>
        </w:rPr>
        <w:t xml:space="preserve"> increase of 22.8% in the number of requests received and improved the percentage of requests completed within 30 days by 1.8%. This report provides comparative statistics for the last three periods (2012-2015).</w:t>
      </w:r>
    </w:p>
    <w:p w:rsidR="000430A4" w:rsidRPr="000A6B57" w:rsidRDefault="000430A4" w:rsidP="000430A4">
      <w:pPr>
        <w:pStyle w:val="Heading2"/>
      </w:pPr>
      <w:r w:rsidRPr="000A6B57">
        <w:t>Workload</w:t>
      </w:r>
    </w:p>
    <w:p w:rsidR="000430A4" w:rsidRPr="000A66A2" w:rsidRDefault="000430A4" w:rsidP="000430A4">
      <w:pPr>
        <w:jc w:val="both"/>
        <w:rPr>
          <w:color w:val="000000" w:themeColor="text1"/>
        </w:rPr>
      </w:pPr>
      <w:r>
        <w:rPr>
          <w:color w:val="000000" w:themeColor="text1"/>
        </w:rPr>
        <w:t xml:space="preserve">DFO received 512 requests under the </w:t>
      </w:r>
      <w:r w:rsidRPr="00196B6B">
        <w:rPr>
          <w:i/>
          <w:color w:val="000000" w:themeColor="text1"/>
        </w:rPr>
        <w:t>Access to Information Act</w:t>
      </w:r>
      <w:r>
        <w:rPr>
          <w:color w:val="000000" w:themeColor="text1"/>
        </w:rPr>
        <w:t xml:space="preserve"> (the Act),</w:t>
      </w:r>
      <w:r w:rsidRPr="00196B6B">
        <w:t xml:space="preserve"> </w:t>
      </w:r>
      <w:r>
        <w:t xml:space="preserve">representing </w:t>
      </w:r>
      <w:r>
        <w:rPr>
          <w:color w:val="000000" w:themeColor="text1"/>
        </w:rPr>
        <w:t>0.8</w:t>
      </w:r>
      <w:r w:rsidRPr="000A66A2">
        <w:rPr>
          <w:color w:val="000000" w:themeColor="text1"/>
        </w:rPr>
        <w:t>% of total re</w:t>
      </w:r>
      <w:r>
        <w:rPr>
          <w:color w:val="000000" w:themeColor="text1"/>
        </w:rPr>
        <w:t xml:space="preserve">quests received government-wide in 2014-2015. In 2013-2014, DFO received 417 requests, which accounts for 22.8% fewer requests than those received this reporting period. </w:t>
      </w:r>
      <w:r w:rsidRPr="000A66A2">
        <w:rPr>
          <w:color w:val="000000" w:themeColor="text1"/>
        </w:rPr>
        <w:t>The ma</w:t>
      </w:r>
      <w:r>
        <w:rPr>
          <w:color w:val="000000" w:themeColor="text1"/>
        </w:rPr>
        <w:t xml:space="preserve">jority of requests in 2014-2015 </w:t>
      </w:r>
      <w:r w:rsidRPr="000A66A2">
        <w:rPr>
          <w:color w:val="000000" w:themeColor="text1"/>
        </w:rPr>
        <w:t xml:space="preserve">were </w:t>
      </w:r>
      <w:r>
        <w:rPr>
          <w:color w:val="000000" w:themeColor="text1"/>
        </w:rPr>
        <w:t xml:space="preserve">from the </w:t>
      </w:r>
      <w:r w:rsidRPr="000A66A2">
        <w:rPr>
          <w:color w:val="000000" w:themeColor="text1"/>
        </w:rPr>
        <w:t>business sector</w:t>
      </w:r>
      <w:r>
        <w:rPr>
          <w:color w:val="000000" w:themeColor="text1"/>
        </w:rPr>
        <w:t xml:space="preserve"> (33.6%) and the public (32.0%) followed by the media (21.7</w:t>
      </w:r>
      <w:r w:rsidRPr="003B6E64">
        <w:rPr>
          <w:color w:val="000000" w:themeColor="text1"/>
        </w:rPr>
        <w:t xml:space="preserve">%). Requests from business, public and media increased by </w:t>
      </w:r>
      <w:r>
        <w:rPr>
          <w:color w:val="000000" w:themeColor="text1"/>
        </w:rPr>
        <w:t>44.5%, 5.8</w:t>
      </w:r>
      <w:r w:rsidRPr="003B6E64">
        <w:rPr>
          <w:color w:val="000000" w:themeColor="text1"/>
        </w:rPr>
        <w:t>% and 35.4% respectively.</w:t>
      </w:r>
    </w:p>
    <w:p w:rsidR="000430A4" w:rsidRPr="009602E8" w:rsidRDefault="000430A4" w:rsidP="000430A4">
      <w:pPr>
        <w:jc w:val="both"/>
        <w:rPr>
          <w:color w:val="000000" w:themeColor="text1"/>
        </w:rPr>
      </w:pPr>
      <w:r w:rsidRPr="009602E8">
        <w:rPr>
          <w:color w:val="000000" w:themeColor="text1"/>
        </w:rPr>
        <w:t xml:space="preserve">DFO completed 503 requests this reporting </w:t>
      </w:r>
      <w:r w:rsidRPr="00D54A49">
        <w:rPr>
          <w:color w:val="000000" w:themeColor="text1"/>
        </w:rPr>
        <w:t>period. The completion rate</w:t>
      </w:r>
      <w:r w:rsidRPr="00D54A49">
        <w:rPr>
          <w:rStyle w:val="FootnoteReference"/>
          <w:color w:val="000000" w:themeColor="text1"/>
        </w:rPr>
        <w:footnoteReference w:id="90"/>
      </w:r>
      <w:r w:rsidRPr="00D54A49">
        <w:rPr>
          <w:color w:val="000000" w:themeColor="text1"/>
        </w:rPr>
        <w:t xml:space="preserve"> was 72.1%, which is below the government-wide rate of 85.1% for 2014-2015 and 4</w:t>
      </w:r>
      <w:r>
        <w:rPr>
          <w:color w:val="000000" w:themeColor="text1"/>
        </w:rPr>
        <w:t>.0</w:t>
      </w:r>
      <w:r w:rsidRPr="00D54A49">
        <w:rPr>
          <w:color w:val="000000" w:themeColor="text1"/>
        </w:rPr>
        <w:t xml:space="preserve">% less than the completion rate in the previous period. DFO also received 118 informal requests and 67.8% of these were completed within 30 days. </w:t>
      </w:r>
      <w:r w:rsidRPr="00D54A49">
        <w:t>The number of consultations received by DFO from other federal government institutions increased from 170 to 226, representing a increase of 32.9% compared to 2013-2014.</w:t>
      </w:r>
    </w:p>
    <w:p w:rsidR="000430A4" w:rsidRDefault="000430A4" w:rsidP="000430A4">
      <w:pPr>
        <w:jc w:val="both"/>
        <w:rPr>
          <w:color w:val="000000" w:themeColor="text1"/>
        </w:rPr>
      </w:pPr>
      <w:r w:rsidRPr="00AC3386">
        <w:rPr>
          <w:color w:val="000000" w:themeColor="text1"/>
        </w:rPr>
        <w:t>The</w:t>
      </w:r>
      <w:r>
        <w:rPr>
          <w:color w:val="000000" w:themeColor="text1"/>
        </w:rPr>
        <w:t xml:space="preserve"> total number of pages processed </w:t>
      </w:r>
      <w:r>
        <w:t>increased from 183,315 pages in 2013-2014 to 307,313 pages in 2014-2015</w:t>
      </w:r>
      <w:r>
        <w:rPr>
          <w:color w:val="000000" w:themeColor="text1"/>
        </w:rPr>
        <w:t xml:space="preserve"> representing an increase of 67.6%. Table 1 shows that the</w:t>
      </w:r>
      <w:r w:rsidRPr="00AC3386">
        <w:rPr>
          <w:color w:val="000000" w:themeColor="text1"/>
        </w:rPr>
        <w:t xml:space="preserve"> average number of pages processed per completed request </w:t>
      </w:r>
      <w:r>
        <w:rPr>
          <w:color w:val="000000" w:themeColor="text1"/>
        </w:rPr>
        <w:t xml:space="preserve">increased </w:t>
      </w:r>
      <w:r w:rsidRPr="00AC3386">
        <w:rPr>
          <w:color w:val="000000" w:themeColor="text1"/>
        </w:rPr>
        <w:t xml:space="preserve">from </w:t>
      </w:r>
      <w:r>
        <w:rPr>
          <w:color w:val="000000" w:themeColor="text1"/>
        </w:rPr>
        <w:t>538</w:t>
      </w:r>
      <w:r w:rsidRPr="00AC3386">
        <w:rPr>
          <w:color w:val="000000" w:themeColor="text1"/>
        </w:rPr>
        <w:t xml:space="preserve"> in 2013-2014 to </w:t>
      </w:r>
      <w:r>
        <w:rPr>
          <w:color w:val="000000" w:themeColor="text1"/>
        </w:rPr>
        <w:t>770 in 2014-2015.</w:t>
      </w:r>
    </w:p>
    <w:p w:rsidR="000430A4" w:rsidRPr="00AC56F9" w:rsidRDefault="000430A4" w:rsidP="000430A4">
      <w:pPr>
        <w:jc w:val="both"/>
        <w:rPr>
          <w:color w:val="000000" w:themeColor="text1"/>
        </w:rPr>
      </w:pPr>
      <w:r w:rsidRPr="00AC56F9">
        <w:rPr>
          <w:color w:val="000000" w:themeColor="text1"/>
        </w:rPr>
        <w:t>The</w:t>
      </w:r>
      <w:r>
        <w:rPr>
          <w:color w:val="000000" w:themeColor="text1"/>
        </w:rPr>
        <w:t xml:space="preserve"> information released by DFO </w:t>
      </w:r>
      <w:r w:rsidRPr="00AC56F9">
        <w:rPr>
          <w:color w:val="000000" w:themeColor="text1"/>
        </w:rPr>
        <w:t>was mostly in paper format</w:t>
      </w:r>
      <w:r>
        <w:rPr>
          <w:color w:val="000000" w:themeColor="text1"/>
        </w:rPr>
        <w:t xml:space="preserve">: </w:t>
      </w:r>
      <w:r w:rsidRPr="00AC56F9">
        <w:rPr>
          <w:color w:val="000000" w:themeColor="text1"/>
        </w:rPr>
        <w:t>224</w:t>
      </w:r>
      <w:r>
        <w:rPr>
          <w:color w:val="000000" w:themeColor="text1"/>
        </w:rPr>
        <w:t xml:space="preserve"> requests in paper format </w:t>
      </w:r>
      <w:r w:rsidRPr="00AC56F9">
        <w:rPr>
          <w:color w:val="000000" w:themeColor="text1"/>
        </w:rPr>
        <w:t>compared to 120 requests in electronic format.</w:t>
      </w:r>
    </w:p>
    <w:p w:rsidR="000430A4" w:rsidRPr="005D1FC3" w:rsidRDefault="000430A4" w:rsidP="000430A4">
      <w:pPr>
        <w:pStyle w:val="Heading3"/>
      </w:pPr>
      <w:r w:rsidRPr="005D1FC3">
        <w:t>Table 1: Workload</w:t>
      </w:r>
    </w:p>
    <w:tbl>
      <w:tblPr>
        <w:tblW w:w="9285" w:type="dxa"/>
        <w:tblInd w:w="98" w:type="dxa"/>
        <w:tblLook w:val="04A0"/>
      </w:tblPr>
      <w:tblGrid>
        <w:gridCol w:w="5232"/>
        <w:gridCol w:w="1351"/>
        <w:gridCol w:w="1351"/>
        <w:gridCol w:w="1351"/>
      </w:tblGrid>
      <w:tr w:rsidR="000430A4" w:rsidRPr="00377876" w:rsidTr="002F32F0">
        <w:trPr>
          <w:trHeight w:val="276"/>
        </w:trPr>
        <w:tc>
          <w:tcPr>
            <w:tcW w:w="5232" w:type="dxa"/>
            <w:tcBorders>
              <w:top w:val="single" w:sz="4" w:space="0" w:color="auto"/>
              <w:left w:val="single" w:sz="4" w:space="0" w:color="auto"/>
              <w:right w:val="nil"/>
            </w:tcBorders>
            <w:shd w:val="clear" w:color="auto" w:fill="auto"/>
            <w:noWrap/>
            <w:vAlign w:val="bottom"/>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 xml:space="preserve">Measures </w:t>
            </w:r>
          </w:p>
        </w:tc>
        <w:tc>
          <w:tcPr>
            <w:tcW w:w="1351" w:type="dxa"/>
            <w:tcBorders>
              <w:top w:val="single" w:sz="4" w:space="0" w:color="auto"/>
              <w:left w:val="nil"/>
              <w:right w:val="nil"/>
            </w:tcBorders>
            <w:shd w:val="clear" w:color="auto" w:fill="auto"/>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sidRPr="00377876">
              <w:rPr>
                <w:rFonts w:ascii="Calibri" w:eastAsia="Times New Roman" w:hAnsi="Calibri" w:cs="Times New Roman"/>
                <w:color w:val="000000"/>
              </w:rPr>
              <w:t>2012-2013</w:t>
            </w:r>
          </w:p>
        </w:tc>
        <w:tc>
          <w:tcPr>
            <w:tcW w:w="1351" w:type="dxa"/>
            <w:tcBorders>
              <w:top w:val="single" w:sz="4" w:space="0" w:color="auto"/>
              <w:left w:val="nil"/>
              <w:right w:val="nil"/>
            </w:tcBorders>
            <w:shd w:val="clear" w:color="auto" w:fill="auto"/>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sidRPr="00377876">
              <w:rPr>
                <w:rFonts w:ascii="Calibri" w:eastAsia="Times New Roman" w:hAnsi="Calibri" w:cs="Times New Roman"/>
                <w:color w:val="000000"/>
              </w:rPr>
              <w:t>2013-2014</w:t>
            </w:r>
          </w:p>
        </w:tc>
        <w:tc>
          <w:tcPr>
            <w:tcW w:w="1351" w:type="dxa"/>
            <w:tcBorders>
              <w:top w:val="single" w:sz="4" w:space="0" w:color="auto"/>
              <w:left w:val="nil"/>
              <w:right w:val="single" w:sz="4" w:space="0" w:color="auto"/>
            </w:tcBorders>
            <w:shd w:val="clear" w:color="auto" w:fill="auto"/>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sidRPr="00377876">
              <w:rPr>
                <w:rFonts w:ascii="Calibri" w:eastAsia="Times New Roman" w:hAnsi="Calibri" w:cs="Times New Roman"/>
                <w:color w:val="000000"/>
              </w:rPr>
              <w:t>2014-2015</w:t>
            </w:r>
          </w:p>
        </w:tc>
      </w:tr>
      <w:tr w:rsidR="000430A4" w:rsidRPr="00377876" w:rsidTr="002F32F0">
        <w:trPr>
          <w:trHeight w:val="264"/>
        </w:trPr>
        <w:tc>
          <w:tcPr>
            <w:tcW w:w="5232" w:type="dxa"/>
            <w:tcBorders>
              <w:top w:val="nil"/>
              <w:left w:val="single" w:sz="4" w:space="0" w:color="auto"/>
              <w:bottom w:val="nil"/>
              <w:right w:val="nil"/>
            </w:tcBorders>
            <w:shd w:val="clear" w:color="000000" w:fill="DBE5F1"/>
            <w:noWrap/>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 xml:space="preserve">Number of requests received </w:t>
            </w:r>
          </w:p>
        </w:tc>
        <w:tc>
          <w:tcPr>
            <w:tcW w:w="1351" w:type="dxa"/>
            <w:tcBorders>
              <w:top w:val="nil"/>
              <w:left w:val="nil"/>
              <w:bottom w:val="nil"/>
              <w:right w:val="nil"/>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547</w:t>
            </w:r>
          </w:p>
        </w:tc>
        <w:tc>
          <w:tcPr>
            <w:tcW w:w="1351" w:type="dxa"/>
            <w:tcBorders>
              <w:top w:val="nil"/>
              <w:left w:val="nil"/>
              <w:bottom w:val="nil"/>
              <w:right w:val="nil"/>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417</w:t>
            </w:r>
          </w:p>
        </w:tc>
        <w:tc>
          <w:tcPr>
            <w:tcW w:w="1351" w:type="dxa"/>
            <w:tcBorders>
              <w:top w:val="nil"/>
              <w:left w:val="nil"/>
              <w:bottom w:val="nil"/>
              <w:right w:val="single" w:sz="4" w:space="0" w:color="auto"/>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512</w:t>
            </w:r>
          </w:p>
        </w:tc>
      </w:tr>
      <w:tr w:rsidR="000430A4" w:rsidRPr="00377876" w:rsidTr="002F32F0">
        <w:trPr>
          <w:trHeight w:val="264"/>
        </w:trPr>
        <w:tc>
          <w:tcPr>
            <w:tcW w:w="5232" w:type="dxa"/>
            <w:tcBorders>
              <w:top w:val="nil"/>
              <w:left w:val="single" w:sz="4" w:space="0" w:color="auto"/>
              <w:bottom w:val="nil"/>
              <w:right w:val="nil"/>
            </w:tcBorders>
            <w:shd w:val="clear" w:color="auto" w:fill="auto"/>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Annual change (%)</w:t>
            </w:r>
          </w:p>
        </w:tc>
        <w:tc>
          <w:tcPr>
            <w:tcW w:w="1351" w:type="dxa"/>
            <w:tcBorders>
              <w:top w:val="nil"/>
              <w:left w:val="nil"/>
              <w:bottom w:val="nil"/>
              <w:right w:val="nil"/>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w:t>
            </w:r>
          </w:p>
        </w:tc>
        <w:tc>
          <w:tcPr>
            <w:tcW w:w="1351" w:type="dxa"/>
            <w:tcBorders>
              <w:top w:val="nil"/>
              <w:left w:val="nil"/>
              <w:bottom w:val="nil"/>
              <w:right w:val="nil"/>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-23.8%</w:t>
            </w:r>
          </w:p>
        </w:tc>
        <w:tc>
          <w:tcPr>
            <w:tcW w:w="1351" w:type="dxa"/>
            <w:tcBorders>
              <w:top w:val="nil"/>
              <w:left w:val="nil"/>
              <w:bottom w:val="nil"/>
              <w:right w:val="single" w:sz="4" w:space="0" w:color="auto"/>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22.8%</w:t>
            </w:r>
          </w:p>
        </w:tc>
      </w:tr>
      <w:tr w:rsidR="000430A4" w:rsidRPr="00377876" w:rsidTr="002F32F0">
        <w:trPr>
          <w:trHeight w:val="264"/>
        </w:trPr>
        <w:tc>
          <w:tcPr>
            <w:tcW w:w="5232" w:type="dxa"/>
            <w:tcBorders>
              <w:top w:val="nil"/>
              <w:left w:val="single" w:sz="4" w:space="0" w:color="auto"/>
              <w:bottom w:val="nil"/>
              <w:right w:val="nil"/>
            </w:tcBorders>
            <w:shd w:val="clear" w:color="000000" w:fill="DBE5F1"/>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Completed requests</w:t>
            </w:r>
          </w:p>
        </w:tc>
        <w:tc>
          <w:tcPr>
            <w:tcW w:w="1351" w:type="dxa"/>
            <w:tcBorders>
              <w:top w:val="nil"/>
              <w:left w:val="nil"/>
              <w:bottom w:val="nil"/>
              <w:right w:val="nil"/>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453</w:t>
            </w:r>
          </w:p>
        </w:tc>
        <w:tc>
          <w:tcPr>
            <w:tcW w:w="1351" w:type="dxa"/>
            <w:tcBorders>
              <w:top w:val="nil"/>
              <w:left w:val="nil"/>
              <w:bottom w:val="nil"/>
              <w:right w:val="nil"/>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397</w:t>
            </w:r>
          </w:p>
        </w:tc>
        <w:tc>
          <w:tcPr>
            <w:tcW w:w="1351" w:type="dxa"/>
            <w:tcBorders>
              <w:top w:val="nil"/>
              <w:left w:val="nil"/>
              <w:bottom w:val="nil"/>
              <w:right w:val="single" w:sz="4" w:space="0" w:color="auto"/>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503</w:t>
            </w:r>
          </w:p>
        </w:tc>
      </w:tr>
      <w:tr w:rsidR="000430A4" w:rsidRPr="00377876" w:rsidTr="002F32F0">
        <w:trPr>
          <w:trHeight w:val="276"/>
        </w:trPr>
        <w:tc>
          <w:tcPr>
            <w:tcW w:w="5232" w:type="dxa"/>
            <w:tcBorders>
              <w:top w:val="nil"/>
              <w:left w:val="single" w:sz="4" w:space="0" w:color="auto"/>
              <w:right w:val="nil"/>
            </w:tcBorders>
            <w:shd w:val="clear" w:color="auto" w:fill="auto"/>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Annual change</w:t>
            </w:r>
            <w:r>
              <w:rPr>
                <w:rFonts w:ascii="Calibri" w:eastAsia="Times New Roman" w:hAnsi="Calibri" w:cs="Times New Roman"/>
                <w:color w:val="000000"/>
              </w:rPr>
              <w:t xml:space="preserve"> (%)</w:t>
            </w:r>
          </w:p>
        </w:tc>
        <w:tc>
          <w:tcPr>
            <w:tcW w:w="1351" w:type="dxa"/>
            <w:tcBorders>
              <w:top w:val="nil"/>
              <w:left w:val="nil"/>
              <w:right w:val="nil"/>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w:t>
            </w:r>
          </w:p>
        </w:tc>
        <w:tc>
          <w:tcPr>
            <w:tcW w:w="1351" w:type="dxa"/>
            <w:tcBorders>
              <w:top w:val="nil"/>
              <w:left w:val="nil"/>
              <w:right w:val="nil"/>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-12.4%</w:t>
            </w:r>
          </w:p>
        </w:tc>
        <w:tc>
          <w:tcPr>
            <w:tcW w:w="1351" w:type="dxa"/>
            <w:tcBorders>
              <w:top w:val="nil"/>
              <w:left w:val="nil"/>
              <w:right w:val="single" w:sz="4" w:space="0" w:color="auto"/>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26.7%</w:t>
            </w:r>
          </w:p>
        </w:tc>
      </w:tr>
      <w:tr w:rsidR="000430A4" w:rsidRPr="00377876" w:rsidTr="002F32F0">
        <w:trPr>
          <w:trHeight w:val="435"/>
        </w:trPr>
        <w:tc>
          <w:tcPr>
            <w:tcW w:w="5232" w:type="dxa"/>
            <w:tcBorders>
              <w:top w:val="nil"/>
              <w:left w:val="single" w:sz="4" w:space="0" w:color="auto"/>
              <w:right w:val="nil"/>
            </w:tcBorders>
            <w:shd w:val="clear" w:color="000000" w:fill="DBE5F1"/>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Number of consultations received (from other government institutions)</w:t>
            </w:r>
          </w:p>
        </w:tc>
        <w:tc>
          <w:tcPr>
            <w:tcW w:w="1351" w:type="dxa"/>
            <w:tcBorders>
              <w:top w:val="nil"/>
              <w:left w:val="nil"/>
              <w:right w:val="nil"/>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288</w:t>
            </w:r>
          </w:p>
        </w:tc>
        <w:tc>
          <w:tcPr>
            <w:tcW w:w="1351" w:type="dxa"/>
            <w:tcBorders>
              <w:top w:val="nil"/>
              <w:left w:val="nil"/>
              <w:right w:val="nil"/>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170</w:t>
            </w:r>
          </w:p>
        </w:tc>
        <w:tc>
          <w:tcPr>
            <w:tcW w:w="1351" w:type="dxa"/>
            <w:tcBorders>
              <w:top w:val="nil"/>
              <w:left w:val="nil"/>
              <w:right w:val="single" w:sz="4" w:space="0" w:color="auto"/>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226</w:t>
            </w:r>
          </w:p>
        </w:tc>
      </w:tr>
      <w:tr w:rsidR="000430A4" w:rsidRPr="00377876" w:rsidTr="002F32F0">
        <w:trPr>
          <w:trHeight w:val="307"/>
        </w:trPr>
        <w:tc>
          <w:tcPr>
            <w:tcW w:w="5232" w:type="dxa"/>
            <w:tcBorders>
              <w:top w:val="nil"/>
              <w:left w:val="single" w:sz="4" w:space="0" w:color="auto"/>
              <w:right w:val="nil"/>
            </w:tcBorders>
            <w:shd w:val="clear" w:color="auto" w:fill="auto"/>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Annual change (%)</w:t>
            </w:r>
          </w:p>
        </w:tc>
        <w:tc>
          <w:tcPr>
            <w:tcW w:w="1351" w:type="dxa"/>
            <w:tcBorders>
              <w:top w:val="nil"/>
              <w:left w:val="nil"/>
              <w:right w:val="nil"/>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w:t>
            </w:r>
          </w:p>
        </w:tc>
        <w:tc>
          <w:tcPr>
            <w:tcW w:w="1351" w:type="dxa"/>
            <w:tcBorders>
              <w:top w:val="nil"/>
              <w:left w:val="nil"/>
              <w:right w:val="nil"/>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-41.0%</w:t>
            </w:r>
          </w:p>
        </w:tc>
        <w:tc>
          <w:tcPr>
            <w:tcW w:w="1351" w:type="dxa"/>
            <w:tcBorders>
              <w:top w:val="nil"/>
              <w:left w:val="nil"/>
              <w:right w:val="single" w:sz="4" w:space="0" w:color="auto"/>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32.9%</w:t>
            </w:r>
          </w:p>
        </w:tc>
      </w:tr>
      <w:tr w:rsidR="000430A4" w:rsidRPr="00377876" w:rsidTr="002F32F0">
        <w:trPr>
          <w:trHeight w:val="540"/>
        </w:trPr>
        <w:tc>
          <w:tcPr>
            <w:tcW w:w="5232" w:type="dxa"/>
            <w:tcBorders>
              <w:left w:val="single" w:sz="4" w:space="0" w:color="auto"/>
              <w:bottom w:val="nil"/>
              <w:right w:val="nil"/>
            </w:tcBorders>
            <w:shd w:val="clear" w:color="000000" w:fill="DBE5F1"/>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Average number of pages processed per request completed</w:t>
            </w:r>
          </w:p>
        </w:tc>
        <w:tc>
          <w:tcPr>
            <w:tcW w:w="1351" w:type="dxa"/>
            <w:tcBorders>
              <w:left w:val="nil"/>
              <w:bottom w:val="nil"/>
              <w:right w:val="nil"/>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378</w:t>
            </w:r>
          </w:p>
        </w:tc>
        <w:tc>
          <w:tcPr>
            <w:tcW w:w="1351" w:type="dxa"/>
            <w:tcBorders>
              <w:left w:val="nil"/>
              <w:bottom w:val="nil"/>
              <w:right w:val="nil"/>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538</w:t>
            </w:r>
          </w:p>
        </w:tc>
        <w:tc>
          <w:tcPr>
            <w:tcW w:w="1351" w:type="dxa"/>
            <w:tcBorders>
              <w:left w:val="nil"/>
              <w:bottom w:val="nil"/>
              <w:right w:val="single" w:sz="4" w:space="0" w:color="auto"/>
            </w:tcBorders>
            <w:shd w:val="clear" w:color="000000" w:fill="DBE5F1"/>
            <w:noWrap/>
            <w:vAlign w:val="center"/>
            <w:hideMark/>
          </w:tcPr>
          <w:p w:rsidR="000430A4" w:rsidRPr="00D54A49" w:rsidRDefault="000430A4" w:rsidP="002F32F0">
            <w:pPr>
              <w:spacing w:after="0" w:line="240" w:lineRule="auto"/>
              <w:jc w:val="center"/>
              <w:rPr>
                <w:rFonts w:ascii="Calibri" w:eastAsia="Times New Roman" w:hAnsi="Calibri" w:cs="Times New Roman"/>
                <w:b/>
                <w:bCs/>
                <w:color w:val="000000"/>
              </w:rPr>
            </w:pPr>
            <w:r w:rsidRPr="00D54A49">
              <w:rPr>
                <w:rFonts w:ascii="Calibri" w:eastAsia="Times New Roman" w:hAnsi="Calibri" w:cs="Times New Roman"/>
                <w:b/>
                <w:bCs/>
                <w:color w:val="000000"/>
              </w:rPr>
              <w:t>770</w:t>
            </w:r>
          </w:p>
        </w:tc>
      </w:tr>
      <w:tr w:rsidR="000430A4" w:rsidRPr="00377876" w:rsidTr="002F32F0">
        <w:trPr>
          <w:trHeight w:val="367"/>
        </w:trPr>
        <w:tc>
          <w:tcPr>
            <w:tcW w:w="5232" w:type="dxa"/>
            <w:tcBorders>
              <w:top w:val="nil"/>
              <w:left w:val="single" w:sz="4" w:space="0" w:color="auto"/>
              <w:bottom w:val="single" w:sz="4" w:space="0" w:color="auto"/>
              <w:right w:val="nil"/>
            </w:tcBorders>
            <w:shd w:val="clear" w:color="auto" w:fill="auto"/>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 of requests for which more than 1</w:t>
            </w:r>
            <w:r w:rsidR="0005646E">
              <w:rPr>
                <w:rFonts w:ascii="Calibri" w:eastAsia="Times New Roman" w:hAnsi="Calibri" w:cs="Times New Roman"/>
                <w:color w:val="000000"/>
              </w:rPr>
              <w:t>,</w:t>
            </w:r>
            <w:r w:rsidRPr="00377876">
              <w:rPr>
                <w:rFonts w:ascii="Calibri" w:eastAsia="Times New Roman" w:hAnsi="Calibri" w:cs="Times New Roman"/>
                <w:color w:val="000000"/>
              </w:rPr>
              <w:t>000 pages were processed</w:t>
            </w:r>
          </w:p>
        </w:tc>
        <w:tc>
          <w:tcPr>
            <w:tcW w:w="1351" w:type="dxa"/>
            <w:tcBorders>
              <w:top w:val="nil"/>
              <w:left w:val="nil"/>
              <w:bottom w:val="single" w:sz="4" w:space="0" w:color="auto"/>
              <w:right w:val="nil"/>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8.2%</w:t>
            </w:r>
          </w:p>
        </w:tc>
        <w:tc>
          <w:tcPr>
            <w:tcW w:w="1351" w:type="dxa"/>
            <w:tcBorders>
              <w:top w:val="nil"/>
              <w:left w:val="nil"/>
              <w:bottom w:val="single" w:sz="4" w:space="0" w:color="auto"/>
              <w:right w:val="nil"/>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13.5%</w:t>
            </w:r>
          </w:p>
        </w:tc>
        <w:tc>
          <w:tcPr>
            <w:tcW w:w="1351" w:type="dxa"/>
            <w:tcBorders>
              <w:top w:val="nil"/>
              <w:left w:val="nil"/>
              <w:bottom w:val="single" w:sz="4" w:space="0" w:color="auto"/>
              <w:right w:val="single" w:sz="4" w:space="0" w:color="auto"/>
            </w:tcBorders>
            <w:shd w:val="clear" w:color="auto" w:fill="auto"/>
            <w:noWrap/>
            <w:vAlign w:val="center"/>
            <w:hideMark/>
          </w:tcPr>
          <w:p w:rsidR="000430A4" w:rsidRPr="00D54A49" w:rsidRDefault="000430A4" w:rsidP="002F32F0">
            <w:pPr>
              <w:spacing w:after="0" w:line="240" w:lineRule="auto"/>
              <w:jc w:val="center"/>
              <w:rPr>
                <w:rFonts w:ascii="Calibri" w:eastAsia="Times New Roman" w:hAnsi="Calibri" w:cs="Times New Roman"/>
                <w:color w:val="000000"/>
              </w:rPr>
            </w:pPr>
            <w:r w:rsidRPr="00D54A49">
              <w:rPr>
                <w:rFonts w:ascii="Calibri" w:eastAsia="Times New Roman" w:hAnsi="Calibri" w:cs="Times New Roman"/>
                <w:color w:val="000000"/>
              </w:rPr>
              <w:t>15.0%</w:t>
            </w:r>
          </w:p>
        </w:tc>
      </w:tr>
    </w:tbl>
    <w:p w:rsidR="000430A4" w:rsidRPr="000A6B57" w:rsidRDefault="000430A4" w:rsidP="000430A4">
      <w:pPr>
        <w:pStyle w:val="Heading2"/>
      </w:pPr>
      <w:r w:rsidRPr="000A6B57">
        <w:t>Request completion time</w:t>
      </w:r>
    </w:p>
    <w:p w:rsidR="000430A4" w:rsidRPr="004D30BF" w:rsidRDefault="000430A4" w:rsidP="000430A4">
      <w:pPr>
        <w:pStyle w:val="Heading4"/>
      </w:pPr>
      <w:r w:rsidRPr="004D30BF">
        <w:t>Timeliness</w:t>
      </w:r>
    </w:p>
    <w:p w:rsidR="000430A4" w:rsidRPr="00AC56F9" w:rsidRDefault="000430A4" w:rsidP="000430A4">
      <w:pPr>
        <w:jc w:val="both"/>
        <w:rPr>
          <w:color w:val="000000" w:themeColor="text1"/>
        </w:rPr>
      </w:pPr>
      <w:r w:rsidRPr="00AC56F9">
        <w:rPr>
          <w:color w:val="000000" w:themeColor="text1"/>
        </w:rPr>
        <w:t xml:space="preserve">Figure 1 reveals that </w:t>
      </w:r>
      <w:r>
        <w:rPr>
          <w:color w:val="000000" w:themeColor="text1"/>
        </w:rPr>
        <w:t>44.5</w:t>
      </w:r>
      <w:r w:rsidRPr="00AC56F9">
        <w:rPr>
          <w:color w:val="000000" w:themeColor="text1"/>
        </w:rPr>
        <w:t>%</w:t>
      </w:r>
      <w:r>
        <w:rPr>
          <w:color w:val="000000" w:themeColor="text1"/>
        </w:rPr>
        <w:t xml:space="preserve"> of requests were completed within</w:t>
      </w:r>
      <w:r w:rsidRPr="00AC56F9">
        <w:rPr>
          <w:color w:val="000000" w:themeColor="text1"/>
        </w:rPr>
        <w:t xml:space="preserve"> 30 days or less, which i</w:t>
      </w:r>
      <w:r>
        <w:rPr>
          <w:color w:val="000000" w:themeColor="text1"/>
        </w:rPr>
        <w:t>s slightly lower than the result observed in 2013-2014</w:t>
      </w:r>
      <w:r w:rsidRPr="00AC56F9">
        <w:rPr>
          <w:color w:val="000000" w:themeColor="text1"/>
        </w:rPr>
        <w:t xml:space="preserve">. </w:t>
      </w:r>
      <w:r>
        <w:rPr>
          <w:color w:val="000000" w:themeColor="text1"/>
        </w:rPr>
        <w:t>There is also a slight increase of 1.6% in the completion of requests for more than 365 days.</w:t>
      </w:r>
    </w:p>
    <w:p w:rsidR="000430A4" w:rsidRPr="007566FB" w:rsidRDefault="000430A4" w:rsidP="000430A4">
      <w:pPr>
        <w:pStyle w:val="Heading3"/>
        <w:spacing w:after="200"/>
        <w:rPr>
          <w:sz w:val="24"/>
          <w:szCs w:val="24"/>
        </w:rPr>
      </w:pPr>
      <w:r w:rsidRPr="00594C8D">
        <w:t>Figure 1: Request Completion T</w:t>
      </w:r>
      <w:r>
        <w:t>ime</w:t>
      </w:r>
      <w:r w:rsidRPr="00B66B75">
        <w:rPr>
          <w:noProof/>
          <w:color w:val="FF0000"/>
          <w:sz w:val="24"/>
          <w:szCs w:val="24"/>
        </w:rPr>
        <w:drawing>
          <wp:inline distT="0" distB="0" distL="0" distR="0">
            <wp:extent cx="5899868" cy="3983603"/>
            <wp:effectExtent l="0" t="0" r="5715" b="0"/>
            <wp:docPr id="7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0430A4" w:rsidRPr="00D2368F" w:rsidRDefault="000430A4" w:rsidP="000430A4">
      <w:pPr>
        <w:pStyle w:val="Heading4"/>
      </w:pPr>
      <w:r w:rsidRPr="00D2368F">
        <w:t>Extensions</w:t>
      </w:r>
    </w:p>
    <w:p w:rsidR="000430A4" w:rsidRPr="00DD21D9" w:rsidRDefault="000430A4" w:rsidP="000430A4">
      <w:pPr>
        <w:jc w:val="both"/>
        <w:rPr>
          <w:color w:val="000000" w:themeColor="text1"/>
        </w:rPr>
      </w:pPr>
      <w:r w:rsidRPr="00DD21D9">
        <w:rPr>
          <w:color w:val="000000" w:themeColor="text1"/>
        </w:rPr>
        <w:t>DFO took 365 extensions in 2014-2015 compared to 273 in 2013-2014. The most common reason for taking an extension was consultations (44.1%), followed by interference with operations (32.6%) and third-party notice (23.2%).</w:t>
      </w:r>
    </w:p>
    <w:p w:rsidR="000430A4" w:rsidRPr="00DD21D9" w:rsidRDefault="000430A4" w:rsidP="000430A4">
      <w:pPr>
        <w:jc w:val="both"/>
        <w:rPr>
          <w:color w:val="000000" w:themeColor="text1"/>
        </w:rPr>
      </w:pPr>
      <w:r w:rsidRPr="00DD21D9">
        <w:rPr>
          <w:color w:val="000000" w:themeColor="text1"/>
        </w:rPr>
        <w:t>We note that extensions taken for consultations with other departments increased to 139 in 2014-2015 compared to 94 in 2013-2014. Extensions for third party notice doubled this reporting period from 2013-2014.</w:t>
      </w:r>
    </w:p>
    <w:p w:rsidR="000430A4" w:rsidRPr="00DD21D9" w:rsidRDefault="000430A4" w:rsidP="000430A4">
      <w:pPr>
        <w:jc w:val="both"/>
        <w:rPr>
          <w:color w:val="000000" w:themeColor="text1"/>
        </w:rPr>
      </w:pPr>
      <w:r w:rsidRPr="00DD21D9">
        <w:rPr>
          <w:color w:val="000000" w:themeColor="text1"/>
        </w:rPr>
        <w:t>Figure 2 shows that 29.0% of extensions taken in 2014-2015 were for 30 days or less. This measure is lower by 4.4% compared to 2013-2014. Figure 2 also shows that the number of requests extended between 31 and 60 days in 2014-2015 increased by 3.8% compared to the previous period.</w:t>
      </w:r>
    </w:p>
    <w:p w:rsidR="000430A4" w:rsidRDefault="000430A4" w:rsidP="000430A4">
      <w:pPr>
        <w:pStyle w:val="Heading3"/>
        <w:spacing w:after="200"/>
      </w:pPr>
      <w:r w:rsidRPr="00594C8D">
        <w:t>Figure 2: Length of Extensions</w:t>
      </w:r>
      <w:r w:rsidRPr="00B66B75">
        <w:rPr>
          <w:noProof/>
        </w:rPr>
        <w:drawing>
          <wp:inline distT="0" distB="0" distL="0" distR="0">
            <wp:extent cx="5900468" cy="4183811"/>
            <wp:effectExtent l="0" t="0" r="5080" b="7620"/>
            <wp:docPr id="7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0430A4" w:rsidRPr="00D2368F" w:rsidRDefault="000430A4" w:rsidP="000430A4">
      <w:pPr>
        <w:pStyle w:val="Heading4"/>
      </w:pPr>
      <w:r>
        <w:t>Deemed refusals</w:t>
      </w:r>
    </w:p>
    <w:p w:rsidR="000430A4" w:rsidRPr="00DD21D9" w:rsidRDefault="000430A4" w:rsidP="000430A4">
      <w:pPr>
        <w:jc w:val="both"/>
      </w:pPr>
      <w:r w:rsidRPr="00DD21D9">
        <w:t>In 2014-2015, the number of requests closed past the statutory deadline was 91, which accounts for 18.1% of completed requests, which is similar to results of the last period. This rate represents a “D” grade.</w:t>
      </w:r>
      <w:r w:rsidRPr="00DD21D9">
        <w:rPr>
          <w:rStyle w:val="FootnoteReference"/>
        </w:rPr>
        <w:footnoteReference w:id="91"/>
      </w:r>
      <w:r w:rsidRPr="00DD21D9">
        <w:t xml:space="preserve"> The most common reason for overdue requests was workload (79.1%), followed by external consultations (20.9%).</w:t>
      </w:r>
    </w:p>
    <w:p w:rsidR="000430A4" w:rsidRPr="00DD21D9" w:rsidRDefault="000430A4" w:rsidP="000430A4">
      <w:pPr>
        <w:jc w:val="both"/>
      </w:pPr>
      <w:r w:rsidRPr="00DD21D9">
        <w:t>Figure 3 shows 13.2%</w:t>
      </w:r>
      <w:r w:rsidR="0005646E">
        <w:t xml:space="preserve"> were late by 30 days or less. </w:t>
      </w:r>
      <w:r w:rsidRPr="00DD21D9">
        <w:t>The percentage of requests overdue for more than 365 days increased from 12% in 2013-2014 to 38.5% in this reporting period. DFO’s annual report on the administration of the Act attributes delay to the substantial increase in the volume of requests received (see workload section).</w:t>
      </w:r>
    </w:p>
    <w:p w:rsidR="000430A4" w:rsidRPr="00FD621C" w:rsidRDefault="000430A4" w:rsidP="000430A4">
      <w:pPr>
        <w:pStyle w:val="Heading3"/>
        <w:spacing w:after="200"/>
      </w:pPr>
      <w:r>
        <w:t>Figure 3: Lateness of Overdue R</w:t>
      </w:r>
      <w:r w:rsidRPr="00594C8D">
        <w:t>equests</w:t>
      </w:r>
      <w:r w:rsidRPr="00B66B75">
        <w:rPr>
          <w:noProof/>
        </w:rPr>
        <w:drawing>
          <wp:inline distT="0" distB="0" distL="0" distR="0">
            <wp:extent cx="6055743" cy="4088921"/>
            <wp:effectExtent l="0" t="0" r="2540" b="6985"/>
            <wp:docPr id="7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0430A4" w:rsidRPr="000A6B57" w:rsidRDefault="000430A4" w:rsidP="000430A4">
      <w:pPr>
        <w:pStyle w:val="Heading2"/>
      </w:pPr>
      <w:r w:rsidRPr="000A6B57">
        <w:t>Disclosure</w:t>
      </w:r>
    </w:p>
    <w:p w:rsidR="000430A4" w:rsidRPr="00D2368F" w:rsidRDefault="000430A4" w:rsidP="000430A4">
      <w:pPr>
        <w:pStyle w:val="Heading4"/>
      </w:pPr>
      <w:r w:rsidRPr="00D2368F">
        <w:t xml:space="preserve">Percentage of requests for </w:t>
      </w:r>
      <w:r>
        <w:t>which information was disclosed</w:t>
      </w:r>
    </w:p>
    <w:p w:rsidR="000430A4" w:rsidRPr="00AC56F9" w:rsidRDefault="000430A4" w:rsidP="000430A4">
      <w:pPr>
        <w:jc w:val="both"/>
        <w:rPr>
          <w:color w:val="000000" w:themeColor="text1"/>
        </w:rPr>
      </w:pPr>
      <w:r w:rsidRPr="00E318D1">
        <w:t xml:space="preserve">In 2014-2015, </w:t>
      </w:r>
      <w:r>
        <w:t>12.9</w:t>
      </w:r>
      <w:r w:rsidRPr="00E318D1">
        <w:t xml:space="preserve">% of completed requests were entirely disclosed, which is the lowest disclosure rate since 2012 (see Figure 4). Figure 4 also shows that the rate for partially disclosed requests was </w:t>
      </w:r>
      <w:r>
        <w:t>55.5</w:t>
      </w:r>
      <w:r w:rsidRPr="00E318D1">
        <w:t xml:space="preserve">% in 2014-2015, which is an increase of </w:t>
      </w:r>
      <w:r>
        <w:t>4.9% from the previous period.</w:t>
      </w:r>
    </w:p>
    <w:p w:rsidR="000430A4" w:rsidRDefault="000430A4" w:rsidP="000430A4">
      <w:pPr>
        <w:pStyle w:val="Heading3"/>
        <w:spacing w:after="200"/>
      </w:pPr>
      <w:r w:rsidRPr="00721DFD">
        <w:t>Figure 4: Level of Disclosure</w:t>
      </w:r>
      <w:r w:rsidRPr="00B66B75">
        <w:rPr>
          <w:noProof/>
        </w:rPr>
        <w:drawing>
          <wp:inline distT="0" distB="0" distL="0" distR="0">
            <wp:extent cx="5900468" cy="3657600"/>
            <wp:effectExtent l="0" t="0" r="5080" b="0"/>
            <wp:docPr id="7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0430A4" w:rsidRPr="00D2368F" w:rsidRDefault="000430A4" w:rsidP="000430A4">
      <w:pPr>
        <w:pStyle w:val="Heading4"/>
      </w:pPr>
      <w:r>
        <w:t>Exemptions</w:t>
      </w:r>
    </w:p>
    <w:p w:rsidR="000430A4" w:rsidRPr="00DD21D9" w:rsidRDefault="000430A4" w:rsidP="000430A4">
      <w:pPr>
        <w:jc w:val="both"/>
      </w:pPr>
      <w:r w:rsidRPr="00DD21D9">
        <w:t>DFO applied 967 exemptions in 2014-2015 compared to 747 in the previous period. There is almost no change in the average number of exemptions used per completed request (1.92 in 2014-2015 and 1.88 in 2013-2014) (see Table 2). The most common exemptions in 2014-2015 were section 21 (Government Operations) (32.8%), followed by section 19 (Personal Information) (24.9%) and section 20 (Third-Party Information) (16.5%).</w:t>
      </w:r>
    </w:p>
    <w:p w:rsidR="000430A4" w:rsidRPr="00916BD0" w:rsidRDefault="000430A4" w:rsidP="000430A4">
      <w:pPr>
        <w:pStyle w:val="Heading3"/>
      </w:pPr>
      <w:r w:rsidRPr="00916BD0">
        <w:t xml:space="preserve">Table </w:t>
      </w:r>
      <w:r>
        <w:t>2</w:t>
      </w:r>
      <w:r w:rsidRPr="00916BD0">
        <w:t>: Exemptions</w:t>
      </w:r>
    </w:p>
    <w:tbl>
      <w:tblPr>
        <w:tblW w:w="9428" w:type="dxa"/>
        <w:tblInd w:w="98" w:type="dxa"/>
        <w:tblLook w:val="04A0"/>
      </w:tblPr>
      <w:tblGrid>
        <w:gridCol w:w="5414"/>
        <w:gridCol w:w="1338"/>
        <w:gridCol w:w="1338"/>
        <w:gridCol w:w="1338"/>
      </w:tblGrid>
      <w:tr w:rsidR="000430A4" w:rsidRPr="00377876" w:rsidTr="002F32F0">
        <w:trPr>
          <w:trHeight w:val="310"/>
        </w:trPr>
        <w:tc>
          <w:tcPr>
            <w:tcW w:w="5414"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 xml:space="preserve">Exemptions </w:t>
            </w:r>
          </w:p>
        </w:tc>
        <w:tc>
          <w:tcPr>
            <w:tcW w:w="1338" w:type="dxa"/>
            <w:tcBorders>
              <w:top w:val="single" w:sz="8" w:space="0" w:color="auto"/>
              <w:left w:val="nil"/>
              <w:bottom w:val="single" w:sz="8" w:space="0" w:color="auto"/>
              <w:right w:val="nil"/>
            </w:tcBorders>
            <w:shd w:val="clear" w:color="000000" w:fill="DBE5F1"/>
            <w:noWrap/>
            <w:vAlign w:val="bottom"/>
            <w:hideMark/>
          </w:tcPr>
          <w:p w:rsidR="000430A4" w:rsidRPr="00377876" w:rsidRDefault="000430A4" w:rsidP="002F32F0">
            <w:pPr>
              <w:spacing w:after="0" w:line="240" w:lineRule="auto"/>
              <w:jc w:val="center"/>
              <w:rPr>
                <w:rFonts w:ascii="Calibri" w:eastAsia="Times New Roman" w:hAnsi="Calibri" w:cs="Times New Roman"/>
                <w:b/>
                <w:bCs/>
                <w:color w:val="000000"/>
              </w:rPr>
            </w:pPr>
            <w:r w:rsidRPr="00377876">
              <w:rPr>
                <w:rFonts w:ascii="Calibri" w:eastAsia="Times New Roman" w:hAnsi="Calibri" w:cs="Times New Roman"/>
                <w:b/>
                <w:bCs/>
                <w:color w:val="000000"/>
              </w:rPr>
              <w:t>2012-2013</w:t>
            </w:r>
          </w:p>
        </w:tc>
        <w:tc>
          <w:tcPr>
            <w:tcW w:w="1338" w:type="dxa"/>
            <w:tcBorders>
              <w:top w:val="single" w:sz="8" w:space="0" w:color="auto"/>
              <w:left w:val="nil"/>
              <w:bottom w:val="single" w:sz="8" w:space="0" w:color="auto"/>
              <w:right w:val="nil"/>
            </w:tcBorders>
            <w:shd w:val="clear" w:color="000000" w:fill="DBE5F1"/>
            <w:noWrap/>
            <w:vAlign w:val="bottom"/>
            <w:hideMark/>
          </w:tcPr>
          <w:p w:rsidR="000430A4" w:rsidRPr="00377876" w:rsidRDefault="000430A4" w:rsidP="002F32F0">
            <w:pPr>
              <w:spacing w:after="0" w:line="240" w:lineRule="auto"/>
              <w:jc w:val="center"/>
              <w:rPr>
                <w:rFonts w:ascii="Calibri" w:eastAsia="Times New Roman" w:hAnsi="Calibri" w:cs="Times New Roman"/>
                <w:b/>
                <w:bCs/>
                <w:color w:val="000000"/>
              </w:rPr>
            </w:pPr>
            <w:r w:rsidRPr="00377876">
              <w:rPr>
                <w:rFonts w:ascii="Calibri" w:eastAsia="Times New Roman" w:hAnsi="Calibri" w:cs="Times New Roman"/>
                <w:b/>
                <w:bCs/>
                <w:color w:val="000000"/>
              </w:rPr>
              <w:t>2013-2014</w:t>
            </w:r>
          </w:p>
        </w:tc>
        <w:tc>
          <w:tcPr>
            <w:tcW w:w="1338"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377876" w:rsidRDefault="000430A4" w:rsidP="002F32F0">
            <w:pPr>
              <w:spacing w:after="0" w:line="240" w:lineRule="auto"/>
              <w:jc w:val="center"/>
              <w:rPr>
                <w:rFonts w:ascii="Calibri" w:eastAsia="Times New Roman" w:hAnsi="Calibri" w:cs="Times New Roman"/>
                <w:b/>
                <w:bCs/>
                <w:color w:val="000000"/>
              </w:rPr>
            </w:pPr>
            <w:r w:rsidRPr="00377876">
              <w:rPr>
                <w:rFonts w:ascii="Calibri" w:eastAsia="Times New Roman" w:hAnsi="Calibri" w:cs="Times New Roman"/>
                <w:b/>
                <w:bCs/>
                <w:color w:val="000000"/>
              </w:rPr>
              <w:t>2014-2015</w:t>
            </w:r>
          </w:p>
        </w:tc>
      </w:tr>
      <w:tr w:rsidR="000430A4" w:rsidRPr="00377876" w:rsidTr="002F32F0">
        <w:trPr>
          <w:trHeight w:val="294"/>
        </w:trPr>
        <w:tc>
          <w:tcPr>
            <w:tcW w:w="5414" w:type="dxa"/>
            <w:tcBorders>
              <w:top w:val="nil"/>
              <w:left w:val="single" w:sz="8" w:space="0" w:color="auto"/>
              <w:bottom w:val="nil"/>
              <w:right w:val="nil"/>
            </w:tcBorders>
            <w:shd w:val="clear" w:color="auto" w:fill="auto"/>
            <w:noWrap/>
            <w:vAlign w:val="bottom"/>
            <w:hideMark/>
          </w:tcPr>
          <w:p w:rsidR="000430A4" w:rsidRPr="00377876"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377876">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377876">
              <w:rPr>
                <w:rFonts w:ascii="Calibri" w:eastAsia="Times New Roman" w:hAnsi="Calibri" w:cs="Times New Roman"/>
                <w:color w:val="000000"/>
              </w:rPr>
              <w:t xml:space="preserve"> </w:t>
            </w:r>
          </w:p>
        </w:tc>
        <w:tc>
          <w:tcPr>
            <w:tcW w:w="1338" w:type="dxa"/>
            <w:tcBorders>
              <w:top w:val="nil"/>
              <w:left w:val="nil"/>
              <w:bottom w:val="nil"/>
              <w:right w:val="nil"/>
            </w:tcBorders>
            <w:shd w:val="clear" w:color="auto" w:fill="auto"/>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sidRPr="00377876">
              <w:rPr>
                <w:rFonts w:ascii="Calibri" w:eastAsia="Times New Roman" w:hAnsi="Calibri" w:cs="Times New Roman"/>
                <w:color w:val="000000"/>
              </w:rPr>
              <w:t>643</w:t>
            </w:r>
          </w:p>
        </w:tc>
        <w:tc>
          <w:tcPr>
            <w:tcW w:w="1338" w:type="dxa"/>
            <w:tcBorders>
              <w:top w:val="nil"/>
              <w:left w:val="nil"/>
              <w:bottom w:val="nil"/>
              <w:right w:val="nil"/>
            </w:tcBorders>
            <w:shd w:val="clear" w:color="auto" w:fill="auto"/>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sidRPr="00377876">
              <w:rPr>
                <w:rFonts w:ascii="Calibri" w:eastAsia="Times New Roman" w:hAnsi="Calibri" w:cs="Times New Roman"/>
                <w:color w:val="000000"/>
              </w:rPr>
              <w:t>747</w:t>
            </w:r>
          </w:p>
        </w:tc>
        <w:tc>
          <w:tcPr>
            <w:tcW w:w="1338" w:type="dxa"/>
            <w:tcBorders>
              <w:top w:val="nil"/>
              <w:left w:val="nil"/>
              <w:bottom w:val="nil"/>
              <w:right w:val="single" w:sz="8" w:space="0" w:color="auto"/>
            </w:tcBorders>
            <w:shd w:val="clear" w:color="auto" w:fill="auto"/>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sidRPr="00377876">
              <w:rPr>
                <w:rFonts w:ascii="Calibri" w:eastAsia="Times New Roman" w:hAnsi="Calibri" w:cs="Times New Roman"/>
                <w:color w:val="000000"/>
              </w:rPr>
              <w:t>967</w:t>
            </w:r>
          </w:p>
        </w:tc>
      </w:tr>
      <w:tr w:rsidR="000430A4" w:rsidRPr="00377876" w:rsidTr="002F32F0">
        <w:trPr>
          <w:trHeight w:val="294"/>
        </w:trPr>
        <w:tc>
          <w:tcPr>
            <w:tcW w:w="5414" w:type="dxa"/>
            <w:tcBorders>
              <w:top w:val="nil"/>
              <w:left w:val="single" w:sz="8" w:space="0" w:color="auto"/>
              <w:bottom w:val="nil"/>
              <w:right w:val="nil"/>
            </w:tcBorders>
            <w:shd w:val="clear" w:color="auto" w:fill="auto"/>
            <w:noWrap/>
            <w:vAlign w:val="bottom"/>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Total number of completed requests</w:t>
            </w:r>
          </w:p>
        </w:tc>
        <w:tc>
          <w:tcPr>
            <w:tcW w:w="1338" w:type="dxa"/>
            <w:tcBorders>
              <w:top w:val="nil"/>
              <w:left w:val="nil"/>
              <w:bottom w:val="nil"/>
              <w:right w:val="nil"/>
            </w:tcBorders>
            <w:shd w:val="clear" w:color="auto" w:fill="auto"/>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sidRPr="00377876">
              <w:rPr>
                <w:rFonts w:ascii="Calibri" w:eastAsia="Times New Roman" w:hAnsi="Calibri" w:cs="Times New Roman"/>
                <w:color w:val="000000"/>
              </w:rPr>
              <w:t>453</w:t>
            </w:r>
          </w:p>
        </w:tc>
        <w:tc>
          <w:tcPr>
            <w:tcW w:w="1338" w:type="dxa"/>
            <w:tcBorders>
              <w:top w:val="nil"/>
              <w:left w:val="nil"/>
              <w:bottom w:val="nil"/>
              <w:right w:val="nil"/>
            </w:tcBorders>
            <w:shd w:val="clear" w:color="auto" w:fill="auto"/>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sidRPr="00377876">
              <w:rPr>
                <w:rFonts w:ascii="Calibri" w:eastAsia="Times New Roman" w:hAnsi="Calibri" w:cs="Times New Roman"/>
                <w:color w:val="000000"/>
              </w:rPr>
              <w:t>397</w:t>
            </w:r>
          </w:p>
        </w:tc>
        <w:tc>
          <w:tcPr>
            <w:tcW w:w="1338" w:type="dxa"/>
            <w:tcBorders>
              <w:top w:val="nil"/>
              <w:left w:val="nil"/>
              <w:bottom w:val="nil"/>
              <w:right w:val="single" w:sz="8" w:space="0" w:color="auto"/>
            </w:tcBorders>
            <w:shd w:val="clear" w:color="auto" w:fill="auto"/>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sidRPr="00377876">
              <w:rPr>
                <w:rFonts w:ascii="Calibri" w:eastAsia="Times New Roman" w:hAnsi="Calibri" w:cs="Times New Roman"/>
                <w:color w:val="000000"/>
              </w:rPr>
              <w:t>503</w:t>
            </w:r>
          </w:p>
        </w:tc>
      </w:tr>
      <w:tr w:rsidR="000430A4" w:rsidRPr="00377876" w:rsidTr="002F32F0">
        <w:trPr>
          <w:trHeight w:val="310"/>
        </w:trPr>
        <w:tc>
          <w:tcPr>
            <w:tcW w:w="5414" w:type="dxa"/>
            <w:tcBorders>
              <w:top w:val="nil"/>
              <w:left w:val="single" w:sz="8" w:space="0" w:color="auto"/>
              <w:bottom w:val="single" w:sz="8" w:space="0" w:color="auto"/>
              <w:right w:val="nil"/>
            </w:tcBorders>
            <w:shd w:val="clear" w:color="000000" w:fill="DBE5F1"/>
            <w:noWrap/>
            <w:vAlign w:val="bottom"/>
            <w:hideMark/>
          </w:tcPr>
          <w:p w:rsidR="000430A4" w:rsidRPr="00377876" w:rsidRDefault="000430A4" w:rsidP="002F32F0">
            <w:pPr>
              <w:spacing w:after="0" w:line="240" w:lineRule="auto"/>
              <w:rPr>
                <w:rFonts w:ascii="Calibri" w:eastAsia="Times New Roman" w:hAnsi="Calibri" w:cs="Times New Roman"/>
                <w:color w:val="000000"/>
              </w:rPr>
            </w:pPr>
            <w:r w:rsidRPr="00377876">
              <w:rPr>
                <w:rFonts w:ascii="Calibri" w:eastAsia="Times New Roman" w:hAnsi="Calibri" w:cs="Times New Roman"/>
                <w:color w:val="000000"/>
              </w:rPr>
              <w:t xml:space="preserve">Average number of exemptions per request </w:t>
            </w:r>
          </w:p>
        </w:tc>
        <w:tc>
          <w:tcPr>
            <w:tcW w:w="1338" w:type="dxa"/>
            <w:tcBorders>
              <w:top w:val="nil"/>
              <w:left w:val="nil"/>
              <w:bottom w:val="single" w:sz="8" w:space="0" w:color="auto"/>
              <w:right w:val="nil"/>
            </w:tcBorders>
            <w:shd w:val="clear" w:color="000000" w:fill="DBE5F1"/>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sidRPr="00377876">
              <w:rPr>
                <w:rFonts w:ascii="Calibri" w:eastAsia="Times New Roman" w:hAnsi="Calibri" w:cs="Times New Roman"/>
                <w:color w:val="000000"/>
              </w:rPr>
              <w:t>1.4</w:t>
            </w:r>
            <w:r>
              <w:rPr>
                <w:rFonts w:ascii="Calibri" w:eastAsia="Times New Roman" w:hAnsi="Calibri" w:cs="Times New Roman"/>
                <w:color w:val="000000"/>
              </w:rPr>
              <w:t>2</w:t>
            </w:r>
          </w:p>
        </w:tc>
        <w:tc>
          <w:tcPr>
            <w:tcW w:w="1338" w:type="dxa"/>
            <w:tcBorders>
              <w:top w:val="nil"/>
              <w:left w:val="nil"/>
              <w:bottom w:val="single" w:sz="8" w:space="0" w:color="auto"/>
              <w:right w:val="nil"/>
            </w:tcBorders>
            <w:shd w:val="clear" w:color="000000" w:fill="DBE5F1"/>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1.88</w:t>
            </w:r>
          </w:p>
        </w:tc>
        <w:tc>
          <w:tcPr>
            <w:tcW w:w="1338" w:type="dxa"/>
            <w:tcBorders>
              <w:top w:val="nil"/>
              <w:left w:val="nil"/>
              <w:bottom w:val="single" w:sz="8" w:space="0" w:color="auto"/>
              <w:right w:val="single" w:sz="8" w:space="0" w:color="auto"/>
            </w:tcBorders>
            <w:shd w:val="clear" w:color="000000" w:fill="DBE5F1"/>
            <w:noWrap/>
            <w:vAlign w:val="bottom"/>
            <w:hideMark/>
          </w:tcPr>
          <w:p w:rsidR="000430A4" w:rsidRPr="00377876" w:rsidRDefault="000430A4" w:rsidP="002F32F0">
            <w:pPr>
              <w:spacing w:after="0" w:line="240" w:lineRule="auto"/>
              <w:jc w:val="center"/>
              <w:rPr>
                <w:rFonts w:ascii="Calibri" w:eastAsia="Times New Roman" w:hAnsi="Calibri" w:cs="Times New Roman"/>
                <w:color w:val="000000"/>
              </w:rPr>
            </w:pPr>
            <w:r w:rsidRPr="00377876">
              <w:rPr>
                <w:rFonts w:ascii="Calibri" w:eastAsia="Times New Roman" w:hAnsi="Calibri" w:cs="Times New Roman"/>
                <w:color w:val="000000"/>
              </w:rPr>
              <w:t>1.9</w:t>
            </w:r>
            <w:r>
              <w:rPr>
                <w:rFonts w:ascii="Calibri" w:eastAsia="Times New Roman" w:hAnsi="Calibri" w:cs="Times New Roman"/>
                <w:color w:val="000000"/>
              </w:rPr>
              <w:t>2</w:t>
            </w:r>
          </w:p>
        </w:tc>
      </w:tr>
    </w:tbl>
    <w:p w:rsidR="000430A4" w:rsidRPr="000A6B57" w:rsidRDefault="000430A4" w:rsidP="000430A4">
      <w:pPr>
        <w:pStyle w:val="Heading2"/>
        <w:spacing w:before="240"/>
      </w:pPr>
      <w:r w:rsidRPr="000A6B57">
        <w:t>Complaints at the OIC</w:t>
      </w:r>
    </w:p>
    <w:p w:rsidR="000430A4" w:rsidRDefault="000430A4" w:rsidP="000430A4">
      <w:pPr>
        <w:jc w:val="both"/>
      </w:pPr>
      <w:r w:rsidRPr="00943BCD">
        <w:t xml:space="preserve">The number of complaints received </w:t>
      </w:r>
      <w:r>
        <w:t xml:space="preserve">by the OIC </w:t>
      </w:r>
      <w:r w:rsidRPr="00943BCD">
        <w:t>against DFO decreased from 21 in 2013-2014 to 18 in 2014-2015.</w:t>
      </w:r>
      <w:r>
        <w:rPr>
          <w:rStyle w:val="FootnoteReference"/>
        </w:rPr>
        <w:footnoteReference w:id="92"/>
      </w:r>
      <w:r w:rsidRPr="00943BCD">
        <w:t xml:space="preserve"> The </w:t>
      </w:r>
      <w:r>
        <w:t>number</w:t>
      </w:r>
      <w:r w:rsidRPr="00943BCD">
        <w:t xml:space="preserve"> of administrative complaints increased compared to the previous period (13 administrative and 8 refusal complaints in 2013-2014 </w:t>
      </w:r>
      <w:r w:rsidR="008D1C4C">
        <w:t xml:space="preserve">to 17 administrative and 1 </w:t>
      </w:r>
      <w:r w:rsidRPr="00943BCD">
        <w:t>refusal com</w:t>
      </w:r>
      <w:r w:rsidR="008D1C4C">
        <w:t>plaints in 2014-2015</w:t>
      </w:r>
      <w:r w:rsidRPr="00943BCD">
        <w:t>).</w:t>
      </w:r>
    </w:p>
    <w:p w:rsidR="000430A4" w:rsidRPr="00594C8D" w:rsidRDefault="000430A4" w:rsidP="000430A4">
      <w:pPr>
        <w:jc w:val="both"/>
      </w:pPr>
      <w:r>
        <w:t>Of the ones received in 2014-2015, 13</w:t>
      </w:r>
      <w:r w:rsidRPr="00943BCD">
        <w:t xml:space="preserve"> were well founded and resolved. Dis</w:t>
      </w:r>
      <w:r>
        <w:t xml:space="preserve">continued </w:t>
      </w:r>
      <w:r w:rsidRPr="00943BCD">
        <w:t>and pending complaints accounted for 3 and 2 complaints,</w:t>
      </w:r>
      <w:r>
        <w:t xml:space="preserve"> respectively.</w:t>
      </w:r>
    </w:p>
    <w:p w:rsidR="000430A4" w:rsidRDefault="000430A4">
      <w:r>
        <w:br w:type="page"/>
      </w:r>
    </w:p>
    <w:p w:rsidR="000430A4" w:rsidRPr="00090A92" w:rsidRDefault="000430A4" w:rsidP="000430A4">
      <w:pPr>
        <w:pStyle w:val="Heading1"/>
      </w:pPr>
      <w:r w:rsidRPr="00090A92">
        <w:t>Ca</w:t>
      </w:r>
      <w:r>
        <w:t>nadian Broadcasting Corporation</w:t>
      </w:r>
    </w:p>
    <w:p w:rsidR="000430A4" w:rsidRPr="00AD3F33" w:rsidRDefault="000430A4" w:rsidP="000430A4">
      <w:pPr>
        <w:pStyle w:val="Heading2"/>
      </w:pPr>
      <w:r w:rsidRPr="00AD3F33">
        <w:t>Overall performance</w:t>
      </w:r>
      <w:r>
        <w:rPr>
          <w:rStyle w:val="FootnoteReference"/>
        </w:rPr>
        <w:footnoteReference w:id="93"/>
      </w:r>
    </w:p>
    <w:p w:rsidR="000430A4" w:rsidRPr="007C3149" w:rsidRDefault="000430A4" w:rsidP="000430A4">
      <w:pPr>
        <w:jc w:val="both"/>
      </w:pPr>
      <w:r w:rsidRPr="000939CF">
        <w:t xml:space="preserve">In 2014-2015, the Canadian Broadcasting Corporation (CBC) </w:t>
      </w:r>
      <w:r>
        <w:t>experienced a decrease of 20.1</w:t>
      </w:r>
      <w:r w:rsidRPr="000939CF">
        <w:t>% in the number of requests received and improved the percentage of requests completed within 30 days by 15.4%</w:t>
      </w:r>
      <w:r>
        <w:t xml:space="preserve">. </w:t>
      </w:r>
      <w:r w:rsidRPr="007C3149">
        <w:t>This report provides comparative statistics for the last three periods (2012-2015).</w:t>
      </w:r>
    </w:p>
    <w:p w:rsidR="000430A4" w:rsidRPr="00AD3F33" w:rsidRDefault="000430A4" w:rsidP="000430A4">
      <w:pPr>
        <w:pStyle w:val="Heading2"/>
        <w:tabs>
          <w:tab w:val="left" w:pos="3731"/>
        </w:tabs>
      </w:pPr>
      <w:r w:rsidRPr="00AD3F33">
        <w:t>Workload</w:t>
      </w:r>
      <w:r>
        <w:tab/>
      </w:r>
    </w:p>
    <w:p w:rsidR="000430A4" w:rsidRDefault="000430A4" w:rsidP="000430A4">
      <w:pPr>
        <w:jc w:val="both"/>
      </w:pPr>
      <w:r>
        <w:t>CBC received 127 requests this reporting period, representing</w:t>
      </w:r>
      <w:r w:rsidRPr="007C3149">
        <w:t xml:space="preserve"> 0.2% percent of the total requests received government-wide under the </w:t>
      </w:r>
      <w:r w:rsidRPr="007C3149">
        <w:rPr>
          <w:i/>
        </w:rPr>
        <w:t>Access to Information Act</w:t>
      </w:r>
      <w:r w:rsidRPr="007C3149">
        <w:t xml:space="preserve"> (the Act)</w:t>
      </w:r>
      <w:r>
        <w:t>. It is a 20.1% decrease compared to 2013-2014. The majority of requests were from the public (59.1%), followed by the media (29.1%).</w:t>
      </w:r>
    </w:p>
    <w:p w:rsidR="000430A4" w:rsidRDefault="000430A4" w:rsidP="000430A4">
      <w:pPr>
        <w:jc w:val="both"/>
      </w:pPr>
      <w:r>
        <w:t>CBC completed 149 requests in 2014-2015.</w:t>
      </w:r>
      <w:r w:rsidRPr="000939CF">
        <w:t>CBC had a completion rate</w:t>
      </w:r>
      <w:r w:rsidRPr="000939CF">
        <w:rPr>
          <w:rStyle w:val="FootnoteReference"/>
        </w:rPr>
        <w:footnoteReference w:id="94"/>
      </w:r>
      <w:r w:rsidRPr="000939CF">
        <w:t xml:space="preserve"> of 92</w:t>
      </w:r>
      <w:r>
        <w:t>.0</w:t>
      </w:r>
      <w:r w:rsidRPr="000939CF">
        <w:t xml:space="preserve">% in 2014-2015, which is higher than the government-wide completion rate of 85.1% </w:t>
      </w:r>
      <w:r>
        <w:t>and a 10.5</w:t>
      </w:r>
      <w:r w:rsidRPr="000939CF">
        <w:t xml:space="preserve">% improvement from the last period. The CBC also received 11 informal requests, all of which were completed in 15 days or less.  The number of consultations received by CBC from other federal government institutions increased from 12 </w:t>
      </w:r>
      <w:r>
        <w:t xml:space="preserve">in 2013-2014 </w:t>
      </w:r>
      <w:r w:rsidRPr="000939CF">
        <w:t>to</w:t>
      </w:r>
      <w:r>
        <w:t xml:space="preserve"> 45.</w:t>
      </w:r>
    </w:p>
    <w:p w:rsidR="000430A4" w:rsidRDefault="000430A4" w:rsidP="000430A4">
      <w:pPr>
        <w:jc w:val="both"/>
      </w:pPr>
      <w:r>
        <w:t>The average number of pages processed per completed request was 108, compared to 336 in 2013-2014. The proportion of requests for which more than 1,000 pages were processed also decreased by 4.7%.</w:t>
      </w:r>
    </w:p>
    <w:p w:rsidR="000430A4" w:rsidRDefault="000430A4" w:rsidP="000430A4">
      <w:pPr>
        <w:jc w:val="both"/>
      </w:pPr>
      <w:r>
        <w:t>The information released by CBC was mostly in electronic format (61) compared to requests in paper format (35).</w:t>
      </w:r>
    </w:p>
    <w:p w:rsidR="000430A4" w:rsidRPr="00C94B5A" w:rsidRDefault="000430A4" w:rsidP="000430A4">
      <w:pPr>
        <w:pStyle w:val="Heading3"/>
      </w:pPr>
      <w:r w:rsidRPr="00C94B5A">
        <w:t>Table 1: Workload</w:t>
      </w:r>
    </w:p>
    <w:tbl>
      <w:tblPr>
        <w:tblW w:w="9486" w:type="dxa"/>
        <w:tblInd w:w="98" w:type="dxa"/>
        <w:tblBorders>
          <w:top w:val="single" w:sz="4" w:space="0" w:color="auto"/>
          <w:left w:val="single" w:sz="4" w:space="0" w:color="auto"/>
          <w:bottom w:val="single" w:sz="4" w:space="0" w:color="auto"/>
          <w:right w:val="single" w:sz="4" w:space="0" w:color="auto"/>
        </w:tblBorders>
        <w:tblLook w:val="04A0"/>
      </w:tblPr>
      <w:tblGrid>
        <w:gridCol w:w="5123"/>
        <w:gridCol w:w="1398"/>
        <w:gridCol w:w="1665"/>
        <w:gridCol w:w="1300"/>
      </w:tblGrid>
      <w:tr w:rsidR="000430A4" w:rsidRPr="00B6188F" w:rsidTr="002F32F0">
        <w:trPr>
          <w:trHeight w:val="319"/>
        </w:trPr>
        <w:tc>
          <w:tcPr>
            <w:tcW w:w="5123" w:type="dxa"/>
            <w:shd w:val="clear" w:color="auto" w:fill="auto"/>
            <w:noWrap/>
            <w:vAlign w:val="bottom"/>
            <w:hideMark/>
          </w:tcPr>
          <w:p w:rsidR="000430A4" w:rsidRPr="00B6188F" w:rsidRDefault="000430A4" w:rsidP="002F32F0">
            <w:pPr>
              <w:spacing w:after="0" w:line="240" w:lineRule="auto"/>
              <w:rPr>
                <w:rFonts w:ascii="Calibri" w:eastAsia="Times New Roman" w:hAnsi="Calibri" w:cs="Times New Roman"/>
                <w:color w:val="000000"/>
              </w:rPr>
            </w:pPr>
            <w:r w:rsidRPr="00B6188F">
              <w:rPr>
                <w:rFonts w:ascii="Calibri" w:eastAsia="Times New Roman" w:hAnsi="Calibri" w:cs="Times New Roman"/>
                <w:color w:val="000000"/>
              </w:rPr>
              <w:t xml:space="preserve">Measures </w:t>
            </w:r>
          </w:p>
        </w:tc>
        <w:tc>
          <w:tcPr>
            <w:tcW w:w="1398" w:type="dxa"/>
            <w:shd w:val="clear" w:color="auto" w:fill="auto"/>
            <w:noWrap/>
            <w:vAlign w:val="bottom"/>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2012-2013</w:t>
            </w:r>
          </w:p>
        </w:tc>
        <w:tc>
          <w:tcPr>
            <w:tcW w:w="1665" w:type="dxa"/>
            <w:shd w:val="clear" w:color="auto" w:fill="auto"/>
            <w:noWrap/>
            <w:vAlign w:val="bottom"/>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2013-2014</w:t>
            </w:r>
          </w:p>
        </w:tc>
        <w:tc>
          <w:tcPr>
            <w:tcW w:w="1300" w:type="dxa"/>
            <w:shd w:val="clear" w:color="auto" w:fill="auto"/>
            <w:noWrap/>
            <w:vAlign w:val="bottom"/>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2014-2015</w:t>
            </w:r>
          </w:p>
        </w:tc>
      </w:tr>
      <w:tr w:rsidR="000430A4" w:rsidRPr="00B6188F" w:rsidTr="002F32F0">
        <w:trPr>
          <w:trHeight w:val="304"/>
        </w:trPr>
        <w:tc>
          <w:tcPr>
            <w:tcW w:w="5123" w:type="dxa"/>
            <w:shd w:val="clear" w:color="000000" w:fill="DBE5F1"/>
            <w:noWrap/>
            <w:hideMark/>
          </w:tcPr>
          <w:p w:rsidR="000430A4" w:rsidRPr="00B6188F" w:rsidRDefault="000430A4" w:rsidP="002F32F0">
            <w:pPr>
              <w:spacing w:after="0" w:line="240" w:lineRule="auto"/>
              <w:rPr>
                <w:rFonts w:ascii="Calibri" w:eastAsia="Times New Roman" w:hAnsi="Calibri" w:cs="Times New Roman"/>
                <w:color w:val="000000"/>
              </w:rPr>
            </w:pPr>
            <w:r w:rsidRPr="00B6188F">
              <w:rPr>
                <w:rFonts w:ascii="Calibri" w:eastAsia="Times New Roman" w:hAnsi="Calibri" w:cs="Times New Roman"/>
                <w:color w:val="000000"/>
              </w:rPr>
              <w:t xml:space="preserve">Number of requests received </w:t>
            </w:r>
          </w:p>
        </w:tc>
        <w:tc>
          <w:tcPr>
            <w:tcW w:w="1398" w:type="dxa"/>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154</w:t>
            </w:r>
          </w:p>
        </w:tc>
        <w:tc>
          <w:tcPr>
            <w:tcW w:w="1665" w:type="dxa"/>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159</w:t>
            </w:r>
          </w:p>
        </w:tc>
        <w:tc>
          <w:tcPr>
            <w:tcW w:w="1300" w:type="dxa"/>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127</w:t>
            </w:r>
          </w:p>
        </w:tc>
      </w:tr>
      <w:tr w:rsidR="000430A4" w:rsidRPr="00B6188F" w:rsidTr="002F32F0">
        <w:trPr>
          <w:trHeight w:val="304"/>
        </w:trPr>
        <w:tc>
          <w:tcPr>
            <w:tcW w:w="5123" w:type="dxa"/>
            <w:shd w:val="clear" w:color="auto" w:fill="auto"/>
            <w:hideMark/>
          </w:tcPr>
          <w:p w:rsidR="000430A4" w:rsidRPr="00B6188F" w:rsidRDefault="000430A4" w:rsidP="002F32F0">
            <w:pPr>
              <w:spacing w:after="0" w:line="240" w:lineRule="auto"/>
              <w:rPr>
                <w:rFonts w:ascii="Calibri" w:eastAsia="Times New Roman" w:hAnsi="Calibri" w:cs="Times New Roman"/>
                <w:color w:val="000000"/>
              </w:rPr>
            </w:pPr>
            <w:r w:rsidRPr="00B6188F">
              <w:rPr>
                <w:rFonts w:ascii="Calibri" w:eastAsia="Times New Roman" w:hAnsi="Calibri" w:cs="Times New Roman"/>
                <w:color w:val="000000"/>
              </w:rPr>
              <w:t>Annual change (%)</w:t>
            </w:r>
          </w:p>
        </w:tc>
        <w:tc>
          <w:tcPr>
            <w:tcW w:w="1398" w:type="dxa"/>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w:t>
            </w:r>
          </w:p>
        </w:tc>
        <w:tc>
          <w:tcPr>
            <w:tcW w:w="1665" w:type="dxa"/>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3.25%</w:t>
            </w:r>
          </w:p>
        </w:tc>
        <w:tc>
          <w:tcPr>
            <w:tcW w:w="1300" w:type="dxa"/>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-20.13%</w:t>
            </w:r>
          </w:p>
        </w:tc>
      </w:tr>
      <w:tr w:rsidR="000430A4" w:rsidRPr="00B6188F" w:rsidTr="002F32F0">
        <w:trPr>
          <w:trHeight w:val="304"/>
        </w:trPr>
        <w:tc>
          <w:tcPr>
            <w:tcW w:w="5123" w:type="dxa"/>
            <w:shd w:val="clear" w:color="000000" w:fill="DBE5F1"/>
            <w:hideMark/>
          </w:tcPr>
          <w:p w:rsidR="000430A4" w:rsidRPr="00B6188F" w:rsidRDefault="000430A4" w:rsidP="002F32F0">
            <w:pPr>
              <w:spacing w:after="0" w:line="240" w:lineRule="auto"/>
              <w:rPr>
                <w:rFonts w:ascii="Calibri" w:eastAsia="Times New Roman" w:hAnsi="Calibri" w:cs="Times New Roman"/>
                <w:color w:val="000000"/>
              </w:rPr>
            </w:pPr>
            <w:r w:rsidRPr="00B6188F">
              <w:rPr>
                <w:rFonts w:ascii="Calibri" w:eastAsia="Times New Roman" w:hAnsi="Calibri" w:cs="Times New Roman"/>
                <w:color w:val="000000"/>
              </w:rPr>
              <w:t>Completed requests</w:t>
            </w:r>
          </w:p>
        </w:tc>
        <w:tc>
          <w:tcPr>
            <w:tcW w:w="1398" w:type="dxa"/>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152</w:t>
            </w:r>
          </w:p>
        </w:tc>
        <w:tc>
          <w:tcPr>
            <w:tcW w:w="1665" w:type="dxa"/>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154</w:t>
            </w:r>
          </w:p>
        </w:tc>
        <w:tc>
          <w:tcPr>
            <w:tcW w:w="1300" w:type="dxa"/>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149</w:t>
            </w:r>
          </w:p>
        </w:tc>
      </w:tr>
      <w:tr w:rsidR="000430A4" w:rsidRPr="00B6188F" w:rsidTr="002F32F0">
        <w:trPr>
          <w:trHeight w:val="319"/>
        </w:trPr>
        <w:tc>
          <w:tcPr>
            <w:tcW w:w="5123" w:type="dxa"/>
            <w:shd w:val="clear" w:color="auto" w:fill="auto"/>
            <w:hideMark/>
          </w:tcPr>
          <w:p w:rsidR="000430A4" w:rsidRPr="00B6188F" w:rsidRDefault="000430A4" w:rsidP="002F32F0">
            <w:pPr>
              <w:spacing w:after="0" w:line="240" w:lineRule="auto"/>
              <w:rPr>
                <w:rFonts w:ascii="Calibri" w:eastAsia="Times New Roman" w:hAnsi="Calibri" w:cs="Times New Roman"/>
                <w:color w:val="000000"/>
              </w:rPr>
            </w:pPr>
            <w:r w:rsidRPr="00B6188F">
              <w:rPr>
                <w:rFonts w:ascii="Calibri" w:eastAsia="Times New Roman" w:hAnsi="Calibri" w:cs="Times New Roman"/>
                <w:color w:val="000000"/>
              </w:rPr>
              <w:t>Annual change</w:t>
            </w:r>
            <w:r>
              <w:rPr>
                <w:rFonts w:ascii="Calibri" w:eastAsia="Times New Roman" w:hAnsi="Calibri" w:cs="Times New Roman"/>
                <w:color w:val="000000"/>
              </w:rPr>
              <w:t xml:space="preserve"> (%)</w:t>
            </w:r>
          </w:p>
        </w:tc>
        <w:tc>
          <w:tcPr>
            <w:tcW w:w="1398" w:type="dxa"/>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w:t>
            </w:r>
          </w:p>
        </w:tc>
        <w:tc>
          <w:tcPr>
            <w:tcW w:w="1665" w:type="dxa"/>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1.32%</w:t>
            </w:r>
          </w:p>
        </w:tc>
        <w:tc>
          <w:tcPr>
            <w:tcW w:w="1300" w:type="dxa"/>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-3.25%</w:t>
            </w:r>
          </w:p>
        </w:tc>
      </w:tr>
      <w:tr w:rsidR="000430A4" w:rsidRPr="00B6188F" w:rsidTr="002F32F0">
        <w:trPr>
          <w:trHeight w:val="623"/>
        </w:trPr>
        <w:tc>
          <w:tcPr>
            <w:tcW w:w="5123" w:type="dxa"/>
            <w:tcBorders>
              <w:bottom w:val="nil"/>
            </w:tcBorders>
            <w:shd w:val="clear" w:color="000000" w:fill="DBE5F1"/>
            <w:hideMark/>
          </w:tcPr>
          <w:p w:rsidR="000430A4" w:rsidRPr="00B6188F" w:rsidRDefault="000430A4" w:rsidP="002F32F0">
            <w:pPr>
              <w:spacing w:after="0" w:line="240" w:lineRule="auto"/>
              <w:rPr>
                <w:rFonts w:ascii="Calibri" w:eastAsia="Times New Roman" w:hAnsi="Calibri" w:cs="Times New Roman"/>
                <w:color w:val="000000"/>
              </w:rPr>
            </w:pPr>
            <w:r w:rsidRPr="00B6188F">
              <w:rPr>
                <w:rFonts w:ascii="Calibri" w:eastAsia="Times New Roman" w:hAnsi="Calibri" w:cs="Times New Roman"/>
                <w:color w:val="000000"/>
              </w:rPr>
              <w:t>Number of consultations received (from other government institutions)</w:t>
            </w:r>
          </w:p>
        </w:tc>
        <w:tc>
          <w:tcPr>
            <w:tcW w:w="1398" w:type="dxa"/>
            <w:tcBorders>
              <w:bottom w:val="nil"/>
            </w:tcBorders>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29</w:t>
            </w:r>
          </w:p>
        </w:tc>
        <w:tc>
          <w:tcPr>
            <w:tcW w:w="1665" w:type="dxa"/>
            <w:tcBorders>
              <w:bottom w:val="nil"/>
            </w:tcBorders>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12</w:t>
            </w:r>
          </w:p>
        </w:tc>
        <w:tc>
          <w:tcPr>
            <w:tcW w:w="1300" w:type="dxa"/>
            <w:tcBorders>
              <w:bottom w:val="nil"/>
            </w:tcBorders>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45</w:t>
            </w:r>
          </w:p>
        </w:tc>
      </w:tr>
      <w:tr w:rsidR="000430A4" w:rsidRPr="00B6188F" w:rsidTr="002F32F0">
        <w:trPr>
          <w:trHeight w:val="441"/>
        </w:trPr>
        <w:tc>
          <w:tcPr>
            <w:tcW w:w="5123" w:type="dxa"/>
            <w:tcBorders>
              <w:top w:val="nil"/>
              <w:bottom w:val="nil"/>
            </w:tcBorders>
            <w:shd w:val="clear" w:color="auto" w:fill="auto"/>
            <w:hideMark/>
          </w:tcPr>
          <w:p w:rsidR="000430A4" w:rsidRPr="00B6188F" w:rsidRDefault="000430A4" w:rsidP="002F32F0">
            <w:pPr>
              <w:spacing w:after="0" w:line="240" w:lineRule="auto"/>
              <w:rPr>
                <w:rFonts w:ascii="Calibri" w:eastAsia="Times New Roman" w:hAnsi="Calibri" w:cs="Times New Roman"/>
                <w:color w:val="000000"/>
              </w:rPr>
            </w:pPr>
            <w:r w:rsidRPr="00B6188F">
              <w:rPr>
                <w:rFonts w:ascii="Calibri" w:eastAsia="Times New Roman" w:hAnsi="Calibri" w:cs="Times New Roman"/>
                <w:color w:val="000000"/>
              </w:rPr>
              <w:t>Annual change (%)</w:t>
            </w:r>
          </w:p>
        </w:tc>
        <w:tc>
          <w:tcPr>
            <w:tcW w:w="1398" w:type="dxa"/>
            <w:tcBorders>
              <w:top w:val="nil"/>
              <w:bottom w:val="nil"/>
            </w:tcBorders>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w:t>
            </w:r>
          </w:p>
        </w:tc>
        <w:tc>
          <w:tcPr>
            <w:tcW w:w="1665" w:type="dxa"/>
            <w:tcBorders>
              <w:top w:val="nil"/>
              <w:bottom w:val="nil"/>
            </w:tcBorders>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-58.62%</w:t>
            </w:r>
          </w:p>
        </w:tc>
        <w:tc>
          <w:tcPr>
            <w:tcW w:w="1300" w:type="dxa"/>
            <w:tcBorders>
              <w:top w:val="nil"/>
              <w:bottom w:val="nil"/>
            </w:tcBorders>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275.00%</w:t>
            </w:r>
          </w:p>
        </w:tc>
      </w:tr>
      <w:tr w:rsidR="000430A4" w:rsidRPr="00B6188F" w:rsidTr="002F32F0">
        <w:trPr>
          <w:trHeight w:val="501"/>
        </w:trPr>
        <w:tc>
          <w:tcPr>
            <w:tcW w:w="5123" w:type="dxa"/>
            <w:tcBorders>
              <w:top w:val="nil"/>
              <w:bottom w:val="nil"/>
            </w:tcBorders>
            <w:shd w:val="clear" w:color="000000" w:fill="DBE5F1"/>
            <w:hideMark/>
          </w:tcPr>
          <w:p w:rsidR="000430A4" w:rsidRPr="00B6188F" w:rsidRDefault="000430A4" w:rsidP="002F32F0">
            <w:pPr>
              <w:spacing w:after="0" w:line="240" w:lineRule="auto"/>
              <w:rPr>
                <w:rFonts w:ascii="Calibri" w:eastAsia="Times New Roman" w:hAnsi="Calibri" w:cs="Times New Roman"/>
                <w:color w:val="000000"/>
              </w:rPr>
            </w:pPr>
            <w:r w:rsidRPr="00B6188F">
              <w:rPr>
                <w:rFonts w:ascii="Calibri" w:eastAsia="Times New Roman" w:hAnsi="Calibri" w:cs="Times New Roman"/>
                <w:color w:val="000000"/>
              </w:rPr>
              <w:t>Average number of pages processed per request completed</w:t>
            </w:r>
          </w:p>
        </w:tc>
        <w:tc>
          <w:tcPr>
            <w:tcW w:w="1398" w:type="dxa"/>
            <w:tcBorders>
              <w:top w:val="nil"/>
              <w:bottom w:val="nil"/>
            </w:tcBorders>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154</w:t>
            </w:r>
          </w:p>
        </w:tc>
        <w:tc>
          <w:tcPr>
            <w:tcW w:w="1665" w:type="dxa"/>
            <w:tcBorders>
              <w:top w:val="nil"/>
              <w:bottom w:val="nil"/>
            </w:tcBorders>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336</w:t>
            </w:r>
          </w:p>
        </w:tc>
        <w:tc>
          <w:tcPr>
            <w:tcW w:w="1300" w:type="dxa"/>
            <w:tcBorders>
              <w:top w:val="nil"/>
              <w:bottom w:val="nil"/>
            </w:tcBorders>
            <w:shd w:val="clear" w:color="000000" w:fill="DBE5F1"/>
            <w:noWrap/>
            <w:vAlign w:val="center"/>
            <w:hideMark/>
          </w:tcPr>
          <w:p w:rsidR="000430A4" w:rsidRPr="00B6188F" w:rsidRDefault="000430A4" w:rsidP="002F32F0">
            <w:pPr>
              <w:spacing w:after="0" w:line="240" w:lineRule="auto"/>
              <w:jc w:val="center"/>
              <w:rPr>
                <w:rFonts w:ascii="Calibri" w:eastAsia="Times New Roman" w:hAnsi="Calibri" w:cs="Times New Roman"/>
                <w:b/>
                <w:bCs/>
                <w:color w:val="000000"/>
              </w:rPr>
            </w:pPr>
            <w:r w:rsidRPr="00B6188F">
              <w:rPr>
                <w:rFonts w:ascii="Calibri" w:eastAsia="Times New Roman" w:hAnsi="Calibri" w:cs="Times New Roman"/>
                <w:b/>
                <w:bCs/>
                <w:color w:val="000000"/>
              </w:rPr>
              <w:t>108</w:t>
            </w:r>
          </w:p>
        </w:tc>
      </w:tr>
      <w:tr w:rsidR="000430A4" w:rsidRPr="00B6188F" w:rsidTr="002F32F0">
        <w:trPr>
          <w:trHeight w:val="623"/>
        </w:trPr>
        <w:tc>
          <w:tcPr>
            <w:tcW w:w="5123" w:type="dxa"/>
            <w:tcBorders>
              <w:top w:val="nil"/>
              <w:bottom w:val="single" w:sz="4" w:space="0" w:color="auto"/>
            </w:tcBorders>
            <w:shd w:val="clear" w:color="auto" w:fill="auto"/>
            <w:hideMark/>
          </w:tcPr>
          <w:p w:rsidR="000430A4" w:rsidRPr="00B6188F" w:rsidRDefault="000430A4" w:rsidP="002F32F0">
            <w:pPr>
              <w:spacing w:after="0" w:line="240" w:lineRule="auto"/>
              <w:rPr>
                <w:rFonts w:ascii="Calibri" w:eastAsia="Times New Roman" w:hAnsi="Calibri" w:cs="Times New Roman"/>
                <w:color w:val="000000"/>
              </w:rPr>
            </w:pPr>
            <w:r w:rsidRPr="00B6188F">
              <w:rPr>
                <w:rFonts w:ascii="Calibri" w:eastAsia="Times New Roman" w:hAnsi="Calibri" w:cs="Times New Roman"/>
                <w:color w:val="000000"/>
              </w:rPr>
              <w:t>% of requests for which more than 1</w:t>
            </w:r>
            <w:r w:rsidR="0005646E">
              <w:rPr>
                <w:rFonts w:ascii="Calibri" w:eastAsia="Times New Roman" w:hAnsi="Calibri" w:cs="Times New Roman"/>
                <w:color w:val="000000"/>
              </w:rPr>
              <w:t>,</w:t>
            </w:r>
            <w:r w:rsidRPr="00B6188F">
              <w:rPr>
                <w:rFonts w:ascii="Calibri" w:eastAsia="Times New Roman" w:hAnsi="Calibri" w:cs="Times New Roman"/>
                <w:color w:val="000000"/>
              </w:rPr>
              <w:t>000 pages were processed</w:t>
            </w:r>
          </w:p>
        </w:tc>
        <w:tc>
          <w:tcPr>
            <w:tcW w:w="1398" w:type="dxa"/>
            <w:tcBorders>
              <w:top w:val="nil"/>
              <w:bottom w:val="single" w:sz="4" w:space="0" w:color="auto"/>
            </w:tcBorders>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5.2%</w:t>
            </w:r>
          </w:p>
        </w:tc>
        <w:tc>
          <w:tcPr>
            <w:tcW w:w="1665" w:type="dxa"/>
            <w:tcBorders>
              <w:top w:val="nil"/>
              <w:bottom w:val="single" w:sz="4" w:space="0" w:color="auto"/>
            </w:tcBorders>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6.4%</w:t>
            </w:r>
          </w:p>
        </w:tc>
        <w:tc>
          <w:tcPr>
            <w:tcW w:w="1300" w:type="dxa"/>
            <w:tcBorders>
              <w:top w:val="nil"/>
              <w:bottom w:val="single" w:sz="4" w:space="0" w:color="auto"/>
            </w:tcBorders>
            <w:shd w:val="clear" w:color="auto" w:fill="auto"/>
            <w:noWrap/>
            <w:vAlign w:val="center"/>
            <w:hideMark/>
          </w:tcPr>
          <w:p w:rsidR="000430A4" w:rsidRPr="00B6188F" w:rsidRDefault="000430A4" w:rsidP="002F32F0">
            <w:pPr>
              <w:spacing w:after="0" w:line="240" w:lineRule="auto"/>
              <w:jc w:val="center"/>
              <w:rPr>
                <w:rFonts w:ascii="Calibri" w:eastAsia="Times New Roman" w:hAnsi="Calibri" w:cs="Times New Roman"/>
                <w:color w:val="000000"/>
              </w:rPr>
            </w:pPr>
            <w:r w:rsidRPr="00B6188F">
              <w:rPr>
                <w:rFonts w:ascii="Calibri" w:eastAsia="Times New Roman" w:hAnsi="Calibri" w:cs="Times New Roman"/>
                <w:color w:val="000000"/>
              </w:rPr>
              <w:t>1.7%</w:t>
            </w:r>
          </w:p>
        </w:tc>
      </w:tr>
    </w:tbl>
    <w:p w:rsidR="000430A4" w:rsidRPr="00AD3F33" w:rsidRDefault="000430A4" w:rsidP="000430A4">
      <w:pPr>
        <w:pStyle w:val="Heading2"/>
        <w:spacing w:before="240"/>
      </w:pPr>
      <w:r w:rsidRPr="00AD3F33">
        <w:t>Request completion time</w:t>
      </w:r>
    </w:p>
    <w:p w:rsidR="000430A4" w:rsidRPr="004D30BF" w:rsidRDefault="000430A4" w:rsidP="000430A4">
      <w:pPr>
        <w:pStyle w:val="Heading4"/>
      </w:pPr>
      <w:r w:rsidRPr="004D30BF">
        <w:t>Timeliness</w:t>
      </w:r>
    </w:p>
    <w:p w:rsidR="000430A4" w:rsidRDefault="000430A4" w:rsidP="000430A4">
      <w:pPr>
        <w:jc w:val="both"/>
      </w:pPr>
      <w:r w:rsidRPr="0008042D">
        <w:t>Figure 1 reveals that 72.5% of requests were completed within 30 days or less,</w:t>
      </w:r>
      <w:r w:rsidRPr="00F7566B">
        <w:t xml:space="preserve"> which is </w:t>
      </w:r>
      <w:r>
        <w:t>an increase of 15.3% compared to</w:t>
      </w:r>
      <w:r w:rsidRPr="00F7566B">
        <w:t xml:space="preserve"> 2013-2014</w:t>
      </w:r>
      <w:r>
        <w:t>. The number of requests completed between 31 and 60 days decreased by 5.3% compared to the previous period. Another decline is observed in the completion of requests between 61 and 120 days (17.8% in 2013-2014 and 10.7% in 2014-2015).</w:t>
      </w:r>
    </w:p>
    <w:p w:rsidR="000430A4" w:rsidRPr="0055233A" w:rsidRDefault="000430A4" w:rsidP="000430A4">
      <w:pPr>
        <w:jc w:val="both"/>
      </w:pPr>
      <w:r>
        <w:t>In the previous and current reporting periods, no request required more than 365 days for completion.</w:t>
      </w:r>
    </w:p>
    <w:p w:rsidR="000430A4" w:rsidRPr="00AD6FB5" w:rsidRDefault="000430A4" w:rsidP="000430A4">
      <w:pPr>
        <w:pStyle w:val="Heading3"/>
        <w:spacing w:after="200"/>
      </w:pPr>
      <w:r w:rsidRPr="00992C3B">
        <w:t>Figure 1: Request Completion T</w:t>
      </w:r>
      <w:r>
        <w:t>ime</w:t>
      </w:r>
      <w:r w:rsidRPr="003A5273">
        <w:rPr>
          <w:noProof/>
          <w:color w:val="FF0000"/>
          <w:sz w:val="24"/>
          <w:szCs w:val="24"/>
        </w:rPr>
        <w:drawing>
          <wp:inline distT="0" distB="0" distL="0" distR="0">
            <wp:extent cx="6098650" cy="3919993"/>
            <wp:effectExtent l="0" t="0" r="0" b="4445"/>
            <wp:docPr id="8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0430A4" w:rsidRPr="00792246" w:rsidRDefault="000430A4" w:rsidP="000430A4">
      <w:pPr>
        <w:pStyle w:val="Heading4"/>
        <w:spacing w:before="240"/>
        <w:contextualSpacing w:val="0"/>
      </w:pPr>
      <w:r w:rsidRPr="00792246">
        <w:t>Extensions</w:t>
      </w:r>
    </w:p>
    <w:p w:rsidR="000430A4" w:rsidRPr="00A93FE1" w:rsidRDefault="000430A4" w:rsidP="000430A4">
      <w:pPr>
        <w:jc w:val="both"/>
      </w:pPr>
      <w:r w:rsidRPr="00A93FE1">
        <w:t>CBC took a total of 52 extensions in 2014-2015 compared to 55 in 2013-2014. Figure 2 shows that 40.4% of extensions were taken for 30 days or less. The number of extensions taken between 31 and 60 days in 2014-2015 decreased to 36.5% from 60.0% in 2013-2014. A decrease was also observed in extensions taken between 61 and 120 days: there were 2 extensions in 2013-2014 and none in 2014-2015. However, there was an increase of 23.1% in extensions of 365 days or more.</w:t>
      </w:r>
    </w:p>
    <w:p w:rsidR="000430A4" w:rsidRPr="00A93FE1" w:rsidRDefault="000430A4" w:rsidP="000430A4">
      <w:pPr>
        <w:rPr>
          <w:b/>
          <w:noProof/>
        </w:rPr>
      </w:pPr>
      <w:r w:rsidRPr="00A93FE1">
        <w:t>The most common reason for taking an extension was interference with operations, which accounted for 50.0% of extensions in 2014-2015. Almost 19.2% of extensions were taken for consultations, and 30.8% of extensions were taken for the third-party notice.</w:t>
      </w:r>
    </w:p>
    <w:p w:rsidR="000430A4" w:rsidRDefault="000430A4" w:rsidP="000430A4">
      <w:pPr>
        <w:pStyle w:val="Heading3"/>
        <w:spacing w:after="200"/>
        <w:rPr>
          <w:noProof/>
        </w:rPr>
      </w:pPr>
      <w:r w:rsidRPr="00992C3B">
        <w:t>Figure 2: Length of E</w:t>
      </w:r>
      <w:r>
        <w:t>xtensions</w:t>
      </w:r>
      <w:r w:rsidRPr="003A5273">
        <w:rPr>
          <w:noProof/>
        </w:rPr>
        <w:drawing>
          <wp:inline distT="0" distB="0" distL="0" distR="0">
            <wp:extent cx="6027089" cy="3792772"/>
            <wp:effectExtent l="0" t="0" r="0" b="0"/>
            <wp:docPr id="8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0430A4" w:rsidRPr="00D2368F" w:rsidRDefault="000430A4" w:rsidP="000430A4">
      <w:pPr>
        <w:pStyle w:val="Heading4"/>
      </w:pPr>
      <w:r>
        <w:t>Deemed refusals</w:t>
      </w:r>
    </w:p>
    <w:p w:rsidR="000430A4" w:rsidRPr="00C94B5A" w:rsidRDefault="000430A4" w:rsidP="000430A4">
      <w:r w:rsidRPr="00DC6D47">
        <w:t xml:space="preserve">In 2014-2015, </w:t>
      </w:r>
      <w:r>
        <w:t>CBC had no request that was</w:t>
      </w:r>
      <w:r w:rsidRPr="00DC6D47">
        <w:t xml:space="preserve"> closed past the statutory deadline.</w:t>
      </w:r>
      <w:r>
        <w:rPr>
          <w:rStyle w:val="FootnoteReference"/>
        </w:rPr>
        <w:footnoteReference w:id="95"/>
      </w:r>
      <w:r w:rsidRPr="00DC6D47">
        <w:t xml:space="preserve"> This </w:t>
      </w:r>
      <w:r>
        <w:t xml:space="preserve">result </w:t>
      </w:r>
      <w:r w:rsidRPr="00D2368F">
        <w:t>rate represents a</w:t>
      </w:r>
      <w:r>
        <w:t>n “A</w:t>
      </w:r>
      <w:r w:rsidRPr="00D2368F">
        <w:t>” grade.</w:t>
      </w:r>
      <w:r w:rsidRPr="00D2368F">
        <w:rPr>
          <w:rStyle w:val="FootnoteReference"/>
        </w:rPr>
        <w:footnoteReference w:id="96"/>
      </w:r>
    </w:p>
    <w:p w:rsidR="000430A4" w:rsidRPr="00AD3F33" w:rsidRDefault="000430A4" w:rsidP="000430A4">
      <w:pPr>
        <w:pStyle w:val="Heading2"/>
      </w:pPr>
      <w:r w:rsidRPr="00AD3F33">
        <w:t>Disclosure</w:t>
      </w:r>
    </w:p>
    <w:p w:rsidR="000430A4" w:rsidRPr="00D2368F" w:rsidRDefault="000430A4" w:rsidP="000430A4">
      <w:pPr>
        <w:pStyle w:val="Heading4"/>
      </w:pPr>
      <w:r w:rsidRPr="00D2368F">
        <w:t>Perc</w:t>
      </w:r>
      <w:r>
        <w:t>entage of requests for which information was disclosed</w:t>
      </w:r>
    </w:p>
    <w:p w:rsidR="000430A4" w:rsidRPr="00A25F4F" w:rsidRDefault="000430A4" w:rsidP="000430A4">
      <w:pPr>
        <w:jc w:val="both"/>
      </w:pPr>
      <w:r w:rsidRPr="00A25F4F">
        <w:t xml:space="preserve">In 2014-2015, </w:t>
      </w:r>
      <w:r>
        <w:t>12.8</w:t>
      </w:r>
      <w:r w:rsidRPr="00A25F4F">
        <w:t xml:space="preserve">% of completed requests were entirely disclosed, which </w:t>
      </w:r>
      <w:r w:rsidRPr="001B0BAB">
        <w:t>is similar compared to previous years (see Figure 3). Figure 3 also shows that the rate for partially disclosed requests</w:t>
      </w:r>
      <w:r w:rsidRPr="00A25F4F">
        <w:t xml:space="preserve"> was 51.7</w:t>
      </w:r>
      <w:r>
        <w:t xml:space="preserve">% in </w:t>
      </w:r>
      <w:r w:rsidRPr="00A25F4F">
        <w:t>20</w:t>
      </w:r>
      <w:r>
        <w:t>14-2015, which is a decrease of 4.6% from the previous period.</w:t>
      </w:r>
    </w:p>
    <w:p w:rsidR="000430A4" w:rsidRDefault="000430A4" w:rsidP="000430A4">
      <w:pPr>
        <w:pStyle w:val="Heading3"/>
        <w:spacing w:after="200"/>
      </w:pPr>
      <w:r w:rsidRPr="00992C3B">
        <w:t>Figure 3: Level of Disclosure</w:t>
      </w:r>
      <w:r w:rsidRPr="003A5273">
        <w:rPr>
          <w:noProof/>
        </w:rPr>
        <w:drawing>
          <wp:inline distT="0" distB="0" distL="0" distR="0">
            <wp:extent cx="5883965" cy="3689406"/>
            <wp:effectExtent l="0" t="0" r="2540" b="6350"/>
            <wp:docPr id="8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0430A4" w:rsidRPr="00D2368F" w:rsidRDefault="000430A4" w:rsidP="000430A4">
      <w:pPr>
        <w:pStyle w:val="Heading4"/>
      </w:pPr>
      <w:r>
        <w:t>Exemptions</w:t>
      </w:r>
    </w:p>
    <w:p w:rsidR="000430A4" w:rsidRPr="00A93FE1" w:rsidRDefault="000430A4" w:rsidP="000430A4">
      <w:pPr>
        <w:jc w:val="both"/>
      </w:pPr>
      <w:r w:rsidRPr="00A93FE1">
        <w:t>The average number of exemptions used per completed request decreased from 1.97 in 2013-2014 to 1.46 in 2014-2015 (see Table 2).</w:t>
      </w:r>
    </w:p>
    <w:p w:rsidR="000430A4" w:rsidRPr="00A93FE1" w:rsidRDefault="000430A4" w:rsidP="000430A4">
      <w:pPr>
        <w:jc w:val="both"/>
      </w:pPr>
      <w:r w:rsidRPr="00A93FE1">
        <w:t>The most commonly used exemptions in 2014-2015 were section 18 (Economic Interests of Canada) (28.9%) and section 19 (Personal Information) (27.5%), followed by section 20 (Third Party Information) (16.5%) and section 21 (Operations of Government) (16.1%).</w:t>
      </w:r>
    </w:p>
    <w:p w:rsidR="000430A4" w:rsidRDefault="000430A4" w:rsidP="000430A4">
      <w:pPr>
        <w:pStyle w:val="Heading3"/>
      </w:pPr>
      <w:r>
        <w:t>Table 2</w:t>
      </w:r>
      <w:r w:rsidRPr="00916BD0">
        <w:t>: Exemptions</w:t>
      </w:r>
    </w:p>
    <w:tbl>
      <w:tblPr>
        <w:tblW w:w="9584" w:type="dxa"/>
        <w:tblInd w:w="98" w:type="dxa"/>
        <w:tblLook w:val="04A0"/>
      </w:tblPr>
      <w:tblGrid>
        <w:gridCol w:w="5074"/>
        <w:gridCol w:w="1486"/>
        <w:gridCol w:w="1771"/>
        <w:gridCol w:w="1253"/>
      </w:tblGrid>
      <w:tr w:rsidR="000430A4" w:rsidRPr="00612781" w:rsidTr="002F32F0">
        <w:trPr>
          <w:trHeight w:val="262"/>
        </w:trPr>
        <w:tc>
          <w:tcPr>
            <w:tcW w:w="5074"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612781" w:rsidRDefault="000430A4" w:rsidP="002F32F0">
            <w:pPr>
              <w:spacing w:after="0" w:line="240" w:lineRule="auto"/>
              <w:rPr>
                <w:rFonts w:ascii="Calibri" w:eastAsia="Times New Roman" w:hAnsi="Calibri" w:cs="Times New Roman"/>
                <w:color w:val="000000"/>
              </w:rPr>
            </w:pPr>
            <w:r w:rsidRPr="00612781">
              <w:rPr>
                <w:rFonts w:ascii="Calibri" w:eastAsia="Times New Roman" w:hAnsi="Calibri" w:cs="Times New Roman"/>
                <w:color w:val="000000"/>
              </w:rPr>
              <w:t xml:space="preserve">Exemptions </w:t>
            </w:r>
          </w:p>
        </w:tc>
        <w:tc>
          <w:tcPr>
            <w:tcW w:w="1486" w:type="dxa"/>
            <w:tcBorders>
              <w:top w:val="single" w:sz="8" w:space="0" w:color="auto"/>
              <w:left w:val="nil"/>
              <w:bottom w:val="single" w:sz="8" w:space="0" w:color="auto"/>
              <w:right w:val="nil"/>
            </w:tcBorders>
            <w:shd w:val="clear" w:color="000000" w:fill="DBE5F1"/>
            <w:noWrap/>
            <w:vAlign w:val="bottom"/>
            <w:hideMark/>
          </w:tcPr>
          <w:p w:rsidR="000430A4" w:rsidRPr="00612781" w:rsidRDefault="000430A4" w:rsidP="002F32F0">
            <w:pPr>
              <w:spacing w:after="0" w:line="240" w:lineRule="auto"/>
              <w:jc w:val="center"/>
              <w:rPr>
                <w:rFonts w:ascii="Calibri" w:eastAsia="Times New Roman" w:hAnsi="Calibri" w:cs="Times New Roman"/>
                <w:b/>
                <w:bCs/>
                <w:color w:val="000000"/>
              </w:rPr>
            </w:pPr>
            <w:r w:rsidRPr="00612781">
              <w:rPr>
                <w:rFonts w:ascii="Calibri" w:eastAsia="Times New Roman" w:hAnsi="Calibri" w:cs="Times New Roman"/>
                <w:b/>
                <w:bCs/>
                <w:color w:val="000000"/>
              </w:rPr>
              <w:t>2012-2013</w:t>
            </w:r>
          </w:p>
        </w:tc>
        <w:tc>
          <w:tcPr>
            <w:tcW w:w="1771" w:type="dxa"/>
            <w:tcBorders>
              <w:top w:val="single" w:sz="8" w:space="0" w:color="auto"/>
              <w:left w:val="nil"/>
              <w:bottom w:val="single" w:sz="8" w:space="0" w:color="auto"/>
              <w:right w:val="nil"/>
            </w:tcBorders>
            <w:shd w:val="clear" w:color="000000" w:fill="DBE5F1"/>
            <w:noWrap/>
            <w:vAlign w:val="bottom"/>
            <w:hideMark/>
          </w:tcPr>
          <w:p w:rsidR="000430A4" w:rsidRPr="00612781" w:rsidRDefault="000430A4" w:rsidP="002F32F0">
            <w:pPr>
              <w:spacing w:after="0" w:line="240" w:lineRule="auto"/>
              <w:jc w:val="center"/>
              <w:rPr>
                <w:rFonts w:ascii="Calibri" w:eastAsia="Times New Roman" w:hAnsi="Calibri" w:cs="Times New Roman"/>
                <w:b/>
                <w:bCs/>
                <w:color w:val="000000"/>
              </w:rPr>
            </w:pPr>
            <w:r w:rsidRPr="00612781">
              <w:rPr>
                <w:rFonts w:ascii="Calibri" w:eastAsia="Times New Roman" w:hAnsi="Calibri" w:cs="Times New Roman"/>
                <w:b/>
                <w:bCs/>
                <w:color w:val="000000"/>
              </w:rPr>
              <w:t>2013-2014</w:t>
            </w:r>
          </w:p>
        </w:tc>
        <w:tc>
          <w:tcPr>
            <w:tcW w:w="1253"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612781" w:rsidRDefault="000430A4" w:rsidP="002F32F0">
            <w:pPr>
              <w:spacing w:after="0" w:line="240" w:lineRule="auto"/>
              <w:jc w:val="center"/>
              <w:rPr>
                <w:rFonts w:ascii="Calibri" w:eastAsia="Times New Roman" w:hAnsi="Calibri" w:cs="Times New Roman"/>
                <w:b/>
                <w:bCs/>
                <w:color w:val="000000"/>
              </w:rPr>
            </w:pPr>
            <w:r w:rsidRPr="00612781">
              <w:rPr>
                <w:rFonts w:ascii="Calibri" w:eastAsia="Times New Roman" w:hAnsi="Calibri" w:cs="Times New Roman"/>
                <w:b/>
                <w:bCs/>
                <w:color w:val="000000"/>
              </w:rPr>
              <w:t>2014-2015</w:t>
            </w:r>
          </w:p>
        </w:tc>
      </w:tr>
      <w:tr w:rsidR="000430A4" w:rsidRPr="00612781" w:rsidTr="002F32F0">
        <w:trPr>
          <w:trHeight w:val="249"/>
        </w:trPr>
        <w:tc>
          <w:tcPr>
            <w:tcW w:w="5074" w:type="dxa"/>
            <w:tcBorders>
              <w:top w:val="nil"/>
              <w:left w:val="single" w:sz="8" w:space="0" w:color="auto"/>
              <w:bottom w:val="nil"/>
              <w:right w:val="nil"/>
            </w:tcBorders>
            <w:shd w:val="clear" w:color="auto" w:fill="auto"/>
            <w:noWrap/>
            <w:vAlign w:val="bottom"/>
            <w:hideMark/>
          </w:tcPr>
          <w:p w:rsidR="000430A4" w:rsidRPr="00612781"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612781">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612781">
              <w:rPr>
                <w:rFonts w:ascii="Calibri" w:eastAsia="Times New Roman" w:hAnsi="Calibri" w:cs="Times New Roman"/>
                <w:color w:val="000000"/>
              </w:rPr>
              <w:t xml:space="preserve"> </w:t>
            </w:r>
          </w:p>
        </w:tc>
        <w:tc>
          <w:tcPr>
            <w:tcW w:w="1486" w:type="dxa"/>
            <w:tcBorders>
              <w:top w:val="nil"/>
              <w:left w:val="nil"/>
              <w:bottom w:val="nil"/>
              <w:right w:val="nil"/>
            </w:tcBorders>
            <w:shd w:val="clear" w:color="auto" w:fill="auto"/>
            <w:noWrap/>
            <w:vAlign w:val="bottom"/>
            <w:hideMark/>
          </w:tcPr>
          <w:p w:rsidR="000430A4" w:rsidRPr="00612781" w:rsidRDefault="000430A4" w:rsidP="002F32F0">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246</w:t>
            </w:r>
          </w:p>
        </w:tc>
        <w:tc>
          <w:tcPr>
            <w:tcW w:w="1771" w:type="dxa"/>
            <w:tcBorders>
              <w:top w:val="nil"/>
              <w:left w:val="nil"/>
              <w:bottom w:val="nil"/>
              <w:right w:val="nil"/>
            </w:tcBorders>
            <w:shd w:val="clear" w:color="auto" w:fill="auto"/>
            <w:noWrap/>
            <w:vAlign w:val="bottom"/>
            <w:hideMark/>
          </w:tcPr>
          <w:p w:rsidR="000430A4" w:rsidRPr="00612781" w:rsidRDefault="000430A4" w:rsidP="002F32F0">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304</w:t>
            </w:r>
          </w:p>
        </w:tc>
        <w:tc>
          <w:tcPr>
            <w:tcW w:w="1253" w:type="dxa"/>
            <w:tcBorders>
              <w:top w:val="nil"/>
              <w:left w:val="nil"/>
              <w:bottom w:val="nil"/>
              <w:right w:val="single" w:sz="8" w:space="0" w:color="auto"/>
            </w:tcBorders>
            <w:shd w:val="clear" w:color="auto" w:fill="auto"/>
            <w:noWrap/>
            <w:vAlign w:val="bottom"/>
            <w:hideMark/>
          </w:tcPr>
          <w:p w:rsidR="000430A4" w:rsidRPr="00612781" w:rsidRDefault="000430A4" w:rsidP="002F32F0">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218</w:t>
            </w:r>
          </w:p>
        </w:tc>
      </w:tr>
      <w:tr w:rsidR="000430A4" w:rsidRPr="00612781" w:rsidTr="002F32F0">
        <w:trPr>
          <w:trHeight w:val="249"/>
        </w:trPr>
        <w:tc>
          <w:tcPr>
            <w:tcW w:w="5074" w:type="dxa"/>
            <w:tcBorders>
              <w:top w:val="nil"/>
              <w:left w:val="single" w:sz="8" w:space="0" w:color="auto"/>
              <w:bottom w:val="nil"/>
              <w:right w:val="nil"/>
            </w:tcBorders>
            <w:shd w:val="clear" w:color="auto" w:fill="auto"/>
            <w:noWrap/>
            <w:vAlign w:val="bottom"/>
            <w:hideMark/>
          </w:tcPr>
          <w:p w:rsidR="000430A4" w:rsidRPr="00612781" w:rsidRDefault="000430A4" w:rsidP="002F32F0">
            <w:pPr>
              <w:spacing w:after="0" w:line="240" w:lineRule="auto"/>
              <w:rPr>
                <w:rFonts w:ascii="Calibri" w:eastAsia="Times New Roman" w:hAnsi="Calibri" w:cs="Times New Roman"/>
                <w:color w:val="000000"/>
              </w:rPr>
            </w:pPr>
            <w:r w:rsidRPr="00612781">
              <w:rPr>
                <w:rFonts w:ascii="Calibri" w:eastAsia="Times New Roman" w:hAnsi="Calibri" w:cs="Times New Roman"/>
                <w:color w:val="000000"/>
              </w:rPr>
              <w:t>Total number of completed requests</w:t>
            </w:r>
          </w:p>
        </w:tc>
        <w:tc>
          <w:tcPr>
            <w:tcW w:w="1486" w:type="dxa"/>
            <w:tcBorders>
              <w:top w:val="nil"/>
              <w:left w:val="nil"/>
              <w:bottom w:val="nil"/>
              <w:right w:val="nil"/>
            </w:tcBorders>
            <w:shd w:val="clear" w:color="auto" w:fill="auto"/>
            <w:noWrap/>
            <w:vAlign w:val="bottom"/>
            <w:hideMark/>
          </w:tcPr>
          <w:p w:rsidR="000430A4" w:rsidRPr="00612781" w:rsidRDefault="000430A4" w:rsidP="002F32F0">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152</w:t>
            </w:r>
          </w:p>
        </w:tc>
        <w:tc>
          <w:tcPr>
            <w:tcW w:w="1771" w:type="dxa"/>
            <w:tcBorders>
              <w:top w:val="nil"/>
              <w:left w:val="nil"/>
              <w:bottom w:val="nil"/>
              <w:right w:val="nil"/>
            </w:tcBorders>
            <w:shd w:val="clear" w:color="auto" w:fill="auto"/>
            <w:noWrap/>
            <w:vAlign w:val="bottom"/>
            <w:hideMark/>
          </w:tcPr>
          <w:p w:rsidR="000430A4" w:rsidRPr="00612781" w:rsidRDefault="000430A4" w:rsidP="002F32F0">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154</w:t>
            </w:r>
          </w:p>
        </w:tc>
        <w:tc>
          <w:tcPr>
            <w:tcW w:w="1253" w:type="dxa"/>
            <w:tcBorders>
              <w:top w:val="nil"/>
              <w:left w:val="nil"/>
              <w:bottom w:val="nil"/>
              <w:right w:val="single" w:sz="8" w:space="0" w:color="auto"/>
            </w:tcBorders>
            <w:shd w:val="clear" w:color="auto" w:fill="auto"/>
            <w:noWrap/>
            <w:vAlign w:val="bottom"/>
            <w:hideMark/>
          </w:tcPr>
          <w:p w:rsidR="000430A4" w:rsidRPr="00612781" w:rsidRDefault="000430A4" w:rsidP="002F32F0">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149</w:t>
            </w:r>
          </w:p>
        </w:tc>
      </w:tr>
      <w:tr w:rsidR="000430A4" w:rsidRPr="00612781" w:rsidTr="002F32F0">
        <w:trPr>
          <w:trHeight w:val="262"/>
        </w:trPr>
        <w:tc>
          <w:tcPr>
            <w:tcW w:w="5074" w:type="dxa"/>
            <w:tcBorders>
              <w:top w:val="nil"/>
              <w:left w:val="single" w:sz="8" w:space="0" w:color="auto"/>
              <w:bottom w:val="single" w:sz="8" w:space="0" w:color="auto"/>
              <w:right w:val="nil"/>
            </w:tcBorders>
            <w:shd w:val="clear" w:color="000000" w:fill="DBE5F1"/>
            <w:noWrap/>
            <w:vAlign w:val="bottom"/>
            <w:hideMark/>
          </w:tcPr>
          <w:p w:rsidR="000430A4" w:rsidRPr="00612781" w:rsidRDefault="000430A4" w:rsidP="002F32F0">
            <w:pPr>
              <w:spacing w:after="0" w:line="240" w:lineRule="auto"/>
              <w:rPr>
                <w:rFonts w:ascii="Calibri" w:eastAsia="Times New Roman" w:hAnsi="Calibri" w:cs="Times New Roman"/>
                <w:color w:val="000000"/>
              </w:rPr>
            </w:pPr>
            <w:r w:rsidRPr="00612781">
              <w:rPr>
                <w:rFonts w:ascii="Calibri" w:eastAsia="Times New Roman" w:hAnsi="Calibri" w:cs="Times New Roman"/>
                <w:color w:val="000000"/>
              </w:rPr>
              <w:t xml:space="preserve">Average number of exemptions per request </w:t>
            </w:r>
          </w:p>
        </w:tc>
        <w:tc>
          <w:tcPr>
            <w:tcW w:w="1486" w:type="dxa"/>
            <w:tcBorders>
              <w:top w:val="nil"/>
              <w:left w:val="nil"/>
              <w:bottom w:val="single" w:sz="8" w:space="0" w:color="auto"/>
              <w:right w:val="nil"/>
            </w:tcBorders>
            <w:shd w:val="clear" w:color="000000" w:fill="DBE5F1"/>
            <w:noWrap/>
            <w:vAlign w:val="bottom"/>
            <w:hideMark/>
          </w:tcPr>
          <w:p w:rsidR="000430A4" w:rsidRPr="00612781" w:rsidRDefault="000430A4" w:rsidP="002F32F0">
            <w:pPr>
              <w:spacing w:after="0" w:line="240" w:lineRule="auto"/>
              <w:jc w:val="center"/>
              <w:rPr>
                <w:rFonts w:ascii="Calibri" w:eastAsia="Times New Roman" w:hAnsi="Calibri" w:cs="Times New Roman"/>
                <w:color w:val="000000"/>
              </w:rPr>
            </w:pPr>
            <w:r w:rsidRPr="00612781">
              <w:rPr>
                <w:rFonts w:ascii="Calibri" w:eastAsia="Times New Roman" w:hAnsi="Calibri" w:cs="Times New Roman"/>
                <w:color w:val="000000"/>
              </w:rPr>
              <w:t>1.6</w:t>
            </w:r>
            <w:r>
              <w:rPr>
                <w:rFonts w:ascii="Calibri" w:eastAsia="Times New Roman" w:hAnsi="Calibri" w:cs="Times New Roman"/>
                <w:color w:val="000000"/>
              </w:rPr>
              <w:t>2</w:t>
            </w:r>
          </w:p>
        </w:tc>
        <w:tc>
          <w:tcPr>
            <w:tcW w:w="1771" w:type="dxa"/>
            <w:tcBorders>
              <w:top w:val="nil"/>
              <w:left w:val="nil"/>
              <w:bottom w:val="single" w:sz="8" w:space="0" w:color="auto"/>
              <w:right w:val="nil"/>
            </w:tcBorders>
            <w:shd w:val="clear" w:color="000000" w:fill="DBE5F1"/>
            <w:noWrap/>
            <w:vAlign w:val="bottom"/>
            <w:hideMark/>
          </w:tcPr>
          <w:p w:rsidR="000430A4" w:rsidRPr="00612781"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1.97</w:t>
            </w:r>
          </w:p>
        </w:tc>
        <w:tc>
          <w:tcPr>
            <w:tcW w:w="1253" w:type="dxa"/>
            <w:tcBorders>
              <w:top w:val="nil"/>
              <w:left w:val="nil"/>
              <w:bottom w:val="single" w:sz="8" w:space="0" w:color="auto"/>
              <w:right w:val="single" w:sz="8" w:space="0" w:color="auto"/>
            </w:tcBorders>
            <w:shd w:val="clear" w:color="000000" w:fill="DBE5F1"/>
            <w:noWrap/>
            <w:vAlign w:val="bottom"/>
            <w:hideMark/>
          </w:tcPr>
          <w:p w:rsidR="000430A4" w:rsidRPr="00612781"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1.46</w:t>
            </w:r>
          </w:p>
        </w:tc>
      </w:tr>
    </w:tbl>
    <w:p w:rsidR="000430A4" w:rsidRPr="00AD3F33" w:rsidRDefault="000430A4" w:rsidP="000430A4">
      <w:pPr>
        <w:pStyle w:val="Heading2"/>
        <w:spacing w:before="240"/>
      </w:pPr>
      <w:r w:rsidRPr="00AD3F33">
        <w:t>Complaints at the OIC</w:t>
      </w:r>
    </w:p>
    <w:p w:rsidR="000430A4" w:rsidRDefault="000430A4" w:rsidP="000430A4">
      <w:pPr>
        <w:jc w:val="both"/>
      </w:pPr>
      <w:r>
        <w:t>In 2014-2015, the OIC received 37 complaints</w:t>
      </w:r>
      <w:r>
        <w:rPr>
          <w:rStyle w:val="FootnoteReference"/>
        </w:rPr>
        <w:footnoteReference w:id="97"/>
      </w:r>
      <w:r>
        <w:t xml:space="preserve"> against CBC whereas 61 were received in 2013-2014. In contrast to the previous period, the majority of complaints received were administrative (26 </w:t>
      </w:r>
      <w:r w:rsidRPr="001B0BAB">
        <w:t xml:space="preserve">administrative and 11 refusal complaints in 2014-2015, whereas the OIC received 6 administrative and 55 refusal </w:t>
      </w:r>
      <w:r>
        <w:t>complaints in 2013-2014).</w:t>
      </w:r>
    </w:p>
    <w:p w:rsidR="000430A4" w:rsidRDefault="000430A4" w:rsidP="000430A4">
      <w:pPr>
        <w:jc w:val="both"/>
      </w:pPr>
      <w:r>
        <w:t>From the complaints received in 2014-2015, 14</w:t>
      </w:r>
      <w:r w:rsidRPr="001B0BAB">
        <w:t xml:space="preserve"> were well-founded and resolved, </w:t>
      </w:r>
      <w:r>
        <w:t xml:space="preserve">13 </w:t>
      </w:r>
      <w:r w:rsidRPr="001B0BAB">
        <w:t>were not well-founded, 3 complaints were discontinued,</w:t>
      </w:r>
      <w:r>
        <w:t xml:space="preserve"> 1 was settled by agreement of the parties</w:t>
      </w:r>
      <w:r w:rsidRPr="001B0BAB">
        <w:t xml:space="preserve"> and 6 were pending resolution.</w:t>
      </w:r>
    </w:p>
    <w:p w:rsidR="000430A4" w:rsidRDefault="000430A4" w:rsidP="000430A4">
      <w:r>
        <w:br w:type="page"/>
      </w:r>
    </w:p>
    <w:p w:rsidR="000430A4" w:rsidRPr="00680DF7" w:rsidRDefault="000430A4" w:rsidP="000430A4">
      <w:pPr>
        <w:pStyle w:val="Heading1"/>
      </w:pPr>
      <w:r w:rsidRPr="00680DF7">
        <w:t>Canada Post Corporation</w:t>
      </w:r>
    </w:p>
    <w:p w:rsidR="000430A4" w:rsidRPr="00CF7739" w:rsidRDefault="000430A4" w:rsidP="000430A4">
      <w:pPr>
        <w:pStyle w:val="Heading2"/>
      </w:pPr>
      <w:r w:rsidRPr="007F4A20">
        <w:t>Overall performance</w:t>
      </w:r>
      <w:r>
        <w:rPr>
          <w:rStyle w:val="FootnoteReference"/>
        </w:rPr>
        <w:footnoteReference w:id="98"/>
      </w:r>
    </w:p>
    <w:p w:rsidR="000430A4" w:rsidRDefault="000430A4" w:rsidP="000430A4">
      <w:pPr>
        <w:jc w:val="both"/>
      </w:pPr>
      <w:r>
        <w:t xml:space="preserve">While </w:t>
      </w:r>
      <w:r w:rsidRPr="00CB1C2D">
        <w:t>Canada Post Corporation (CPC)</w:t>
      </w:r>
      <w:r>
        <w:t xml:space="preserve"> received a similar number requests in 2014-2015, its overall performance</w:t>
      </w:r>
      <w:r w:rsidRPr="00CB1C2D">
        <w:t xml:space="preserve"> showed a decrease</w:t>
      </w:r>
      <w:r>
        <w:t xml:space="preserve"> compared to the previous reporting period</w:t>
      </w:r>
      <w:r w:rsidRPr="00CB1C2D">
        <w:t>.</w:t>
      </w:r>
    </w:p>
    <w:p w:rsidR="000430A4" w:rsidRDefault="000430A4" w:rsidP="000430A4">
      <w:pPr>
        <w:jc w:val="both"/>
      </w:pPr>
      <w:r w:rsidRPr="00271AFF">
        <w:t xml:space="preserve">In 2014-2015, the total number of requests received by CPC represented 0.2% percent of the total requests received government-wide under the </w:t>
      </w:r>
      <w:r w:rsidRPr="00271AFF">
        <w:rPr>
          <w:i/>
        </w:rPr>
        <w:t>Access to Information Act</w:t>
      </w:r>
      <w:r w:rsidRPr="00271AFF">
        <w:t xml:space="preserve"> (the Act). 27.8% of those requests to the CPC resulted in a complaint to the Office of the Information Commissioner. This gives CPC the second highest number of complaints per request received. This report provides comparative statistics for the last three periods (2012-2015).</w:t>
      </w:r>
    </w:p>
    <w:p w:rsidR="000430A4" w:rsidRPr="007F4A20" w:rsidRDefault="000430A4" w:rsidP="000430A4">
      <w:pPr>
        <w:pStyle w:val="Heading2"/>
      </w:pPr>
      <w:r w:rsidRPr="007F4A20">
        <w:t>Workload</w:t>
      </w:r>
    </w:p>
    <w:p w:rsidR="000430A4" w:rsidRDefault="000430A4" w:rsidP="000430A4">
      <w:pPr>
        <w:jc w:val="both"/>
      </w:pPr>
      <w:r w:rsidRPr="00F768BA">
        <w:t>CPC received 108 requests</w:t>
      </w:r>
      <w:r>
        <w:t xml:space="preserve"> under the Act, </w:t>
      </w:r>
      <w:r w:rsidRPr="00F768BA">
        <w:t xml:space="preserve">compared to </w:t>
      </w:r>
      <w:r>
        <w:t xml:space="preserve">109 </w:t>
      </w:r>
      <w:r w:rsidRPr="00F768BA">
        <w:t>the previous period</w:t>
      </w:r>
      <w:r>
        <w:t>.</w:t>
      </w:r>
      <w:r w:rsidRPr="00F768BA">
        <w:t xml:space="preserve"> </w:t>
      </w:r>
      <w:r>
        <w:t>R</w:t>
      </w:r>
      <w:r w:rsidRPr="00F768BA">
        <w:t>equests</w:t>
      </w:r>
      <w:r>
        <w:t xml:space="preserve"> </w:t>
      </w:r>
      <w:r w:rsidRPr="00F768BA">
        <w:t>received by CPC were from member</w:t>
      </w:r>
      <w:r>
        <w:t>s</w:t>
      </w:r>
      <w:r w:rsidRPr="00F768BA">
        <w:t xml:space="preserve"> of the public</w:t>
      </w:r>
      <w:r>
        <w:t xml:space="preserve"> (3</w:t>
      </w:r>
      <w:r w:rsidRPr="00F768BA">
        <w:t>7</w:t>
      </w:r>
      <w:r>
        <w:t>.0</w:t>
      </w:r>
      <w:r w:rsidRPr="00F768BA">
        <w:t>%</w:t>
      </w:r>
      <w:r>
        <w:t>)</w:t>
      </w:r>
      <w:r w:rsidRPr="00F768BA">
        <w:t xml:space="preserve">, </w:t>
      </w:r>
      <w:r>
        <w:t xml:space="preserve">followed by the </w:t>
      </w:r>
      <w:r w:rsidRPr="00F768BA">
        <w:t>media</w:t>
      </w:r>
      <w:r>
        <w:t xml:space="preserve"> (</w:t>
      </w:r>
      <w:r w:rsidRPr="00F768BA">
        <w:t>26.9%</w:t>
      </w:r>
      <w:r>
        <w:t xml:space="preserve">), </w:t>
      </w:r>
      <w:r w:rsidRPr="00F768BA">
        <w:t>organizations</w:t>
      </w:r>
      <w:r>
        <w:t xml:space="preserve"> (</w:t>
      </w:r>
      <w:r w:rsidRPr="00F768BA">
        <w:t>18.5%</w:t>
      </w:r>
      <w:r>
        <w:t>),</w:t>
      </w:r>
      <w:r w:rsidRPr="00F768BA">
        <w:t xml:space="preserve"> and </w:t>
      </w:r>
      <w:r>
        <w:t>the</w:t>
      </w:r>
      <w:r w:rsidRPr="00F768BA">
        <w:t xml:space="preserve"> business sector</w:t>
      </w:r>
      <w:r>
        <w:t xml:space="preserve"> (</w:t>
      </w:r>
      <w:r w:rsidRPr="00F768BA">
        <w:t>17.6%</w:t>
      </w:r>
      <w:r>
        <w:t>).</w:t>
      </w:r>
    </w:p>
    <w:p w:rsidR="000430A4" w:rsidRDefault="000430A4" w:rsidP="000430A4">
      <w:pPr>
        <w:jc w:val="both"/>
      </w:pPr>
      <w:r w:rsidRPr="00F768BA">
        <w:t xml:space="preserve">CPC completed </w:t>
      </w:r>
      <w:r>
        <w:t xml:space="preserve">95 requests in 2014-2015. </w:t>
      </w:r>
      <w:r w:rsidRPr="00F768BA">
        <w:t xml:space="preserve">The </w:t>
      </w:r>
      <w:r w:rsidRPr="00CB1C2D">
        <w:t>completion rate</w:t>
      </w:r>
      <w:r w:rsidRPr="00CB1C2D">
        <w:rPr>
          <w:rStyle w:val="FootnoteReference"/>
        </w:rPr>
        <w:footnoteReference w:id="99"/>
      </w:r>
      <w:r w:rsidRPr="00CB1C2D">
        <w:t xml:space="preserve"> was 76.6%, which is lower than the government-wide rate for 2014-2015 of 85.1%. In 2013-2014, the completion rate for CPC was 87.3%. CPC also received 14 informal requests</w:t>
      </w:r>
      <w:r w:rsidRPr="00CB1C2D">
        <w:rPr>
          <w:rStyle w:val="FootnoteReference"/>
        </w:rPr>
        <w:footnoteReference w:id="100"/>
      </w:r>
      <w:r w:rsidRPr="00CB1C2D">
        <w:t xml:space="preserve"> and </w:t>
      </w:r>
      <w:r>
        <w:t xml:space="preserve">8 of them </w:t>
      </w:r>
      <w:r w:rsidRPr="00CB1C2D">
        <w:t>were released in 30 days or less. The number of consultations received by CPC from other federal government institutions decreased from 24 to 16, representing a decrease of 33.3% compared to 2013-2014.</w:t>
      </w:r>
    </w:p>
    <w:p w:rsidR="000430A4" w:rsidRDefault="000430A4" w:rsidP="000430A4">
      <w:pPr>
        <w:jc w:val="both"/>
      </w:pPr>
      <w:r>
        <w:t>CPC processed 7,813 pages this reporting period. Table 1</w:t>
      </w:r>
      <w:r w:rsidRPr="00A57D0C">
        <w:t xml:space="preserve"> shows that th</w:t>
      </w:r>
      <w:r>
        <w:t>e average number of pages processed per completed request decreased significantly, from 217</w:t>
      </w:r>
      <w:r w:rsidRPr="00A57D0C">
        <w:t xml:space="preserve"> in 2013-2014 to </w:t>
      </w:r>
      <w:r>
        <w:t>96</w:t>
      </w:r>
      <w:r w:rsidRPr="00F768BA">
        <w:t xml:space="preserve"> in 2014-2015.</w:t>
      </w:r>
      <w:r>
        <w:t xml:space="preserve"> As in the previous period, all information released by CPC was in paper format.</w:t>
      </w:r>
    </w:p>
    <w:p w:rsidR="000430A4" w:rsidRPr="004F2792" w:rsidRDefault="000430A4" w:rsidP="000430A4">
      <w:pPr>
        <w:pStyle w:val="Heading3"/>
      </w:pPr>
      <w:r w:rsidRPr="004F2792">
        <w:t>Table 1: Workload</w:t>
      </w:r>
    </w:p>
    <w:tbl>
      <w:tblPr>
        <w:tblW w:w="9436" w:type="dxa"/>
        <w:tblInd w:w="103" w:type="dxa"/>
        <w:tblLook w:val="04A0"/>
      </w:tblPr>
      <w:tblGrid>
        <w:gridCol w:w="5096"/>
        <w:gridCol w:w="205"/>
        <w:gridCol w:w="1151"/>
        <w:gridCol w:w="1598"/>
        <w:gridCol w:w="1386"/>
      </w:tblGrid>
      <w:tr w:rsidR="000430A4" w:rsidRPr="00F768BA" w:rsidTr="002F32F0">
        <w:trPr>
          <w:trHeight w:val="22"/>
        </w:trPr>
        <w:tc>
          <w:tcPr>
            <w:tcW w:w="5096" w:type="dxa"/>
            <w:tcBorders>
              <w:top w:val="single" w:sz="4" w:space="0" w:color="auto"/>
              <w:left w:val="single" w:sz="4" w:space="0" w:color="auto"/>
              <w:bottom w:val="single" w:sz="4" w:space="0" w:color="auto"/>
              <w:right w:val="nil"/>
            </w:tcBorders>
            <w:shd w:val="clear" w:color="auto" w:fill="auto"/>
            <w:noWrap/>
            <w:vAlign w:val="bottom"/>
            <w:hideMark/>
          </w:tcPr>
          <w:p w:rsidR="000430A4" w:rsidRPr="00F768BA" w:rsidRDefault="000430A4" w:rsidP="002F32F0">
            <w:pPr>
              <w:spacing w:after="0" w:line="240" w:lineRule="auto"/>
              <w:rPr>
                <w:rFonts w:ascii="Calibri" w:eastAsia="Times New Roman" w:hAnsi="Calibri" w:cs="Times New Roman"/>
                <w:color w:val="000000"/>
              </w:rPr>
            </w:pPr>
            <w:r w:rsidRPr="00F768BA">
              <w:rPr>
                <w:rFonts w:ascii="Calibri" w:eastAsia="Times New Roman" w:hAnsi="Calibri" w:cs="Times New Roman"/>
                <w:color w:val="000000"/>
              </w:rPr>
              <w:t xml:space="preserve">Measures </w:t>
            </w:r>
          </w:p>
        </w:tc>
        <w:tc>
          <w:tcPr>
            <w:tcW w:w="1356" w:type="dxa"/>
            <w:gridSpan w:val="2"/>
            <w:tcBorders>
              <w:top w:val="single" w:sz="4" w:space="0" w:color="auto"/>
              <w:left w:val="nil"/>
              <w:bottom w:val="single" w:sz="4" w:space="0" w:color="auto"/>
              <w:right w:val="nil"/>
            </w:tcBorders>
            <w:shd w:val="clear" w:color="auto" w:fill="auto"/>
            <w:noWrap/>
            <w:vAlign w:val="bottom"/>
            <w:hideMark/>
          </w:tcPr>
          <w:p w:rsidR="000430A4" w:rsidRPr="00F768BA" w:rsidRDefault="000430A4" w:rsidP="002F32F0">
            <w:pPr>
              <w:spacing w:after="0" w:line="240" w:lineRule="auto"/>
              <w:jc w:val="center"/>
              <w:rPr>
                <w:rFonts w:ascii="Calibri" w:eastAsia="Times New Roman" w:hAnsi="Calibri" w:cs="Times New Roman"/>
                <w:color w:val="000000"/>
              </w:rPr>
            </w:pPr>
            <w:r w:rsidRPr="00F768BA">
              <w:rPr>
                <w:rFonts w:ascii="Calibri" w:eastAsia="Times New Roman" w:hAnsi="Calibri" w:cs="Times New Roman"/>
                <w:color w:val="000000"/>
              </w:rPr>
              <w:t>2012-2013</w:t>
            </w:r>
          </w:p>
        </w:tc>
        <w:tc>
          <w:tcPr>
            <w:tcW w:w="1598" w:type="dxa"/>
            <w:tcBorders>
              <w:top w:val="single" w:sz="4" w:space="0" w:color="auto"/>
              <w:left w:val="nil"/>
              <w:bottom w:val="single" w:sz="4" w:space="0" w:color="auto"/>
              <w:right w:val="nil"/>
            </w:tcBorders>
            <w:shd w:val="clear" w:color="auto" w:fill="auto"/>
            <w:noWrap/>
            <w:vAlign w:val="bottom"/>
            <w:hideMark/>
          </w:tcPr>
          <w:p w:rsidR="000430A4" w:rsidRPr="00F768BA" w:rsidRDefault="000430A4" w:rsidP="002F32F0">
            <w:pPr>
              <w:spacing w:after="0" w:line="240" w:lineRule="auto"/>
              <w:jc w:val="center"/>
              <w:rPr>
                <w:rFonts w:ascii="Calibri" w:eastAsia="Times New Roman" w:hAnsi="Calibri" w:cs="Times New Roman"/>
                <w:color w:val="000000"/>
              </w:rPr>
            </w:pPr>
            <w:r w:rsidRPr="00F768BA">
              <w:rPr>
                <w:rFonts w:ascii="Calibri" w:eastAsia="Times New Roman" w:hAnsi="Calibri" w:cs="Times New Roman"/>
                <w:color w:val="000000"/>
              </w:rPr>
              <w:t>2013-2014</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0430A4" w:rsidRPr="00F768BA" w:rsidRDefault="000430A4" w:rsidP="002F32F0">
            <w:pPr>
              <w:spacing w:after="0" w:line="240" w:lineRule="auto"/>
              <w:jc w:val="center"/>
              <w:rPr>
                <w:rFonts w:ascii="Calibri" w:eastAsia="Times New Roman" w:hAnsi="Calibri" w:cs="Times New Roman"/>
                <w:color w:val="000000"/>
              </w:rPr>
            </w:pPr>
            <w:r w:rsidRPr="00F768BA">
              <w:rPr>
                <w:rFonts w:ascii="Calibri" w:eastAsia="Times New Roman" w:hAnsi="Calibri" w:cs="Times New Roman"/>
                <w:color w:val="000000"/>
              </w:rPr>
              <w:t>2014-2015</w:t>
            </w:r>
          </w:p>
        </w:tc>
      </w:tr>
      <w:tr w:rsidR="000430A4" w:rsidRPr="00F768BA" w:rsidTr="002F32F0">
        <w:trPr>
          <w:trHeight w:val="22"/>
        </w:trPr>
        <w:tc>
          <w:tcPr>
            <w:tcW w:w="5301" w:type="dxa"/>
            <w:gridSpan w:val="2"/>
            <w:tcBorders>
              <w:top w:val="nil"/>
              <w:left w:val="single" w:sz="4" w:space="0" w:color="auto"/>
              <w:bottom w:val="nil"/>
              <w:right w:val="nil"/>
            </w:tcBorders>
            <w:shd w:val="clear" w:color="000000" w:fill="DBE5F1"/>
            <w:noWrap/>
            <w:hideMark/>
          </w:tcPr>
          <w:p w:rsidR="000430A4" w:rsidRPr="00F768BA" w:rsidRDefault="000430A4" w:rsidP="002F32F0">
            <w:pPr>
              <w:spacing w:after="0" w:line="240" w:lineRule="auto"/>
              <w:rPr>
                <w:rFonts w:ascii="Calibri" w:eastAsia="Times New Roman" w:hAnsi="Calibri" w:cs="Times New Roman"/>
                <w:color w:val="000000"/>
              </w:rPr>
            </w:pPr>
            <w:r w:rsidRPr="00F768BA">
              <w:rPr>
                <w:rFonts w:ascii="Calibri" w:eastAsia="Times New Roman" w:hAnsi="Calibri" w:cs="Times New Roman"/>
                <w:color w:val="000000"/>
              </w:rPr>
              <w:t xml:space="preserve">Number of Requests received </w:t>
            </w:r>
          </w:p>
        </w:tc>
        <w:tc>
          <w:tcPr>
            <w:tcW w:w="1151" w:type="dxa"/>
            <w:tcBorders>
              <w:top w:val="nil"/>
              <w:left w:val="nil"/>
              <w:bottom w:val="nil"/>
              <w:right w:val="nil"/>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color w:val="000000"/>
              </w:rPr>
            </w:pPr>
            <w:r w:rsidRPr="00F768BA">
              <w:rPr>
                <w:rFonts w:ascii="Calibri" w:eastAsia="Times New Roman" w:hAnsi="Calibri" w:cs="Times New Roman"/>
                <w:b/>
                <w:bCs/>
                <w:color w:val="000000"/>
              </w:rPr>
              <w:t>105</w:t>
            </w:r>
          </w:p>
        </w:tc>
        <w:tc>
          <w:tcPr>
            <w:tcW w:w="1598" w:type="dxa"/>
            <w:tcBorders>
              <w:top w:val="nil"/>
              <w:left w:val="nil"/>
              <w:bottom w:val="nil"/>
              <w:right w:val="nil"/>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color w:val="000000"/>
              </w:rPr>
            </w:pPr>
            <w:r w:rsidRPr="00F768BA">
              <w:rPr>
                <w:rFonts w:ascii="Calibri" w:eastAsia="Times New Roman" w:hAnsi="Calibri" w:cs="Times New Roman"/>
                <w:b/>
                <w:bCs/>
                <w:color w:val="000000"/>
              </w:rPr>
              <w:t>109</w:t>
            </w:r>
          </w:p>
        </w:tc>
        <w:tc>
          <w:tcPr>
            <w:tcW w:w="1386" w:type="dxa"/>
            <w:tcBorders>
              <w:top w:val="nil"/>
              <w:left w:val="nil"/>
              <w:bottom w:val="nil"/>
              <w:right w:val="single" w:sz="4" w:space="0" w:color="auto"/>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color w:val="000000"/>
              </w:rPr>
            </w:pPr>
            <w:r w:rsidRPr="00F768BA">
              <w:rPr>
                <w:rFonts w:ascii="Calibri" w:eastAsia="Times New Roman" w:hAnsi="Calibri" w:cs="Times New Roman"/>
                <w:b/>
                <w:bCs/>
                <w:color w:val="000000"/>
              </w:rPr>
              <w:t>108</w:t>
            </w:r>
          </w:p>
        </w:tc>
      </w:tr>
      <w:tr w:rsidR="000430A4" w:rsidRPr="00F768BA" w:rsidTr="002F32F0">
        <w:trPr>
          <w:trHeight w:val="22"/>
        </w:trPr>
        <w:tc>
          <w:tcPr>
            <w:tcW w:w="5301" w:type="dxa"/>
            <w:gridSpan w:val="2"/>
            <w:tcBorders>
              <w:top w:val="nil"/>
              <w:left w:val="single" w:sz="4" w:space="0" w:color="auto"/>
              <w:right w:val="nil"/>
            </w:tcBorders>
            <w:shd w:val="clear" w:color="auto" w:fill="auto"/>
            <w:hideMark/>
          </w:tcPr>
          <w:p w:rsidR="000430A4" w:rsidRPr="00F768BA" w:rsidRDefault="000430A4" w:rsidP="002F32F0">
            <w:pPr>
              <w:spacing w:after="0" w:line="240" w:lineRule="auto"/>
              <w:rPr>
                <w:rFonts w:ascii="Calibri" w:eastAsia="Times New Roman" w:hAnsi="Calibri" w:cs="Times New Roman"/>
              </w:rPr>
            </w:pPr>
            <w:r w:rsidRPr="00F768BA">
              <w:rPr>
                <w:rFonts w:ascii="Calibri" w:eastAsia="Times New Roman" w:hAnsi="Calibri" w:cs="Times New Roman"/>
              </w:rPr>
              <w:t>Annual change (%)</w:t>
            </w:r>
          </w:p>
        </w:tc>
        <w:tc>
          <w:tcPr>
            <w:tcW w:w="1151" w:type="dxa"/>
            <w:tcBorders>
              <w:top w:val="nil"/>
              <w:left w:val="nil"/>
              <w:right w:val="nil"/>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rPr>
            </w:pPr>
            <w:r w:rsidRPr="00F768BA">
              <w:rPr>
                <w:rFonts w:ascii="Calibri" w:eastAsia="Times New Roman" w:hAnsi="Calibri" w:cs="Times New Roman"/>
              </w:rPr>
              <w:t>-</w:t>
            </w:r>
          </w:p>
        </w:tc>
        <w:tc>
          <w:tcPr>
            <w:tcW w:w="1598" w:type="dxa"/>
            <w:tcBorders>
              <w:top w:val="nil"/>
              <w:left w:val="nil"/>
              <w:right w:val="nil"/>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rPr>
            </w:pPr>
            <w:r w:rsidRPr="00F768BA">
              <w:rPr>
                <w:rFonts w:ascii="Calibri" w:eastAsia="Times New Roman" w:hAnsi="Calibri" w:cs="Times New Roman"/>
              </w:rPr>
              <w:t>3.8%</w:t>
            </w:r>
          </w:p>
        </w:tc>
        <w:tc>
          <w:tcPr>
            <w:tcW w:w="1386" w:type="dxa"/>
            <w:tcBorders>
              <w:top w:val="nil"/>
              <w:left w:val="nil"/>
              <w:right w:val="single" w:sz="4" w:space="0" w:color="auto"/>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rPr>
            </w:pPr>
            <w:r w:rsidRPr="00F768BA">
              <w:rPr>
                <w:rFonts w:ascii="Calibri" w:eastAsia="Times New Roman" w:hAnsi="Calibri" w:cs="Times New Roman"/>
              </w:rPr>
              <w:t>-0.9%</w:t>
            </w:r>
          </w:p>
        </w:tc>
      </w:tr>
      <w:tr w:rsidR="000430A4" w:rsidRPr="00F768BA" w:rsidTr="002F32F0">
        <w:trPr>
          <w:trHeight w:val="22"/>
        </w:trPr>
        <w:tc>
          <w:tcPr>
            <w:tcW w:w="5301" w:type="dxa"/>
            <w:gridSpan w:val="2"/>
            <w:tcBorders>
              <w:top w:val="nil"/>
              <w:left w:val="single" w:sz="4" w:space="0" w:color="auto"/>
              <w:right w:val="nil"/>
            </w:tcBorders>
            <w:shd w:val="clear" w:color="000000" w:fill="DBE5F1"/>
            <w:hideMark/>
          </w:tcPr>
          <w:p w:rsidR="000430A4" w:rsidRPr="00F768BA" w:rsidRDefault="000430A4" w:rsidP="002F32F0">
            <w:pPr>
              <w:spacing w:after="0" w:line="240" w:lineRule="auto"/>
              <w:rPr>
                <w:rFonts w:ascii="Calibri" w:eastAsia="Times New Roman" w:hAnsi="Calibri" w:cs="Times New Roman"/>
              </w:rPr>
            </w:pPr>
            <w:r w:rsidRPr="00F768BA">
              <w:rPr>
                <w:rFonts w:ascii="Calibri" w:eastAsia="Times New Roman" w:hAnsi="Calibri" w:cs="Times New Roman"/>
              </w:rPr>
              <w:t>Completed requests</w:t>
            </w:r>
          </w:p>
        </w:tc>
        <w:tc>
          <w:tcPr>
            <w:tcW w:w="1151" w:type="dxa"/>
            <w:tcBorders>
              <w:top w:val="nil"/>
              <w:left w:val="nil"/>
              <w:right w:val="nil"/>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rPr>
            </w:pPr>
            <w:r w:rsidRPr="00F768BA">
              <w:rPr>
                <w:rFonts w:ascii="Calibri" w:eastAsia="Times New Roman" w:hAnsi="Calibri" w:cs="Times New Roman"/>
                <w:b/>
                <w:bCs/>
              </w:rPr>
              <w:t>135</w:t>
            </w:r>
          </w:p>
        </w:tc>
        <w:tc>
          <w:tcPr>
            <w:tcW w:w="1598" w:type="dxa"/>
            <w:tcBorders>
              <w:top w:val="nil"/>
              <w:left w:val="nil"/>
              <w:right w:val="nil"/>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rPr>
            </w:pPr>
            <w:r w:rsidRPr="00F768BA">
              <w:rPr>
                <w:rFonts w:ascii="Calibri" w:eastAsia="Times New Roman" w:hAnsi="Calibri" w:cs="Times New Roman"/>
                <w:b/>
                <w:bCs/>
              </w:rPr>
              <w:t>110</w:t>
            </w:r>
          </w:p>
        </w:tc>
        <w:tc>
          <w:tcPr>
            <w:tcW w:w="1386" w:type="dxa"/>
            <w:tcBorders>
              <w:top w:val="nil"/>
              <w:left w:val="nil"/>
              <w:bottom w:val="nil"/>
              <w:right w:val="single" w:sz="4" w:space="0" w:color="auto"/>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rPr>
            </w:pPr>
            <w:r w:rsidRPr="00F768BA">
              <w:rPr>
                <w:rFonts w:ascii="Calibri" w:eastAsia="Times New Roman" w:hAnsi="Calibri" w:cs="Times New Roman"/>
                <w:b/>
                <w:bCs/>
              </w:rPr>
              <w:t>95</w:t>
            </w:r>
          </w:p>
        </w:tc>
      </w:tr>
      <w:tr w:rsidR="000430A4" w:rsidRPr="00F768BA" w:rsidTr="002F32F0">
        <w:trPr>
          <w:trHeight w:val="22"/>
        </w:trPr>
        <w:tc>
          <w:tcPr>
            <w:tcW w:w="5301" w:type="dxa"/>
            <w:gridSpan w:val="2"/>
            <w:tcBorders>
              <w:top w:val="nil"/>
              <w:left w:val="single" w:sz="4" w:space="0" w:color="auto"/>
              <w:right w:val="nil"/>
            </w:tcBorders>
            <w:shd w:val="clear" w:color="auto" w:fill="auto"/>
            <w:hideMark/>
          </w:tcPr>
          <w:p w:rsidR="000430A4" w:rsidRPr="00F768BA" w:rsidRDefault="000430A4" w:rsidP="002F32F0">
            <w:pPr>
              <w:spacing w:after="0" w:line="240" w:lineRule="auto"/>
              <w:rPr>
                <w:rFonts w:ascii="Calibri" w:eastAsia="Times New Roman" w:hAnsi="Calibri" w:cs="Times New Roman"/>
              </w:rPr>
            </w:pPr>
            <w:r w:rsidRPr="00F768BA">
              <w:rPr>
                <w:rFonts w:ascii="Calibri" w:eastAsia="Times New Roman" w:hAnsi="Calibri" w:cs="Times New Roman"/>
              </w:rPr>
              <w:t>Annual change</w:t>
            </w:r>
            <w:r>
              <w:rPr>
                <w:rFonts w:ascii="Calibri" w:eastAsia="Times New Roman" w:hAnsi="Calibri" w:cs="Times New Roman"/>
              </w:rPr>
              <w:t xml:space="preserve"> (%)</w:t>
            </w:r>
          </w:p>
        </w:tc>
        <w:tc>
          <w:tcPr>
            <w:tcW w:w="1151" w:type="dxa"/>
            <w:tcBorders>
              <w:top w:val="nil"/>
              <w:left w:val="nil"/>
              <w:right w:val="nil"/>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b/>
                <w:bCs/>
              </w:rPr>
            </w:pPr>
            <w:r w:rsidRPr="00F768BA">
              <w:rPr>
                <w:rFonts w:ascii="Calibri" w:eastAsia="Times New Roman" w:hAnsi="Calibri" w:cs="Times New Roman"/>
                <w:b/>
                <w:bCs/>
              </w:rPr>
              <w:t>-</w:t>
            </w:r>
          </w:p>
        </w:tc>
        <w:tc>
          <w:tcPr>
            <w:tcW w:w="1598" w:type="dxa"/>
            <w:tcBorders>
              <w:top w:val="nil"/>
              <w:left w:val="nil"/>
              <w:right w:val="nil"/>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b/>
                <w:bCs/>
              </w:rPr>
            </w:pPr>
            <w:r w:rsidRPr="00F768BA">
              <w:rPr>
                <w:rFonts w:ascii="Calibri" w:eastAsia="Times New Roman" w:hAnsi="Calibri" w:cs="Times New Roman"/>
                <w:b/>
                <w:bCs/>
              </w:rPr>
              <w:t>-18.5%</w:t>
            </w:r>
          </w:p>
        </w:tc>
        <w:tc>
          <w:tcPr>
            <w:tcW w:w="1386" w:type="dxa"/>
            <w:tcBorders>
              <w:top w:val="nil"/>
              <w:left w:val="nil"/>
              <w:right w:val="single" w:sz="4" w:space="0" w:color="auto"/>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b/>
                <w:bCs/>
              </w:rPr>
            </w:pPr>
            <w:r w:rsidRPr="00F768BA">
              <w:rPr>
                <w:rFonts w:ascii="Calibri" w:eastAsia="Times New Roman" w:hAnsi="Calibri" w:cs="Times New Roman"/>
                <w:b/>
                <w:bCs/>
              </w:rPr>
              <w:t>-13.6%</w:t>
            </w:r>
          </w:p>
        </w:tc>
      </w:tr>
      <w:tr w:rsidR="000430A4" w:rsidRPr="00F768BA" w:rsidTr="002F32F0">
        <w:trPr>
          <w:trHeight w:val="196"/>
        </w:trPr>
        <w:tc>
          <w:tcPr>
            <w:tcW w:w="5301" w:type="dxa"/>
            <w:gridSpan w:val="2"/>
            <w:tcBorders>
              <w:top w:val="nil"/>
              <w:left w:val="single" w:sz="4" w:space="0" w:color="auto"/>
              <w:right w:val="nil"/>
            </w:tcBorders>
            <w:shd w:val="clear" w:color="000000" w:fill="DBE5F1"/>
            <w:hideMark/>
          </w:tcPr>
          <w:p w:rsidR="000430A4" w:rsidRPr="00F768BA" w:rsidRDefault="000430A4" w:rsidP="002F32F0">
            <w:pPr>
              <w:spacing w:after="0" w:line="240" w:lineRule="auto"/>
              <w:rPr>
                <w:rFonts w:ascii="Calibri" w:eastAsia="Times New Roman" w:hAnsi="Calibri" w:cs="Times New Roman"/>
                <w:color w:val="000000"/>
              </w:rPr>
            </w:pPr>
            <w:r w:rsidRPr="00F768BA">
              <w:rPr>
                <w:rFonts w:ascii="Calibri" w:eastAsia="Times New Roman" w:hAnsi="Calibri" w:cs="Times New Roman"/>
                <w:color w:val="000000"/>
              </w:rPr>
              <w:t>Number of consultations received (from other government institutions</w:t>
            </w:r>
            <w:r>
              <w:rPr>
                <w:rFonts w:ascii="Calibri" w:eastAsia="Times New Roman" w:hAnsi="Calibri" w:cs="Times New Roman"/>
                <w:color w:val="000000"/>
              </w:rPr>
              <w:t>)</w:t>
            </w:r>
          </w:p>
        </w:tc>
        <w:tc>
          <w:tcPr>
            <w:tcW w:w="1151" w:type="dxa"/>
            <w:tcBorders>
              <w:top w:val="nil"/>
              <w:left w:val="nil"/>
              <w:right w:val="nil"/>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color w:val="000000"/>
              </w:rPr>
            </w:pPr>
            <w:r w:rsidRPr="00F768BA">
              <w:rPr>
                <w:rFonts w:ascii="Calibri" w:eastAsia="Times New Roman" w:hAnsi="Calibri" w:cs="Times New Roman"/>
                <w:b/>
                <w:bCs/>
                <w:color w:val="000000"/>
              </w:rPr>
              <w:t>44</w:t>
            </w:r>
          </w:p>
        </w:tc>
        <w:tc>
          <w:tcPr>
            <w:tcW w:w="1598" w:type="dxa"/>
            <w:tcBorders>
              <w:top w:val="nil"/>
              <w:left w:val="nil"/>
              <w:right w:val="nil"/>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color w:val="000000"/>
              </w:rPr>
            </w:pPr>
            <w:r w:rsidRPr="00F768BA">
              <w:rPr>
                <w:rFonts w:ascii="Calibri" w:eastAsia="Times New Roman" w:hAnsi="Calibri" w:cs="Times New Roman"/>
                <w:b/>
                <w:bCs/>
                <w:color w:val="000000"/>
              </w:rPr>
              <w:t>24</w:t>
            </w:r>
          </w:p>
        </w:tc>
        <w:tc>
          <w:tcPr>
            <w:tcW w:w="1386" w:type="dxa"/>
            <w:tcBorders>
              <w:top w:val="nil"/>
              <w:left w:val="nil"/>
              <w:right w:val="single" w:sz="4" w:space="0" w:color="auto"/>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color w:val="000000"/>
              </w:rPr>
            </w:pPr>
            <w:r w:rsidRPr="00F768BA">
              <w:rPr>
                <w:rFonts w:ascii="Calibri" w:eastAsia="Times New Roman" w:hAnsi="Calibri" w:cs="Times New Roman"/>
                <w:b/>
                <w:bCs/>
                <w:color w:val="000000"/>
              </w:rPr>
              <w:t>16</w:t>
            </w:r>
          </w:p>
        </w:tc>
      </w:tr>
      <w:tr w:rsidR="000430A4" w:rsidRPr="00F768BA" w:rsidTr="002F32F0">
        <w:trPr>
          <w:trHeight w:val="23"/>
        </w:trPr>
        <w:tc>
          <w:tcPr>
            <w:tcW w:w="5301" w:type="dxa"/>
            <w:gridSpan w:val="2"/>
            <w:tcBorders>
              <w:top w:val="nil"/>
              <w:left w:val="single" w:sz="4" w:space="0" w:color="auto"/>
              <w:right w:val="nil"/>
            </w:tcBorders>
            <w:shd w:val="clear" w:color="auto" w:fill="auto"/>
            <w:hideMark/>
          </w:tcPr>
          <w:p w:rsidR="000430A4" w:rsidRPr="00F768BA" w:rsidRDefault="000430A4" w:rsidP="002F32F0">
            <w:pPr>
              <w:spacing w:after="0" w:line="240" w:lineRule="auto"/>
              <w:rPr>
                <w:rFonts w:ascii="Calibri" w:eastAsia="Times New Roman" w:hAnsi="Calibri" w:cs="Times New Roman"/>
              </w:rPr>
            </w:pPr>
            <w:r w:rsidRPr="00F768BA">
              <w:rPr>
                <w:rFonts w:ascii="Calibri" w:eastAsia="Times New Roman" w:hAnsi="Calibri" w:cs="Times New Roman"/>
              </w:rPr>
              <w:t>Annual change (%)</w:t>
            </w:r>
          </w:p>
        </w:tc>
        <w:tc>
          <w:tcPr>
            <w:tcW w:w="1151" w:type="dxa"/>
            <w:tcBorders>
              <w:top w:val="nil"/>
              <w:left w:val="nil"/>
              <w:right w:val="nil"/>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rPr>
            </w:pPr>
            <w:r w:rsidRPr="00F768BA">
              <w:rPr>
                <w:rFonts w:ascii="Calibri" w:eastAsia="Times New Roman" w:hAnsi="Calibri" w:cs="Times New Roman"/>
              </w:rPr>
              <w:t>-</w:t>
            </w:r>
          </w:p>
        </w:tc>
        <w:tc>
          <w:tcPr>
            <w:tcW w:w="1598" w:type="dxa"/>
            <w:tcBorders>
              <w:top w:val="nil"/>
              <w:left w:val="nil"/>
              <w:right w:val="nil"/>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rPr>
            </w:pPr>
            <w:r w:rsidRPr="00F768BA">
              <w:rPr>
                <w:rFonts w:ascii="Calibri" w:eastAsia="Times New Roman" w:hAnsi="Calibri" w:cs="Times New Roman"/>
              </w:rPr>
              <w:t>-45.5%</w:t>
            </w:r>
          </w:p>
        </w:tc>
        <w:tc>
          <w:tcPr>
            <w:tcW w:w="1386" w:type="dxa"/>
            <w:tcBorders>
              <w:top w:val="nil"/>
              <w:left w:val="nil"/>
              <w:right w:val="single" w:sz="4" w:space="0" w:color="auto"/>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rPr>
            </w:pPr>
            <w:r w:rsidRPr="00F768BA">
              <w:rPr>
                <w:rFonts w:ascii="Calibri" w:eastAsia="Times New Roman" w:hAnsi="Calibri" w:cs="Times New Roman"/>
              </w:rPr>
              <w:t>-33.3%</w:t>
            </w:r>
          </w:p>
        </w:tc>
      </w:tr>
      <w:tr w:rsidR="000430A4" w:rsidRPr="00F768BA" w:rsidTr="002F32F0">
        <w:trPr>
          <w:trHeight w:val="45"/>
        </w:trPr>
        <w:tc>
          <w:tcPr>
            <w:tcW w:w="5301" w:type="dxa"/>
            <w:gridSpan w:val="2"/>
            <w:tcBorders>
              <w:left w:val="single" w:sz="4" w:space="0" w:color="auto"/>
              <w:bottom w:val="nil"/>
              <w:right w:val="nil"/>
            </w:tcBorders>
            <w:shd w:val="clear" w:color="000000" w:fill="DBE5F1"/>
            <w:hideMark/>
          </w:tcPr>
          <w:p w:rsidR="000430A4" w:rsidRPr="00F768BA" w:rsidRDefault="000430A4" w:rsidP="002F32F0">
            <w:pPr>
              <w:spacing w:after="0" w:line="240" w:lineRule="auto"/>
              <w:rPr>
                <w:rFonts w:ascii="Calibri" w:eastAsia="Times New Roman" w:hAnsi="Calibri" w:cs="Times New Roman"/>
              </w:rPr>
            </w:pPr>
            <w:r w:rsidRPr="00F768BA">
              <w:rPr>
                <w:rFonts w:ascii="Calibri" w:eastAsia="Times New Roman" w:hAnsi="Calibri" w:cs="Times New Roman"/>
              </w:rPr>
              <w:t>Average number of pages processed per request completed</w:t>
            </w:r>
          </w:p>
        </w:tc>
        <w:tc>
          <w:tcPr>
            <w:tcW w:w="1151" w:type="dxa"/>
            <w:tcBorders>
              <w:left w:val="nil"/>
              <w:bottom w:val="nil"/>
              <w:right w:val="nil"/>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rPr>
            </w:pPr>
            <w:r w:rsidRPr="00F768BA">
              <w:rPr>
                <w:rFonts w:ascii="Calibri" w:eastAsia="Times New Roman" w:hAnsi="Calibri" w:cs="Times New Roman"/>
                <w:b/>
                <w:bCs/>
              </w:rPr>
              <w:t>161</w:t>
            </w:r>
          </w:p>
        </w:tc>
        <w:tc>
          <w:tcPr>
            <w:tcW w:w="1598" w:type="dxa"/>
            <w:tcBorders>
              <w:left w:val="nil"/>
              <w:bottom w:val="nil"/>
              <w:right w:val="nil"/>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rPr>
            </w:pPr>
            <w:r w:rsidRPr="00F768BA">
              <w:rPr>
                <w:rFonts w:ascii="Calibri" w:eastAsia="Times New Roman" w:hAnsi="Calibri" w:cs="Times New Roman"/>
                <w:b/>
                <w:bCs/>
              </w:rPr>
              <w:t>217</w:t>
            </w:r>
          </w:p>
        </w:tc>
        <w:tc>
          <w:tcPr>
            <w:tcW w:w="1386" w:type="dxa"/>
            <w:tcBorders>
              <w:left w:val="nil"/>
              <w:bottom w:val="nil"/>
              <w:right w:val="single" w:sz="4" w:space="0" w:color="auto"/>
            </w:tcBorders>
            <w:shd w:val="clear" w:color="000000" w:fill="DBE5F1"/>
            <w:noWrap/>
            <w:vAlign w:val="center"/>
            <w:hideMark/>
          </w:tcPr>
          <w:p w:rsidR="000430A4" w:rsidRPr="00F768BA" w:rsidRDefault="000430A4" w:rsidP="002F32F0">
            <w:pPr>
              <w:spacing w:after="0" w:line="240" w:lineRule="auto"/>
              <w:jc w:val="center"/>
              <w:rPr>
                <w:rFonts w:ascii="Calibri" w:eastAsia="Times New Roman" w:hAnsi="Calibri" w:cs="Times New Roman"/>
                <w:b/>
                <w:bCs/>
              </w:rPr>
            </w:pPr>
            <w:r w:rsidRPr="00F768BA">
              <w:rPr>
                <w:rFonts w:ascii="Calibri" w:eastAsia="Times New Roman" w:hAnsi="Calibri" w:cs="Times New Roman"/>
                <w:b/>
                <w:bCs/>
              </w:rPr>
              <w:t>96</w:t>
            </w:r>
          </w:p>
        </w:tc>
      </w:tr>
      <w:tr w:rsidR="000430A4" w:rsidRPr="00F768BA" w:rsidTr="002F32F0">
        <w:trPr>
          <w:trHeight w:val="75"/>
        </w:trPr>
        <w:tc>
          <w:tcPr>
            <w:tcW w:w="5301" w:type="dxa"/>
            <w:gridSpan w:val="2"/>
            <w:tcBorders>
              <w:top w:val="nil"/>
              <w:left w:val="single" w:sz="4" w:space="0" w:color="auto"/>
              <w:bottom w:val="single" w:sz="4" w:space="0" w:color="auto"/>
              <w:right w:val="nil"/>
            </w:tcBorders>
            <w:shd w:val="clear" w:color="auto" w:fill="auto"/>
            <w:hideMark/>
          </w:tcPr>
          <w:p w:rsidR="000430A4" w:rsidRPr="00F768BA" w:rsidRDefault="000430A4" w:rsidP="002F32F0">
            <w:pPr>
              <w:spacing w:after="0" w:line="240" w:lineRule="auto"/>
              <w:rPr>
                <w:rFonts w:ascii="Calibri" w:eastAsia="Times New Roman" w:hAnsi="Calibri" w:cs="Times New Roman"/>
              </w:rPr>
            </w:pPr>
            <w:r w:rsidRPr="00F768BA">
              <w:rPr>
                <w:rFonts w:ascii="Calibri" w:eastAsia="Times New Roman" w:hAnsi="Calibri" w:cs="Times New Roman"/>
              </w:rPr>
              <w:t>% of request</w:t>
            </w:r>
            <w:r>
              <w:rPr>
                <w:rFonts w:ascii="Calibri" w:eastAsia="Times New Roman" w:hAnsi="Calibri" w:cs="Times New Roman"/>
              </w:rPr>
              <w:t xml:space="preserve">s </w:t>
            </w:r>
            <w:r w:rsidRPr="00F768BA">
              <w:rPr>
                <w:rFonts w:ascii="Calibri" w:eastAsia="Times New Roman" w:hAnsi="Calibri" w:cs="Times New Roman"/>
              </w:rPr>
              <w:t xml:space="preserve"> for which more than 1</w:t>
            </w:r>
            <w:r w:rsidR="0005646E">
              <w:rPr>
                <w:rFonts w:ascii="Calibri" w:eastAsia="Times New Roman" w:hAnsi="Calibri" w:cs="Times New Roman"/>
              </w:rPr>
              <w:t>,</w:t>
            </w:r>
            <w:r w:rsidRPr="00F768BA">
              <w:rPr>
                <w:rFonts w:ascii="Calibri" w:eastAsia="Times New Roman" w:hAnsi="Calibri" w:cs="Times New Roman"/>
              </w:rPr>
              <w:t>000 pages were processed</w:t>
            </w:r>
          </w:p>
        </w:tc>
        <w:tc>
          <w:tcPr>
            <w:tcW w:w="1151" w:type="dxa"/>
            <w:tcBorders>
              <w:top w:val="nil"/>
              <w:left w:val="nil"/>
              <w:bottom w:val="single" w:sz="4" w:space="0" w:color="auto"/>
              <w:right w:val="nil"/>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rPr>
            </w:pPr>
            <w:r w:rsidRPr="00F768BA">
              <w:rPr>
                <w:rFonts w:ascii="Calibri" w:eastAsia="Times New Roman" w:hAnsi="Calibri" w:cs="Times New Roman"/>
              </w:rPr>
              <w:t>5.6%</w:t>
            </w:r>
          </w:p>
        </w:tc>
        <w:tc>
          <w:tcPr>
            <w:tcW w:w="1598" w:type="dxa"/>
            <w:tcBorders>
              <w:top w:val="nil"/>
              <w:left w:val="nil"/>
              <w:bottom w:val="single" w:sz="4" w:space="0" w:color="auto"/>
              <w:right w:val="nil"/>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rPr>
            </w:pPr>
            <w:r w:rsidRPr="00F768BA">
              <w:rPr>
                <w:rFonts w:ascii="Calibri" w:eastAsia="Times New Roman" w:hAnsi="Calibri" w:cs="Times New Roman"/>
              </w:rPr>
              <w:t>7.3%</w:t>
            </w:r>
          </w:p>
        </w:tc>
        <w:tc>
          <w:tcPr>
            <w:tcW w:w="1386" w:type="dxa"/>
            <w:tcBorders>
              <w:top w:val="nil"/>
              <w:left w:val="nil"/>
              <w:bottom w:val="single" w:sz="4" w:space="0" w:color="auto"/>
              <w:right w:val="single" w:sz="4" w:space="0" w:color="auto"/>
            </w:tcBorders>
            <w:shd w:val="clear" w:color="auto" w:fill="auto"/>
            <w:noWrap/>
            <w:vAlign w:val="center"/>
            <w:hideMark/>
          </w:tcPr>
          <w:p w:rsidR="000430A4" w:rsidRPr="00F768BA" w:rsidRDefault="000430A4" w:rsidP="002F32F0">
            <w:pPr>
              <w:spacing w:after="0" w:line="240" w:lineRule="auto"/>
              <w:jc w:val="center"/>
              <w:rPr>
                <w:rFonts w:ascii="Calibri" w:eastAsia="Times New Roman" w:hAnsi="Calibri" w:cs="Times New Roman"/>
              </w:rPr>
            </w:pPr>
            <w:r w:rsidRPr="00F768BA">
              <w:rPr>
                <w:rFonts w:ascii="Calibri" w:eastAsia="Times New Roman" w:hAnsi="Calibri" w:cs="Times New Roman"/>
              </w:rPr>
              <w:t>1.2%</w:t>
            </w:r>
          </w:p>
        </w:tc>
      </w:tr>
    </w:tbl>
    <w:p w:rsidR="000430A4" w:rsidRPr="007F4A20" w:rsidRDefault="000430A4" w:rsidP="000430A4">
      <w:pPr>
        <w:pStyle w:val="Heading2"/>
        <w:spacing w:before="240"/>
      </w:pPr>
      <w:r w:rsidRPr="007F4A20">
        <w:t>Request Completion time</w:t>
      </w:r>
    </w:p>
    <w:p w:rsidR="000430A4" w:rsidRPr="00F768BA" w:rsidRDefault="000430A4" w:rsidP="000430A4">
      <w:pPr>
        <w:pStyle w:val="Heading4"/>
      </w:pPr>
      <w:r w:rsidRPr="00F768BA">
        <w:t>Timeliness</w:t>
      </w:r>
    </w:p>
    <w:p w:rsidR="000430A4" w:rsidRPr="00F768BA" w:rsidRDefault="000430A4" w:rsidP="000430A4">
      <w:pPr>
        <w:jc w:val="both"/>
      </w:pPr>
      <w:r w:rsidRPr="00F768BA">
        <w:t>Figure 1 reveals that 53.7% of requests were completed within 30 days</w:t>
      </w:r>
      <w:r>
        <w:t xml:space="preserve"> or less</w:t>
      </w:r>
      <w:r w:rsidRPr="00F768BA">
        <w:t xml:space="preserve">, which is </w:t>
      </w:r>
      <w:r>
        <w:t xml:space="preserve">13.6% </w:t>
      </w:r>
      <w:r w:rsidRPr="00F768BA">
        <w:t>lower</w:t>
      </w:r>
      <w:r>
        <w:t xml:space="preserve"> compared to 2013-2014. </w:t>
      </w:r>
      <w:r w:rsidRPr="00F768BA">
        <w:t>The requests completed between 61 and 120 days increased from 11.8% in 2013-2014 to 16.8% in 2014-2015.</w:t>
      </w:r>
      <w:r>
        <w:t xml:space="preserve"> Also, the</w:t>
      </w:r>
      <w:r w:rsidRPr="00F768BA">
        <w:t xml:space="preserve"> number of requests that requi</w:t>
      </w:r>
      <w:r>
        <w:t>red between 121 and 180 days completion time</w:t>
      </w:r>
      <w:r w:rsidRPr="00F768BA">
        <w:t xml:space="preserve"> increased from 2.7% in 2013-2014 to 5.3% </w:t>
      </w:r>
      <w:r>
        <w:t>this</w:t>
      </w:r>
      <w:r w:rsidRPr="00F768BA">
        <w:t xml:space="preserve"> reporting period. </w:t>
      </w:r>
      <w:r>
        <w:t>No requests were</w:t>
      </w:r>
      <w:r w:rsidRPr="00F768BA">
        <w:t xml:space="preserve"> completed </w:t>
      </w:r>
      <w:r>
        <w:t>beyond 365 days.</w:t>
      </w:r>
    </w:p>
    <w:p w:rsidR="000430A4" w:rsidRPr="007D0E5C" w:rsidRDefault="000430A4" w:rsidP="000430A4">
      <w:pPr>
        <w:pStyle w:val="Heading3"/>
      </w:pPr>
      <w:r w:rsidRPr="007D0E5C">
        <w:t xml:space="preserve">Figure 1: </w:t>
      </w:r>
      <w:r>
        <w:t>Requests Completion time</w:t>
      </w:r>
    </w:p>
    <w:p w:rsidR="000430A4" w:rsidRPr="001C1C57" w:rsidRDefault="000430A4" w:rsidP="000430A4">
      <w:pPr>
        <w:jc w:val="both"/>
      </w:pPr>
      <w:r w:rsidRPr="004B3D43">
        <w:rPr>
          <w:noProof/>
          <w:color w:val="FF0000"/>
        </w:rPr>
        <w:drawing>
          <wp:inline distT="0" distB="0" distL="0" distR="0">
            <wp:extent cx="5907819" cy="3951798"/>
            <wp:effectExtent l="0" t="0" r="17145" b="10795"/>
            <wp:docPr id="8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0430A4" w:rsidRPr="00F768BA" w:rsidRDefault="000430A4" w:rsidP="000430A4">
      <w:pPr>
        <w:pStyle w:val="Heading4"/>
      </w:pPr>
      <w:r w:rsidRPr="00F768BA">
        <w:t>Extensions</w:t>
      </w:r>
    </w:p>
    <w:p w:rsidR="000430A4" w:rsidRPr="000075B2" w:rsidRDefault="000430A4" w:rsidP="000430A4">
      <w:pPr>
        <w:jc w:val="both"/>
      </w:pPr>
      <w:r w:rsidRPr="000075B2">
        <w:t>CPC took a total of 30 extensions in 2014-2015 compared to 18 in 2013-2014. The most common reasons for taking an extension was for interference with operations (46.6%), consultations (30.0%) and third-party notice (23.3%).</w:t>
      </w:r>
    </w:p>
    <w:p w:rsidR="000430A4" w:rsidRPr="000075B2" w:rsidRDefault="000430A4" w:rsidP="000430A4">
      <w:pPr>
        <w:jc w:val="both"/>
      </w:pPr>
      <w:r w:rsidRPr="000075B2">
        <w:t>Figure 2 shows that 30.0% of the extensions taken in 2014-2015 were for 30 days or less. The proportion of extensions taken between 31 and 60 days in 2014-2015 was 40.0% which is a decrease from 55.6% in 2013-2014. There was a 6.7% increase in the proportion of extensions for 61 and 120 days compared to the last period, and no extensions were taken for more than 181 days.</w:t>
      </w:r>
    </w:p>
    <w:p w:rsidR="000430A4" w:rsidRPr="00680DF7" w:rsidRDefault="000430A4" w:rsidP="000430A4">
      <w:pPr>
        <w:pStyle w:val="Heading3"/>
        <w:spacing w:after="200"/>
        <w:rPr>
          <w:noProof/>
        </w:rPr>
      </w:pPr>
      <w:r w:rsidRPr="00C1031C">
        <w:t>Figure 2: Length of E</w:t>
      </w:r>
      <w:r>
        <w:t>xtensions</w:t>
      </w:r>
      <w:r w:rsidRPr="004B3D43">
        <w:rPr>
          <w:noProof/>
        </w:rPr>
        <w:drawing>
          <wp:inline distT="0" distB="0" distL="0" distR="0">
            <wp:extent cx="5947576" cy="4142630"/>
            <wp:effectExtent l="0" t="0" r="15240" b="10795"/>
            <wp:docPr id="8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0430A4" w:rsidRPr="005B3B66" w:rsidRDefault="000430A4" w:rsidP="000430A4">
      <w:pPr>
        <w:pStyle w:val="Heading4"/>
      </w:pPr>
      <w:r>
        <w:t>Deemed Refusals</w:t>
      </w:r>
    </w:p>
    <w:p w:rsidR="000430A4" w:rsidRPr="000075B2" w:rsidRDefault="000430A4" w:rsidP="000430A4">
      <w:pPr>
        <w:jc w:val="both"/>
      </w:pPr>
      <w:r w:rsidRPr="000075B2">
        <w:t>In 2014-2015, three requests were closed past the statutory deadline,</w:t>
      </w:r>
      <w:r w:rsidRPr="000075B2">
        <w:rPr>
          <w:rStyle w:val="FootnoteReference"/>
        </w:rPr>
        <w:footnoteReference w:id="101"/>
      </w:r>
      <w:r w:rsidRPr="000075B2">
        <w:t xml:space="preserve"> which is 3.2% of the completed requests. This rate represents an “A” grade.</w:t>
      </w:r>
      <w:r w:rsidRPr="000075B2">
        <w:rPr>
          <w:rStyle w:val="FootnoteReference"/>
        </w:rPr>
        <w:footnoteReference w:id="102"/>
      </w:r>
      <w:r w:rsidRPr="000075B2">
        <w:t xml:space="preserve">  CPC’s justification for not meeting the statutory deadline in these cases was workload (100%). Two requests were late by 15 days or less, and 1 request was late by 181 to 365 days.</w:t>
      </w:r>
    </w:p>
    <w:p w:rsidR="000430A4" w:rsidRPr="007F4A20" w:rsidRDefault="000430A4" w:rsidP="000430A4">
      <w:pPr>
        <w:pStyle w:val="Heading2"/>
      </w:pPr>
      <w:r w:rsidRPr="007F4A20">
        <w:t>Disclosure</w:t>
      </w:r>
    </w:p>
    <w:p w:rsidR="000430A4" w:rsidRPr="00F768BA" w:rsidRDefault="000430A4" w:rsidP="000430A4">
      <w:pPr>
        <w:pStyle w:val="Heading4"/>
      </w:pPr>
      <w:r w:rsidRPr="00F768BA">
        <w:t xml:space="preserve">Percentage of requests for </w:t>
      </w:r>
      <w:r>
        <w:t>which information was disclosed</w:t>
      </w:r>
    </w:p>
    <w:p w:rsidR="000430A4" w:rsidRDefault="000430A4" w:rsidP="000430A4">
      <w:r w:rsidRPr="00F768BA">
        <w:t>In 2014-2015, 11.6% of all completed requests were entirely disclosed</w:t>
      </w:r>
      <w:r>
        <w:t>,</w:t>
      </w:r>
      <w:r w:rsidRPr="00F768BA">
        <w:t xml:space="preserve"> which is</w:t>
      </w:r>
      <w:r>
        <w:t xml:space="preserve"> 9.3%</w:t>
      </w:r>
      <w:r w:rsidRPr="00F768BA">
        <w:t xml:space="preserve"> lower than</w:t>
      </w:r>
      <w:r>
        <w:t xml:space="preserve"> the</w:t>
      </w:r>
      <w:r w:rsidRPr="00F768BA">
        <w:t xml:space="preserve"> previous period</w:t>
      </w:r>
      <w:r>
        <w:t xml:space="preserve"> </w:t>
      </w:r>
      <w:r w:rsidRPr="00F768BA">
        <w:t xml:space="preserve">(see Figure 3). Requests that were partly disclosed </w:t>
      </w:r>
      <w:r>
        <w:t>represented</w:t>
      </w:r>
      <w:r w:rsidRPr="00F768BA">
        <w:t xml:space="preserve"> 41</w:t>
      </w:r>
      <w:r>
        <w:t>.1</w:t>
      </w:r>
      <w:r w:rsidRPr="00F768BA">
        <w:t>% of all completed requests, which</w:t>
      </w:r>
      <w:r>
        <w:t xml:space="preserve"> is a slight decrease from the previous year.</w:t>
      </w:r>
    </w:p>
    <w:p w:rsidR="000430A4" w:rsidRPr="00642E1F" w:rsidRDefault="000430A4" w:rsidP="000430A4">
      <w:pPr>
        <w:pStyle w:val="Heading3"/>
      </w:pPr>
      <w:r w:rsidRPr="00642E1F">
        <w:t xml:space="preserve">Figure 3: </w:t>
      </w:r>
      <w:r>
        <w:t>Level of Disclosure</w:t>
      </w:r>
    </w:p>
    <w:p w:rsidR="000430A4" w:rsidRDefault="000430A4" w:rsidP="000430A4">
      <w:pPr>
        <w:spacing w:line="240" w:lineRule="auto"/>
        <w:jc w:val="both"/>
        <w:rPr>
          <w:color w:val="FF0000"/>
        </w:rPr>
      </w:pPr>
      <w:r w:rsidRPr="004B3D43">
        <w:rPr>
          <w:noProof/>
          <w:color w:val="FF0000"/>
        </w:rPr>
        <w:drawing>
          <wp:inline distT="0" distB="0" distL="0" distR="0">
            <wp:extent cx="5955527" cy="3753016"/>
            <wp:effectExtent l="0" t="0" r="7620" b="0"/>
            <wp:docPr id="8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0430A4" w:rsidRPr="00F768BA" w:rsidRDefault="000430A4" w:rsidP="000430A4">
      <w:pPr>
        <w:pStyle w:val="Heading4"/>
      </w:pPr>
      <w:r>
        <w:t>Exemptions</w:t>
      </w:r>
    </w:p>
    <w:p w:rsidR="000430A4" w:rsidRDefault="000430A4" w:rsidP="000430A4">
      <w:pPr>
        <w:jc w:val="both"/>
      </w:pPr>
      <w:r>
        <w:t>On average, t</w:t>
      </w:r>
      <w:r w:rsidRPr="00F768BA">
        <w:t>he n</w:t>
      </w:r>
      <w:r w:rsidRPr="00642E1F">
        <w:t>umber of exemptions used per completed request decreased from 1.49 in 2013-2014 to 1.42 in 2014-201 (see Table 2). The most used exemptions for this reporting period were section 18 (Economic Interests of Canada) (</w:t>
      </w:r>
      <w:r>
        <w:t>37.0</w:t>
      </w:r>
      <w:r w:rsidRPr="00642E1F">
        <w:t>%), section 19 (Personal Information) (21</w:t>
      </w:r>
      <w:r>
        <w:t>.5</w:t>
      </w:r>
      <w:r w:rsidRPr="00642E1F">
        <w:t>%) and section 21 (Operations of Government)</w:t>
      </w:r>
      <w:r>
        <w:t xml:space="preserve"> (17.8</w:t>
      </w:r>
      <w:r w:rsidRPr="00642E1F">
        <w:t>%).</w:t>
      </w:r>
    </w:p>
    <w:p w:rsidR="000430A4" w:rsidRPr="007F4A20" w:rsidRDefault="000430A4" w:rsidP="000430A4">
      <w:pPr>
        <w:pStyle w:val="Heading3"/>
      </w:pPr>
      <w:r w:rsidRPr="00406F8F">
        <w:t>Table 2: Exemptions</w:t>
      </w:r>
    </w:p>
    <w:tbl>
      <w:tblPr>
        <w:tblW w:w="9367" w:type="dxa"/>
        <w:tblInd w:w="103" w:type="dxa"/>
        <w:tblLook w:val="04A0"/>
      </w:tblPr>
      <w:tblGrid>
        <w:gridCol w:w="5113"/>
        <w:gridCol w:w="1290"/>
        <w:gridCol w:w="1588"/>
        <w:gridCol w:w="1376"/>
      </w:tblGrid>
      <w:tr w:rsidR="000430A4" w:rsidRPr="00597BB7" w:rsidTr="002F32F0">
        <w:trPr>
          <w:trHeight w:val="264"/>
        </w:trPr>
        <w:tc>
          <w:tcPr>
            <w:tcW w:w="5113" w:type="dxa"/>
            <w:tcBorders>
              <w:top w:val="single" w:sz="4" w:space="0" w:color="auto"/>
              <w:left w:val="single" w:sz="4" w:space="0" w:color="auto"/>
              <w:bottom w:val="single" w:sz="4" w:space="0" w:color="auto"/>
              <w:right w:val="nil"/>
            </w:tcBorders>
            <w:shd w:val="clear" w:color="000000" w:fill="DBE5F1"/>
            <w:noWrap/>
            <w:vAlign w:val="bottom"/>
            <w:hideMark/>
          </w:tcPr>
          <w:p w:rsidR="000430A4" w:rsidRPr="00597BB7" w:rsidRDefault="000430A4" w:rsidP="002F32F0">
            <w:pPr>
              <w:spacing w:after="0" w:line="240" w:lineRule="auto"/>
              <w:rPr>
                <w:rFonts w:ascii="Calibri" w:eastAsia="Times New Roman" w:hAnsi="Calibri" w:cs="Times New Roman"/>
                <w:color w:val="000000"/>
              </w:rPr>
            </w:pPr>
            <w:r w:rsidRPr="00597BB7">
              <w:rPr>
                <w:rFonts w:ascii="Calibri" w:eastAsia="Times New Roman" w:hAnsi="Calibri" w:cs="Times New Roman"/>
                <w:color w:val="000000"/>
              </w:rPr>
              <w:t xml:space="preserve">Exemptions </w:t>
            </w:r>
          </w:p>
        </w:tc>
        <w:tc>
          <w:tcPr>
            <w:tcW w:w="1290" w:type="dxa"/>
            <w:tcBorders>
              <w:top w:val="single" w:sz="4" w:space="0" w:color="auto"/>
              <w:left w:val="nil"/>
              <w:bottom w:val="single" w:sz="4" w:space="0" w:color="auto"/>
              <w:right w:val="nil"/>
            </w:tcBorders>
            <w:shd w:val="clear" w:color="000000" w:fill="DBE5F1"/>
            <w:noWrap/>
            <w:vAlign w:val="bottom"/>
            <w:hideMark/>
          </w:tcPr>
          <w:p w:rsidR="000430A4" w:rsidRPr="00597BB7" w:rsidRDefault="000430A4" w:rsidP="002F32F0">
            <w:pPr>
              <w:spacing w:after="0" w:line="240" w:lineRule="auto"/>
              <w:jc w:val="center"/>
              <w:rPr>
                <w:rFonts w:ascii="Calibri" w:eastAsia="Times New Roman" w:hAnsi="Calibri" w:cs="Times New Roman"/>
                <w:b/>
                <w:bCs/>
                <w:color w:val="000000"/>
              </w:rPr>
            </w:pPr>
            <w:r w:rsidRPr="00597BB7">
              <w:rPr>
                <w:rFonts w:ascii="Calibri" w:eastAsia="Times New Roman" w:hAnsi="Calibri" w:cs="Times New Roman"/>
                <w:b/>
                <w:bCs/>
                <w:color w:val="000000"/>
              </w:rPr>
              <w:t>2012-2013</w:t>
            </w:r>
          </w:p>
        </w:tc>
        <w:tc>
          <w:tcPr>
            <w:tcW w:w="1588" w:type="dxa"/>
            <w:tcBorders>
              <w:top w:val="single" w:sz="4" w:space="0" w:color="auto"/>
              <w:left w:val="nil"/>
              <w:bottom w:val="single" w:sz="4" w:space="0" w:color="auto"/>
              <w:right w:val="nil"/>
            </w:tcBorders>
            <w:shd w:val="clear" w:color="000000" w:fill="DBE5F1"/>
            <w:noWrap/>
            <w:vAlign w:val="bottom"/>
            <w:hideMark/>
          </w:tcPr>
          <w:p w:rsidR="000430A4" w:rsidRPr="00597BB7" w:rsidRDefault="000430A4" w:rsidP="002F32F0">
            <w:pPr>
              <w:spacing w:after="0" w:line="240" w:lineRule="auto"/>
              <w:jc w:val="center"/>
              <w:rPr>
                <w:rFonts w:ascii="Calibri" w:eastAsia="Times New Roman" w:hAnsi="Calibri" w:cs="Times New Roman"/>
                <w:b/>
                <w:bCs/>
                <w:color w:val="000000"/>
              </w:rPr>
            </w:pPr>
            <w:r w:rsidRPr="00597BB7">
              <w:rPr>
                <w:rFonts w:ascii="Calibri" w:eastAsia="Times New Roman" w:hAnsi="Calibri" w:cs="Times New Roman"/>
                <w:b/>
                <w:bCs/>
                <w:color w:val="000000"/>
              </w:rPr>
              <w:t>2013-2014</w:t>
            </w:r>
          </w:p>
        </w:tc>
        <w:tc>
          <w:tcPr>
            <w:tcW w:w="1376" w:type="dxa"/>
            <w:tcBorders>
              <w:top w:val="single" w:sz="4" w:space="0" w:color="auto"/>
              <w:left w:val="nil"/>
              <w:bottom w:val="single" w:sz="4" w:space="0" w:color="auto"/>
              <w:right w:val="single" w:sz="4" w:space="0" w:color="auto"/>
            </w:tcBorders>
            <w:shd w:val="clear" w:color="000000" w:fill="DBE5F1"/>
            <w:noWrap/>
            <w:vAlign w:val="bottom"/>
            <w:hideMark/>
          </w:tcPr>
          <w:p w:rsidR="000430A4" w:rsidRPr="00597BB7" w:rsidRDefault="000430A4" w:rsidP="002F32F0">
            <w:pPr>
              <w:spacing w:after="0" w:line="240" w:lineRule="auto"/>
              <w:jc w:val="center"/>
              <w:rPr>
                <w:rFonts w:ascii="Calibri" w:eastAsia="Times New Roman" w:hAnsi="Calibri" w:cs="Times New Roman"/>
                <w:b/>
                <w:bCs/>
                <w:color w:val="000000"/>
              </w:rPr>
            </w:pPr>
            <w:r w:rsidRPr="00597BB7">
              <w:rPr>
                <w:rFonts w:ascii="Calibri" w:eastAsia="Times New Roman" w:hAnsi="Calibri" w:cs="Times New Roman"/>
                <w:b/>
                <w:bCs/>
                <w:color w:val="000000"/>
              </w:rPr>
              <w:t>2014-2015</w:t>
            </w:r>
          </w:p>
        </w:tc>
      </w:tr>
      <w:tr w:rsidR="000430A4" w:rsidRPr="00597BB7" w:rsidTr="002F32F0">
        <w:trPr>
          <w:trHeight w:val="264"/>
        </w:trPr>
        <w:tc>
          <w:tcPr>
            <w:tcW w:w="5113" w:type="dxa"/>
            <w:tcBorders>
              <w:top w:val="nil"/>
              <w:left w:val="single" w:sz="4" w:space="0" w:color="auto"/>
              <w:bottom w:val="nil"/>
              <w:right w:val="nil"/>
            </w:tcBorders>
            <w:shd w:val="clear" w:color="auto" w:fill="auto"/>
            <w:noWrap/>
            <w:vAlign w:val="bottom"/>
            <w:hideMark/>
          </w:tcPr>
          <w:p w:rsidR="000430A4" w:rsidRPr="00597BB7"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597BB7">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597BB7">
              <w:rPr>
                <w:rFonts w:ascii="Calibri" w:eastAsia="Times New Roman" w:hAnsi="Calibri" w:cs="Times New Roman"/>
                <w:color w:val="000000"/>
              </w:rPr>
              <w:t xml:space="preserve"> </w:t>
            </w:r>
          </w:p>
        </w:tc>
        <w:tc>
          <w:tcPr>
            <w:tcW w:w="1290" w:type="dxa"/>
            <w:tcBorders>
              <w:top w:val="nil"/>
              <w:left w:val="nil"/>
              <w:bottom w:val="nil"/>
              <w:right w:val="nil"/>
            </w:tcBorders>
            <w:shd w:val="clear" w:color="auto" w:fill="auto"/>
            <w:noWrap/>
            <w:vAlign w:val="bottom"/>
            <w:hideMark/>
          </w:tcPr>
          <w:p w:rsidR="000430A4" w:rsidRPr="00597BB7" w:rsidRDefault="000430A4" w:rsidP="002F32F0">
            <w:pPr>
              <w:spacing w:after="0" w:line="240" w:lineRule="auto"/>
              <w:jc w:val="center"/>
              <w:rPr>
                <w:rFonts w:ascii="Calibri" w:eastAsia="Times New Roman" w:hAnsi="Calibri" w:cs="Times New Roman"/>
                <w:color w:val="000000"/>
              </w:rPr>
            </w:pPr>
            <w:r w:rsidRPr="00597BB7">
              <w:rPr>
                <w:rFonts w:ascii="Calibri" w:eastAsia="Times New Roman" w:hAnsi="Calibri" w:cs="Times New Roman"/>
                <w:color w:val="000000"/>
              </w:rPr>
              <w:t>273</w:t>
            </w:r>
          </w:p>
        </w:tc>
        <w:tc>
          <w:tcPr>
            <w:tcW w:w="1588" w:type="dxa"/>
            <w:tcBorders>
              <w:top w:val="nil"/>
              <w:left w:val="nil"/>
              <w:bottom w:val="nil"/>
              <w:right w:val="nil"/>
            </w:tcBorders>
            <w:shd w:val="clear" w:color="auto" w:fill="auto"/>
            <w:noWrap/>
            <w:vAlign w:val="bottom"/>
            <w:hideMark/>
          </w:tcPr>
          <w:p w:rsidR="000430A4" w:rsidRPr="00597BB7" w:rsidRDefault="000430A4" w:rsidP="002F32F0">
            <w:pPr>
              <w:spacing w:after="0" w:line="240" w:lineRule="auto"/>
              <w:jc w:val="center"/>
              <w:rPr>
                <w:rFonts w:ascii="Calibri" w:eastAsia="Times New Roman" w:hAnsi="Calibri" w:cs="Times New Roman"/>
                <w:color w:val="000000"/>
              </w:rPr>
            </w:pPr>
            <w:r w:rsidRPr="00597BB7">
              <w:rPr>
                <w:rFonts w:ascii="Calibri" w:eastAsia="Times New Roman" w:hAnsi="Calibri" w:cs="Times New Roman"/>
                <w:color w:val="000000"/>
              </w:rPr>
              <w:t>164</w:t>
            </w:r>
          </w:p>
        </w:tc>
        <w:tc>
          <w:tcPr>
            <w:tcW w:w="1376" w:type="dxa"/>
            <w:tcBorders>
              <w:top w:val="nil"/>
              <w:left w:val="nil"/>
              <w:bottom w:val="nil"/>
              <w:right w:val="single" w:sz="4" w:space="0" w:color="auto"/>
            </w:tcBorders>
            <w:shd w:val="clear" w:color="auto" w:fill="auto"/>
            <w:noWrap/>
            <w:vAlign w:val="bottom"/>
            <w:hideMark/>
          </w:tcPr>
          <w:p w:rsidR="000430A4" w:rsidRPr="00597BB7" w:rsidRDefault="000430A4" w:rsidP="002F32F0">
            <w:pPr>
              <w:spacing w:after="0" w:line="240" w:lineRule="auto"/>
              <w:jc w:val="center"/>
              <w:rPr>
                <w:rFonts w:ascii="Calibri" w:eastAsia="Times New Roman" w:hAnsi="Calibri" w:cs="Times New Roman"/>
                <w:color w:val="000000"/>
              </w:rPr>
            </w:pPr>
            <w:r w:rsidRPr="00597BB7">
              <w:rPr>
                <w:rFonts w:ascii="Calibri" w:eastAsia="Times New Roman" w:hAnsi="Calibri" w:cs="Times New Roman"/>
                <w:color w:val="000000"/>
              </w:rPr>
              <w:t>135</w:t>
            </w:r>
          </w:p>
        </w:tc>
      </w:tr>
      <w:tr w:rsidR="000430A4" w:rsidRPr="00597BB7" w:rsidTr="002F32F0">
        <w:trPr>
          <w:trHeight w:val="264"/>
        </w:trPr>
        <w:tc>
          <w:tcPr>
            <w:tcW w:w="5113" w:type="dxa"/>
            <w:tcBorders>
              <w:top w:val="nil"/>
              <w:left w:val="single" w:sz="4" w:space="0" w:color="auto"/>
              <w:bottom w:val="single" w:sz="4" w:space="0" w:color="auto"/>
              <w:right w:val="nil"/>
            </w:tcBorders>
            <w:shd w:val="clear" w:color="auto" w:fill="auto"/>
            <w:noWrap/>
            <w:vAlign w:val="bottom"/>
            <w:hideMark/>
          </w:tcPr>
          <w:p w:rsidR="000430A4" w:rsidRPr="00597BB7" w:rsidRDefault="000430A4" w:rsidP="002F32F0">
            <w:pPr>
              <w:spacing w:after="0" w:line="240" w:lineRule="auto"/>
              <w:rPr>
                <w:rFonts w:ascii="Calibri" w:eastAsia="Times New Roman" w:hAnsi="Calibri" w:cs="Times New Roman"/>
                <w:color w:val="000000"/>
              </w:rPr>
            </w:pPr>
            <w:r w:rsidRPr="00597BB7">
              <w:rPr>
                <w:rFonts w:ascii="Calibri" w:eastAsia="Times New Roman" w:hAnsi="Calibri" w:cs="Times New Roman"/>
                <w:color w:val="000000"/>
              </w:rPr>
              <w:t>Total number of completed requests</w:t>
            </w:r>
          </w:p>
        </w:tc>
        <w:tc>
          <w:tcPr>
            <w:tcW w:w="1290" w:type="dxa"/>
            <w:tcBorders>
              <w:top w:val="nil"/>
              <w:left w:val="nil"/>
              <w:bottom w:val="single" w:sz="4" w:space="0" w:color="auto"/>
              <w:right w:val="nil"/>
            </w:tcBorders>
            <w:shd w:val="clear" w:color="auto" w:fill="auto"/>
            <w:noWrap/>
            <w:vAlign w:val="bottom"/>
            <w:hideMark/>
          </w:tcPr>
          <w:p w:rsidR="000430A4" w:rsidRPr="00597BB7" w:rsidRDefault="000430A4" w:rsidP="002F32F0">
            <w:pPr>
              <w:spacing w:after="0" w:line="240" w:lineRule="auto"/>
              <w:jc w:val="center"/>
              <w:rPr>
                <w:rFonts w:ascii="Calibri" w:eastAsia="Times New Roman" w:hAnsi="Calibri" w:cs="Times New Roman"/>
                <w:color w:val="000000"/>
              </w:rPr>
            </w:pPr>
            <w:r w:rsidRPr="00597BB7">
              <w:rPr>
                <w:rFonts w:ascii="Calibri" w:eastAsia="Times New Roman" w:hAnsi="Calibri" w:cs="Times New Roman"/>
                <w:color w:val="000000"/>
              </w:rPr>
              <w:t>135</w:t>
            </w:r>
          </w:p>
        </w:tc>
        <w:tc>
          <w:tcPr>
            <w:tcW w:w="1588" w:type="dxa"/>
            <w:tcBorders>
              <w:top w:val="nil"/>
              <w:left w:val="nil"/>
              <w:bottom w:val="single" w:sz="4" w:space="0" w:color="auto"/>
              <w:right w:val="nil"/>
            </w:tcBorders>
            <w:shd w:val="clear" w:color="auto" w:fill="auto"/>
            <w:noWrap/>
            <w:vAlign w:val="bottom"/>
            <w:hideMark/>
          </w:tcPr>
          <w:p w:rsidR="000430A4" w:rsidRPr="00597BB7" w:rsidRDefault="000430A4" w:rsidP="002F32F0">
            <w:pPr>
              <w:spacing w:after="0" w:line="240" w:lineRule="auto"/>
              <w:jc w:val="center"/>
              <w:rPr>
                <w:rFonts w:ascii="Calibri" w:eastAsia="Times New Roman" w:hAnsi="Calibri" w:cs="Times New Roman"/>
                <w:color w:val="000000"/>
              </w:rPr>
            </w:pPr>
            <w:r w:rsidRPr="00597BB7">
              <w:rPr>
                <w:rFonts w:ascii="Calibri" w:eastAsia="Times New Roman" w:hAnsi="Calibri" w:cs="Times New Roman"/>
                <w:color w:val="000000"/>
              </w:rPr>
              <w:t>110</w:t>
            </w:r>
          </w:p>
        </w:tc>
        <w:tc>
          <w:tcPr>
            <w:tcW w:w="1376" w:type="dxa"/>
            <w:tcBorders>
              <w:top w:val="nil"/>
              <w:left w:val="nil"/>
              <w:bottom w:val="single" w:sz="4" w:space="0" w:color="auto"/>
              <w:right w:val="single" w:sz="4" w:space="0" w:color="auto"/>
            </w:tcBorders>
            <w:shd w:val="clear" w:color="auto" w:fill="auto"/>
            <w:noWrap/>
            <w:vAlign w:val="bottom"/>
            <w:hideMark/>
          </w:tcPr>
          <w:p w:rsidR="000430A4" w:rsidRPr="00597BB7" w:rsidRDefault="000430A4" w:rsidP="002F32F0">
            <w:pPr>
              <w:spacing w:after="0" w:line="240" w:lineRule="auto"/>
              <w:jc w:val="center"/>
              <w:rPr>
                <w:rFonts w:ascii="Calibri" w:eastAsia="Times New Roman" w:hAnsi="Calibri" w:cs="Times New Roman"/>
                <w:color w:val="000000"/>
              </w:rPr>
            </w:pPr>
            <w:r w:rsidRPr="00597BB7">
              <w:rPr>
                <w:rFonts w:ascii="Calibri" w:eastAsia="Times New Roman" w:hAnsi="Calibri" w:cs="Times New Roman"/>
                <w:color w:val="000000"/>
              </w:rPr>
              <w:t>95</w:t>
            </w:r>
          </w:p>
        </w:tc>
      </w:tr>
      <w:tr w:rsidR="000430A4" w:rsidRPr="00597BB7" w:rsidTr="002F32F0">
        <w:trPr>
          <w:trHeight w:val="264"/>
        </w:trPr>
        <w:tc>
          <w:tcPr>
            <w:tcW w:w="5113" w:type="dxa"/>
            <w:tcBorders>
              <w:top w:val="nil"/>
              <w:left w:val="single" w:sz="4" w:space="0" w:color="auto"/>
              <w:bottom w:val="single" w:sz="4" w:space="0" w:color="auto"/>
              <w:right w:val="nil"/>
            </w:tcBorders>
            <w:shd w:val="clear" w:color="000000" w:fill="B8CCE4"/>
            <w:vAlign w:val="bottom"/>
            <w:hideMark/>
          </w:tcPr>
          <w:p w:rsidR="000430A4" w:rsidRPr="00597BB7" w:rsidRDefault="000430A4" w:rsidP="002F32F0">
            <w:pPr>
              <w:spacing w:after="0" w:line="240" w:lineRule="auto"/>
              <w:rPr>
                <w:rFonts w:ascii="Calibri" w:eastAsia="Times New Roman" w:hAnsi="Calibri" w:cs="Times New Roman"/>
                <w:color w:val="000000"/>
              </w:rPr>
            </w:pPr>
            <w:r w:rsidRPr="00597BB7">
              <w:rPr>
                <w:rFonts w:ascii="Calibri" w:eastAsia="Times New Roman" w:hAnsi="Calibri" w:cs="Times New Roman"/>
                <w:color w:val="000000"/>
              </w:rPr>
              <w:t xml:space="preserve">Average number of exemptions per request </w:t>
            </w:r>
          </w:p>
        </w:tc>
        <w:tc>
          <w:tcPr>
            <w:tcW w:w="1290" w:type="dxa"/>
            <w:tcBorders>
              <w:top w:val="nil"/>
              <w:left w:val="nil"/>
              <w:bottom w:val="single" w:sz="4" w:space="0" w:color="auto"/>
              <w:right w:val="nil"/>
            </w:tcBorders>
            <w:shd w:val="clear" w:color="000000" w:fill="B8CCE4"/>
            <w:noWrap/>
            <w:vAlign w:val="center"/>
            <w:hideMark/>
          </w:tcPr>
          <w:p w:rsidR="000430A4" w:rsidRPr="00597BB7" w:rsidRDefault="000430A4" w:rsidP="002F32F0">
            <w:pPr>
              <w:spacing w:after="0" w:line="240" w:lineRule="auto"/>
              <w:jc w:val="center"/>
              <w:rPr>
                <w:rFonts w:ascii="Calibri" w:eastAsia="Times New Roman" w:hAnsi="Calibri" w:cs="Times New Roman"/>
                <w:color w:val="000000"/>
              </w:rPr>
            </w:pPr>
            <w:r w:rsidRPr="00597BB7">
              <w:rPr>
                <w:rFonts w:ascii="Calibri" w:eastAsia="Times New Roman" w:hAnsi="Calibri" w:cs="Times New Roman"/>
                <w:color w:val="000000"/>
              </w:rPr>
              <w:t>2.02</w:t>
            </w:r>
          </w:p>
        </w:tc>
        <w:tc>
          <w:tcPr>
            <w:tcW w:w="1588" w:type="dxa"/>
            <w:tcBorders>
              <w:top w:val="nil"/>
              <w:left w:val="nil"/>
              <w:bottom w:val="single" w:sz="4" w:space="0" w:color="auto"/>
              <w:right w:val="nil"/>
            </w:tcBorders>
            <w:shd w:val="clear" w:color="000000" w:fill="B8CCE4"/>
            <w:noWrap/>
            <w:vAlign w:val="center"/>
            <w:hideMark/>
          </w:tcPr>
          <w:p w:rsidR="000430A4" w:rsidRPr="00597BB7" w:rsidRDefault="000430A4" w:rsidP="002F32F0">
            <w:pPr>
              <w:spacing w:after="0" w:line="240" w:lineRule="auto"/>
              <w:jc w:val="center"/>
              <w:rPr>
                <w:rFonts w:ascii="Calibri" w:eastAsia="Times New Roman" w:hAnsi="Calibri" w:cs="Times New Roman"/>
                <w:color w:val="000000"/>
              </w:rPr>
            </w:pPr>
            <w:r w:rsidRPr="00597BB7">
              <w:rPr>
                <w:rFonts w:ascii="Calibri" w:eastAsia="Times New Roman" w:hAnsi="Calibri" w:cs="Times New Roman"/>
                <w:color w:val="000000"/>
              </w:rPr>
              <w:t>1.49</w:t>
            </w:r>
          </w:p>
        </w:tc>
        <w:tc>
          <w:tcPr>
            <w:tcW w:w="1376" w:type="dxa"/>
            <w:tcBorders>
              <w:top w:val="nil"/>
              <w:left w:val="nil"/>
              <w:bottom w:val="single" w:sz="4" w:space="0" w:color="auto"/>
              <w:right w:val="nil"/>
            </w:tcBorders>
            <w:shd w:val="clear" w:color="000000" w:fill="B8CCE4"/>
            <w:noWrap/>
            <w:vAlign w:val="center"/>
            <w:hideMark/>
          </w:tcPr>
          <w:p w:rsidR="000430A4" w:rsidRPr="00597BB7" w:rsidRDefault="000430A4" w:rsidP="002F32F0">
            <w:pPr>
              <w:spacing w:after="0" w:line="240" w:lineRule="auto"/>
              <w:jc w:val="center"/>
              <w:rPr>
                <w:rFonts w:ascii="Calibri" w:eastAsia="Times New Roman" w:hAnsi="Calibri" w:cs="Times New Roman"/>
                <w:color w:val="000000"/>
              </w:rPr>
            </w:pPr>
            <w:r w:rsidRPr="00597BB7">
              <w:rPr>
                <w:rFonts w:ascii="Calibri" w:eastAsia="Times New Roman" w:hAnsi="Calibri" w:cs="Times New Roman"/>
                <w:color w:val="000000"/>
              </w:rPr>
              <w:t>1.42</w:t>
            </w:r>
          </w:p>
        </w:tc>
      </w:tr>
    </w:tbl>
    <w:p w:rsidR="000430A4" w:rsidRPr="007F4A20" w:rsidRDefault="000430A4" w:rsidP="000430A4">
      <w:pPr>
        <w:pStyle w:val="Heading2"/>
        <w:spacing w:before="240"/>
      </w:pPr>
      <w:r w:rsidRPr="007F4A20">
        <w:t>Complaints at the OIC</w:t>
      </w:r>
    </w:p>
    <w:p w:rsidR="000430A4" w:rsidRDefault="000430A4" w:rsidP="000430A4">
      <w:pPr>
        <w:jc w:val="both"/>
      </w:pPr>
      <w:r>
        <w:t>In 2014-2015, the OIC received 30 complaints</w:t>
      </w:r>
      <w:r>
        <w:rPr>
          <w:rStyle w:val="FootnoteReference"/>
        </w:rPr>
        <w:footnoteReference w:id="103"/>
      </w:r>
      <w:r>
        <w:t xml:space="preserve"> against CPC of which 24 were refusals and 6 were administrative. 6 complaints were well-founded and resolved, 1 complaint was not well-founded, 5 complaints were discontinued and 18 were pending resolution.  In the previous period, there were ten complaints, all of which were refusals.</w:t>
      </w:r>
    </w:p>
    <w:p w:rsidR="000430A4" w:rsidRDefault="000430A4" w:rsidP="000430A4">
      <w:r>
        <w:br w:type="page"/>
      </w:r>
    </w:p>
    <w:p w:rsidR="000430A4" w:rsidRPr="000F3C1A" w:rsidRDefault="000430A4" w:rsidP="000430A4">
      <w:pPr>
        <w:pStyle w:val="Heading1"/>
      </w:pPr>
      <w:r w:rsidRPr="000F3C1A">
        <w:t>Canadian Security Intelligence Service</w:t>
      </w:r>
    </w:p>
    <w:p w:rsidR="000430A4" w:rsidRPr="0001676F" w:rsidRDefault="000430A4" w:rsidP="000430A4">
      <w:pPr>
        <w:pStyle w:val="Heading2"/>
      </w:pPr>
      <w:r w:rsidRPr="00822251">
        <w:t>Overall performance</w:t>
      </w:r>
      <w:r>
        <w:rPr>
          <w:rStyle w:val="FootnoteReference"/>
        </w:rPr>
        <w:footnoteReference w:id="104"/>
      </w:r>
    </w:p>
    <w:p w:rsidR="000430A4" w:rsidRDefault="000430A4" w:rsidP="000430A4">
      <w:pPr>
        <w:jc w:val="both"/>
      </w:pPr>
      <w:r>
        <w:t xml:space="preserve">The </w:t>
      </w:r>
      <w:r w:rsidRPr="0001676F">
        <w:t>Canadian Security Intelligence Service</w:t>
      </w:r>
      <w:r>
        <w:t xml:space="preserve"> (CSIS)</w:t>
      </w:r>
      <w:r w:rsidRPr="00ED24AB">
        <w:t xml:space="preserve"> </w:t>
      </w:r>
      <w:r>
        <w:t>completed 75.8% of their requests in inventory in 2014-2015. While the overall performance of CSIS appears to have decreased, it can be explained in part by the statistical changes made by TBS in how they require institutions to capture the data.</w:t>
      </w:r>
      <w:r w:rsidRPr="00C24EB9">
        <w:rPr>
          <w:rStyle w:val="FootnoteReference"/>
        </w:rPr>
        <w:t xml:space="preserve"> </w:t>
      </w:r>
      <w:r w:rsidRPr="00B37326">
        <w:rPr>
          <w:rStyle w:val="FootnoteReference"/>
        </w:rPr>
        <w:footnoteReference w:id="105"/>
      </w:r>
    </w:p>
    <w:p w:rsidR="000430A4" w:rsidRPr="00822251" w:rsidRDefault="000430A4" w:rsidP="000430A4">
      <w:pPr>
        <w:pStyle w:val="Heading2"/>
      </w:pPr>
      <w:r w:rsidRPr="00822251">
        <w:t>Workload</w:t>
      </w:r>
    </w:p>
    <w:p w:rsidR="000430A4" w:rsidRDefault="000430A4" w:rsidP="000430A4">
      <w:pPr>
        <w:jc w:val="both"/>
      </w:pPr>
      <w:r>
        <w:t>In 2014-2015, CSIS</w:t>
      </w:r>
      <w:r w:rsidRPr="00342B1F">
        <w:t xml:space="preserve"> received </w:t>
      </w:r>
      <w:r>
        <w:t>366 formal requests and 298 informal requests, for a combined total of 664 requests. In comparison, it received 903 requests in 2013-2014.</w:t>
      </w:r>
      <w:r>
        <w:rPr>
          <w:rStyle w:val="FootnoteReference"/>
        </w:rPr>
        <w:footnoteReference w:id="106"/>
      </w:r>
    </w:p>
    <w:p w:rsidR="000430A4" w:rsidRDefault="000430A4" w:rsidP="000430A4">
      <w:pPr>
        <w:jc w:val="both"/>
      </w:pPr>
      <w:r>
        <w:t xml:space="preserve">The </w:t>
      </w:r>
      <w:r w:rsidRPr="00342B1F">
        <w:t xml:space="preserve">majority of </w:t>
      </w:r>
      <w:r>
        <w:t xml:space="preserve">formal </w:t>
      </w:r>
      <w:r w:rsidRPr="00342B1F">
        <w:t>requests</w:t>
      </w:r>
      <w:r>
        <w:t xml:space="preserve"> received in 2014-2015</w:t>
      </w:r>
      <w:r w:rsidRPr="00342B1F">
        <w:t xml:space="preserve"> were from the </w:t>
      </w:r>
      <w:r>
        <w:t xml:space="preserve">media </w:t>
      </w:r>
      <w:r w:rsidRPr="00342B1F">
        <w:t>(</w:t>
      </w:r>
      <w:r>
        <w:t>48.1</w:t>
      </w:r>
      <w:r w:rsidRPr="00342B1F">
        <w:t xml:space="preserve">%), followed by the </w:t>
      </w:r>
      <w:r>
        <w:t>public (38.3</w:t>
      </w:r>
      <w:r w:rsidRPr="00342B1F">
        <w:t>%).</w:t>
      </w:r>
    </w:p>
    <w:p w:rsidR="000430A4" w:rsidRDefault="000430A4" w:rsidP="000430A4">
      <w:pPr>
        <w:jc w:val="both"/>
      </w:pPr>
      <w:r>
        <w:t xml:space="preserve">CSIS </w:t>
      </w:r>
      <w:r w:rsidRPr="00342B1F">
        <w:t>c</w:t>
      </w:r>
      <w:r>
        <w:t>ompleted 314 requests this reporting period. The completion rate was 75.8%,</w:t>
      </w:r>
      <w:r>
        <w:rPr>
          <w:rStyle w:val="FootnoteReference"/>
        </w:rPr>
        <w:footnoteReference w:id="107"/>
      </w:r>
      <w:r>
        <w:t xml:space="preserve"> which is below the government-wide rate of 85.1%. In 2013-2014, </w:t>
      </w:r>
      <w:r w:rsidRPr="002A6A2C">
        <w:t>the completion rate for CSIS was 95</w:t>
      </w:r>
      <w:r>
        <w:t>.0</w:t>
      </w:r>
      <w:r w:rsidRPr="002A6A2C">
        <w:t xml:space="preserve">%. </w:t>
      </w:r>
      <w:r>
        <w:t xml:space="preserve">Also, the </w:t>
      </w:r>
      <w:r w:rsidRPr="002A6A2C">
        <w:t>298 informal requests</w:t>
      </w:r>
      <w:r>
        <w:t xml:space="preserve"> received in 2014-2015 were all completed</w:t>
      </w:r>
      <w:r w:rsidRPr="002A6A2C">
        <w:t xml:space="preserve"> within 15 days. </w:t>
      </w:r>
    </w:p>
    <w:p w:rsidR="000430A4" w:rsidRDefault="000430A4" w:rsidP="000430A4">
      <w:pPr>
        <w:jc w:val="both"/>
      </w:pPr>
      <w:r w:rsidRPr="002A6A2C">
        <w:t>The number of consultations received by CSIS from other federal government institutions decreased from 317 to 234, representing a decrease of 26.2% compared to 2013-2014.</w:t>
      </w:r>
    </w:p>
    <w:p w:rsidR="000430A4" w:rsidRDefault="000430A4" w:rsidP="000430A4">
      <w:pPr>
        <w:jc w:val="both"/>
      </w:pPr>
      <w:r w:rsidRPr="001157BF">
        <w:t xml:space="preserve">In total, </w:t>
      </w:r>
      <w:r>
        <w:t>CSIS</w:t>
      </w:r>
      <w:r w:rsidRPr="001157BF">
        <w:t xml:space="preserve"> processed </w:t>
      </w:r>
      <w:r>
        <w:t xml:space="preserve">40,300 </w:t>
      </w:r>
      <w:r w:rsidRPr="001157BF">
        <w:t xml:space="preserve">pages in 2014-2015. The average number of pages processed per completed request </w:t>
      </w:r>
      <w:r>
        <w:t xml:space="preserve">decreased from 173 </w:t>
      </w:r>
      <w:r w:rsidRPr="001157BF">
        <w:t xml:space="preserve">in 2013-2014 to </w:t>
      </w:r>
      <w:r>
        <w:t xml:space="preserve">147 </w:t>
      </w:r>
      <w:r w:rsidRPr="001157BF">
        <w:t>in 2014-2015.</w:t>
      </w:r>
    </w:p>
    <w:p w:rsidR="000430A4" w:rsidRDefault="000430A4" w:rsidP="000430A4">
      <w:pPr>
        <w:jc w:val="both"/>
      </w:pPr>
      <w:r w:rsidRPr="001157BF">
        <w:t xml:space="preserve">The information released by the </w:t>
      </w:r>
      <w:r>
        <w:t>CSIS</w:t>
      </w:r>
      <w:r w:rsidRPr="001157BF">
        <w:t xml:space="preserve"> was mostly in paper format</w:t>
      </w:r>
      <w:r>
        <w:t xml:space="preserve">: 115 in paper format </w:t>
      </w:r>
      <w:r w:rsidRPr="001157BF">
        <w:t>compa</w:t>
      </w:r>
      <w:r>
        <w:t>red to 18 in electronic format.</w:t>
      </w:r>
    </w:p>
    <w:p w:rsidR="000430A4" w:rsidRDefault="000430A4" w:rsidP="000430A4">
      <w:pPr>
        <w:pStyle w:val="Heading3"/>
      </w:pPr>
      <w:r w:rsidRPr="00D2368F">
        <w:t xml:space="preserve">Table </w:t>
      </w:r>
      <w:r>
        <w:t xml:space="preserve">1: </w:t>
      </w:r>
      <w:r w:rsidRPr="00822251">
        <w:t>Workload</w:t>
      </w:r>
    </w:p>
    <w:tbl>
      <w:tblPr>
        <w:tblW w:w="9438" w:type="dxa"/>
        <w:tblInd w:w="98" w:type="dxa"/>
        <w:tblLook w:val="04A0"/>
      </w:tblPr>
      <w:tblGrid>
        <w:gridCol w:w="4861"/>
        <w:gridCol w:w="1273"/>
        <w:gridCol w:w="1551"/>
        <w:gridCol w:w="1753"/>
      </w:tblGrid>
      <w:tr w:rsidR="000430A4" w:rsidRPr="00EF4949" w:rsidTr="002F32F0">
        <w:trPr>
          <w:trHeight w:val="299"/>
        </w:trPr>
        <w:tc>
          <w:tcPr>
            <w:tcW w:w="4861" w:type="dxa"/>
            <w:tcBorders>
              <w:top w:val="single" w:sz="4" w:space="0" w:color="auto"/>
              <w:left w:val="single" w:sz="4" w:space="0" w:color="auto"/>
              <w:right w:val="nil"/>
            </w:tcBorders>
            <w:shd w:val="clear" w:color="auto" w:fill="auto"/>
            <w:noWrap/>
            <w:vAlign w:val="bottom"/>
            <w:hideMark/>
          </w:tcPr>
          <w:p w:rsidR="000430A4" w:rsidRPr="00EF4949"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EF4949">
              <w:rPr>
                <w:rFonts w:ascii="Calibri" w:eastAsia="Times New Roman" w:hAnsi="Calibri" w:cs="Times New Roman"/>
                <w:color w:val="000000"/>
              </w:rPr>
              <w:t xml:space="preserve">Measures </w:t>
            </w:r>
          </w:p>
        </w:tc>
        <w:tc>
          <w:tcPr>
            <w:tcW w:w="1273" w:type="dxa"/>
            <w:tcBorders>
              <w:top w:val="single" w:sz="4" w:space="0" w:color="auto"/>
              <w:left w:val="nil"/>
              <w:right w:val="nil"/>
            </w:tcBorders>
            <w:shd w:val="clear" w:color="auto" w:fill="auto"/>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2012-2013</w:t>
            </w:r>
          </w:p>
        </w:tc>
        <w:tc>
          <w:tcPr>
            <w:tcW w:w="1551" w:type="dxa"/>
            <w:tcBorders>
              <w:top w:val="single" w:sz="4" w:space="0" w:color="auto"/>
              <w:left w:val="nil"/>
              <w:right w:val="nil"/>
            </w:tcBorders>
            <w:shd w:val="clear" w:color="auto" w:fill="auto"/>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2013-2014</w:t>
            </w:r>
          </w:p>
        </w:tc>
        <w:tc>
          <w:tcPr>
            <w:tcW w:w="1753" w:type="dxa"/>
            <w:tcBorders>
              <w:top w:val="single" w:sz="4" w:space="0" w:color="auto"/>
              <w:left w:val="nil"/>
              <w:right w:val="single" w:sz="4" w:space="0" w:color="auto"/>
            </w:tcBorders>
            <w:shd w:val="clear" w:color="auto" w:fill="auto"/>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2014-2015</w:t>
            </w:r>
          </w:p>
        </w:tc>
      </w:tr>
      <w:tr w:rsidR="000430A4" w:rsidRPr="00EF4949" w:rsidTr="002F32F0">
        <w:trPr>
          <w:trHeight w:val="341"/>
        </w:trPr>
        <w:tc>
          <w:tcPr>
            <w:tcW w:w="4861" w:type="dxa"/>
            <w:tcBorders>
              <w:top w:val="nil"/>
              <w:left w:val="single" w:sz="4" w:space="0" w:color="auto"/>
              <w:bottom w:val="nil"/>
              <w:right w:val="nil"/>
            </w:tcBorders>
            <w:shd w:val="clear" w:color="000000" w:fill="DBE5F1"/>
            <w:noWrap/>
            <w:hideMark/>
          </w:tcPr>
          <w:p w:rsidR="000430A4" w:rsidRPr="00EF4949" w:rsidRDefault="000430A4" w:rsidP="002F32F0">
            <w:pPr>
              <w:spacing w:after="0" w:line="240" w:lineRule="auto"/>
              <w:rPr>
                <w:rFonts w:ascii="Calibri" w:eastAsia="Times New Roman" w:hAnsi="Calibri" w:cs="Times New Roman"/>
                <w:color w:val="000000"/>
              </w:rPr>
            </w:pPr>
            <w:r w:rsidRPr="00EF4949">
              <w:rPr>
                <w:rFonts w:ascii="Calibri" w:eastAsia="Times New Roman" w:hAnsi="Calibri" w:cs="Times New Roman"/>
                <w:color w:val="000000"/>
              </w:rPr>
              <w:t xml:space="preserve">Number of requests received </w:t>
            </w:r>
          </w:p>
        </w:tc>
        <w:tc>
          <w:tcPr>
            <w:tcW w:w="1273" w:type="dxa"/>
            <w:tcBorders>
              <w:top w:val="nil"/>
              <w:left w:val="nil"/>
              <w:bottom w:val="nil"/>
              <w:right w:val="nil"/>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488</w:t>
            </w:r>
          </w:p>
        </w:tc>
        <w:tc>
          <w:tcPr>
            <w:tcW w:w="1551" w:type="dxa"/>
            <w:tcBorders>
              <w:top w:val="nil"/>
              <w:left w:val="nil"/>
              <w:bottom w:val="nil"/>
              <w:right w:val="nil"/>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903</w:t>
            </w:r>
          </w:p>
        </w:tc>
        <w:tc>
          <w:tcPr>
            <w:tcW w:w="1753" w:type="dxa"/>
            <w:tcBorders>
              <w:top w:val="nil"/>
              <w:left w:val="nil"/>
              <w:bottom w:val="nil"/>
              <w:right w:val="single" w:sz="4" w:space="0" w:color="auto"/>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366</w:t>
            </w:r>
          </w:p>
        </w:tc>
      </w:tr>
      <w:tr w:rsidR="000430A4" w:rsidRPr="00EF4949" w:rsidTr="002F32F0">
        <w:trPr>
          <w:trHeight w:val="341"/>
        </w:trPr>
        <w:tc>
          <w:tcPr>
            <w:tcW w:w="4861" w:type="dxa"/>
            <w:tcBorders>
              <w:top w:val="nil"/>
              <w:left w:val="single" w:sz="4" w:space="0" w:color="auto"/>
              <w:bottom w:val="nil"/>
              <w:right w:val="nil"/>
            </w:tcBorders>
            <w:shd w:val="clear" w:color="auto" w:fill="auto"/>
            <w:hideMark/>
          </w:tcPr>
          <w:p w:rsidR="000430A4" w:rsidRPr="00EF4949" w:rsidRDefault="000430A4" w:rsidP="002F32F0">
            <w:pPr>
              <w:spacing w:after="0" w:line="240" w:lineRule="auto"/>
              <w:rPr>
                <w:rFonts w:ascii="Calibri" w:eastAsia="Times New Roman" w:hAnsi="Calibri" w:cs="Times New Roman"/>
                <w:color w:val="000000"/>
              </w:rPr>
            </w:pPr>
            <w:r w:rsidRPr="00EF4949">
              <w:rPr>
                <w:rFonts w:ascii="Calibri" w:eastAsia="Times New Roman" w:hAnsi="Calibri" w:cs="Times New Roman"/>
                <w:color w:val="000000"/>
              </w:rPr>
              <w:t>Annual change (%)</w:t>
            </w:r>
          </w:p>
        </w:tc>
        <w:tc>
          <w:tcPr>
            <w:tcW w:w="1273" w:type="dxa"/>
            <w:tcBorders>
              <w:top w:val="nil"/>
              <w:left w:val="nil"/>
              <w:bottom w:val="nil"/>
              <w:right w:val="nil"/>
            </w:tcBorders>
            <w:shd w:val="clear" w:color="auto" w:fill="auto"/>
            <w:noWrap/>
            <w:vAlign w:val="center"/>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w:t>
            </w:r>
          </w:p>
        </w:tc>
        <w:tc>
          <w:tcPr>
            <w:tcW w:w="1551" w:type="dxa"/>
            <w:tcBorders>
              <w:top w:val="nil"/>
              <w:left w:val="nil"/>
              <w:bottom w:val="nil"/>
              <w:right w:val="nil"/>
            </w:tcBorders>
            <w:shd w:val="clear" w:color="auto" w:fill="auto"/>
            <w:noWrap/>
            <w:vAlign w:val="center"/>
            <w:hideMark/>
          </w:tcPr>
          <w:p w:rsidR="000430A4" w:rsidRPr="00EF4949"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85</w:t>
            </w:r>
            <w:r w:rsidRPr="00EF4949">
              <w:rPr>
                <w:rFonts w:ascii="Calibri" w:eastAsia="Times New Roman" w:hAnsi="Calibri" w:cs="Times New Roman"/>
                <w:color w:val="000000"/>
              </w:rPr>
              <w:t>%</w:t>
            </w:r>
          </w:p>
        </w:tc>
        <w:tc>
          <w:tcPr>
            <w:tcW w:w="1753" w:type="dxa"/>
            <w:tcBorders>
              <w:top w:val="nil"/>
              <w:left w:val="nil"/>
              <w:bottom w:val="nil"/>
              <w:right w:val="single" w:sz="4" w:space="0" w:color="auto"/>
            </w:tcBorders>
            <w:shd w:val="clear" w:color="auto" w:fill="auto"/>
            <w:noWrap/>
            <w:vAlign w:val="center"/>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-59.5%</w:t>
            </w:r>
          </w:p>
        </w:tc>
      </w:tr>
      <w:tr w:rsidR="000430A4" w:rsidRPr="00EF4949" w:rsidTr="002F32F0">
        <w:trPr>
          <w:trHeight w:val="284"/>
        </w:trPr>
        <w:tc>
          <w:tcPr>
            <w:tcW w:w="4861" w:type="dxa"/>
            <w:tcBorders>
              <w:top w:val="nil"/>
              <w:left w:val="single" w:sz="4" w:space="0" w:color="auto"/>
              <w:bottom w:val="nil"/>
              <w:right w:val="nil"/>
            </w:tcBorders>
            <w:shd w:val="clear" w:color="000000" w:fill="DBE5F1"/>
            <w:hideMark/>
          </w:tcPr>
          <w:p w:rsidR="000430A4" w:rsidRPr="00EF4949" w:rsidRDefault="000430A4" w:rsidP="002F32F0">
            <w:pPr>
              <w:spacing w:after="0" w:line="240" w:lineRule="auto"/>
              <w:rPr>
                <w:rFonts w:ascii="Calibri" w:eastAsia="Times New Roman" w:hAnsi="Calibri" w:cs="Times New Roman"/>
                <w:color w:val="000000"/>
              </w:rPr>
            </w:pPr>
            <w:r w:rsidRPr="00EF4949">
              <w:rPr>
                <w:rFonts w:ascii="Calibri" w:eastAsia="Times New Roman" w:hAnsi="Calibri" w:cs="Times New Roman"/>
                <w:color w:val="000000"/>
              </w:rPr>
              <w:t>Completed requests</w:t>
            </w:r>
          </w:p>
        </w:tc>
        <w:tc>
          <w:tcPr>
            <w:tcW w:w="1273" w:type="dxa"/>
            <w:tcBorders>
              <w:top w:val="nil"/>
              <w:left w:val="nil"/>
              <w:bottom w:val="nil"/>
              <w:right w:val="nil"/>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473</w:t>
            </w:r>
          </w:p>
        </w:tc>
        <w:tc>
          <w:tcPr>
            <w:tcW w:w="1551" w:type="dxa"/>
            <w:tcBorders>
              <w:top w:val="nil"/>
              <w:left w:val="nil"/>
              <w:bottom w:val="nil"/>
              <w:right w:val="nil"/>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916</w:t>
            </w:r>
          </w:p>
        </w:tc>
        <w:tc>
          <w:tcPr>
            <w:tcW w:w="1753" w:type="dxa"/>
            <w:tcBorders>
              <w:top w:val="nil"/>
              <w:left w:val="nil"/>
              <w:bottom w:val="nil"/>
              <w:right w:val="single" w:sz="4" w:space="0" w:color="auto"/>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314</w:t>
            </w:r>
          </w:p>
        </w:tc>
      </w:tr>
      <w:tr w:rsidR="000430A4" w:rsidRPr="00EF4949" w:rsidTr="002F32F0">
        <w:trPr>
          <w:trHeight w:val="299"/>
        </w:trPr>
        <w:tc>
          <w:tcPr>
            <w:tcW w:w="4861" w:type="dxa"/>
            <w:tcBorders>
              <w:top w:val="nil"/>
              <w:left w:val="single" w:sz="4" w:space="0" w:color="auto"/>
              <w:right w:val="nil"/>
            </w:tcBorders>
            <w:shd w:val="clear" w:color="auto" w:fill="auto"/>
            <w:hideMark/>
          </w:tcPr>
          <w:p w:rsidR="000430A4" w:rsidRPr="00EF4949" w:rsidRDefault="000430A4" w:rsidP="002F32F0">
            <w:pPr>
              <w:spacing w:after="0" w:line="240" w:lineRule="auto"/>
              <w:rPr>
                <w:rFonts w:ascii="Calibri" w:eastAsia="Times New Roman" w:hAnsi="Calibri" w:cs="Times New Roman"/>
                <w:color w:val="000000"/>
              </w:rPr>
            </w:pPr>
            <w:r w:rsidRPr="00EF4949">
              <w:rPr>
                <w:rFonts w:ascii="Calibri" w:eastAsia="Times New Roman" w:hAnsi="Calibri" w:cs="Times New Roman"/>
                <w:color w:val="000000"/>
              </w:rPr>
              <w:t>Annual change</w:t>
            </w:r>
          </w:p>
        </w:tc>
        <w:tc>
          <w:tcPr>
            <w:tcW w:w="1273" w:type="dxa"/>
            <w:tcBorders>
              <w:top w:val="nil"/>
              <w:left w:val="nil"/>
              <w:right w:val="nil"/>
            </w:tcBorders>
            <w:shd w:val="clear" w:color="auto" w:fill="auto"/>
            <w:noWrap/>
            <w:vAlign w:val="center"/>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w:t>
            </w:r>
          </w:p>
        </w:tc>
        <w:tc>
          <w:tcPr>
            <w:tcW w:w="1551" w:type="dxa"/>
            <w:tcBorders>
              <w:top w:val="nil"/>
              <w:left w:val="nil"/>
              <w:right w:val="nil"/>
            </w:tcBorders>
            <w:shd w:val="clear" w:color="auto" w:fill="auto"/>
            <w:noWrap/>
            <w:vAlign w:val="center"/>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93.7%</w:t>
            </w:r>
          </w:p>
        </w:tc>
        <w:tc>
          <w:tcPr>
            <w:tcW w:w="1753" w:type="dxa"/>
            <w:tcBorders>
              <w:top w:val="nil"/>
              <w:left w:val="nil"/>
              <w:right w:val="single" w:sz="4" w:space="0" w:color="auto"/>
            </w:tcBorders>
            <w:shd w:val="clear" w:color="auto" w:fill="auto"/>
            <w:noWrap/>
            <w:vAlign w:val="center"/>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-65.7%</w:t>
            </w:r>
          </w:p>
        </w:tc>
      </w:tr>
      <w:tr w:rsidR="000430A4" w:rsidRPr="00EF4949" w:rsidTr="002F32F0">
        <w:trPr>
          <w:trHeight w:val="540"/>
        </w:trPr>
        <w:tc>
          <w:tcPr>
            <w:tcW w:w="4861" w:type="dxa"/>
            <w:tcBorders>
              <w:top w:val="nil"/>
              <w:left w:val="single" w:sz="4" w:space="0" w:color="auto"/>
              <w:right w:val="nil"/>
            </w:tcBorders>
            <w:shd w:val="clear" w:color="000000" w:fill="DBE5F1"/>
            <w:hideMark/>
          </w:tcPr>
          <w:p w:rsidR="000430A4" w:rsidRPr="00EF4949" w:rsidRDefault="000430A4" w:rsidP="002F32F0">
            <w:pPr>
              <w:spacing w:after="0" w:line="240" w:lineRule="auto"/>
              <w:rPr>
                <w:rFonts w:ascii="Calibri" w:eastAsia="Times New Roman" w:hAnsi="Calibri" w:cs="Times New Roman"/>
                <w:color w:val="000000"/>
              </w:rPr>
            </w:pPr>
            <w:r w:rsidRPr="00EF4949">
              <w:rPr>
                <w:rFonts w:ascii="Calibri" w:eastAsia="Times New Roman" w:hAnsi="Calibri" w:cs="Times New Roman"/>
                <w:color w:val="000000"/>
              </w:rPr>
              <w:t>Number of consultations received (from other government institutions)</w:t>
            </w:r>
          </w:p>
        </w:tc>
        <w:tc>
          <w:tcPr>
            <w:tcW w:w="1273" w:type="dxa"/>
            <w:tcBorders>
              <w:top w:val="nil"/>
              <w:left w:val="nil"/>
              <w:right w:val="nil"/>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290</w:t>
            </w:r>
          </w:p>
        </w:tc>
        <w:tc>
          <w:tcPr>
            <w:tcW w:w="1551" w:type="dxa"/>
            <w:tcBorders>
              <w:top w:val="nil"/>
              <w:left w:val="nil"/>
              <w:right w:val="nil"/>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317</w:t>
            </w:r>
          </w:p>
        </w:tc>
        <w:tc>
          <w:tcPr>
            <w:tcW w:w="1753" w:type="dxa"/>
            <w:tcBorders>
              <w:top w:val="nil"/>
              <w:left w:val="nil"/>
              <w:right w:val="single" w:sz="4" w:space="0" w:color="auto"/>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234</w:t>
            </w:r>
          </w:p>
        </w:tc>
      </w:tr>
      <w:tr w:rsidR="000430A4" w:rsidRPr="00EF4949" w:rsidTr="002F32F0">
        <w:trPr>
          <w:trHeight w:val="455"/>
        </w:trPr>
        <w:tc>
          <w:tcPr>
            <w:tcW w:w="4861" w:type="dxa"/>
            <w:tcBorders>
              <w:top w:val="nil"/>
              <w:left w:val="single" w:sz="4" w:space="0" w:color="auto"/>
              <w:right w:val="nil"/>
            </w:tcBorders>
            <w:shd w:val="clear" w:color="auto" w:fill="auto"/>
            <w:hideMark/>
          </w:tcPr>
          <w:p w:rsidR="000430A4" w:rsidRPr="00EF4949" w:rsidRDefault="000430A4" w:rsidP="002F32F0">
            <w:pPr>
              <w:spacing w:after="0" w:line="240" w:lineRule="auto"/>
              <w:rPr>
                <w:rFonts w:ascii="Calibri" w:eastAsia="Times New Roman" w:hAnsi="Calibri" w:cs="Times New Roman"/>
                <w:color w:val="000000"/>
              </w:rPr>
            </w:pPr>
            <w:r w:rsidRPr="00EF4949">
              <w:rPr>
                <w:rFonts w:ascii="Calibri" w:eastAsia="Times New Roman" w:hAnsi="Calibri" w:cs="Times New Roman"/>
                <w:color w:val="000000"/>
              </w:rPr>
              <w:t>Annual change (%)</w:t>
            </w:r>
          </w:p>
        </w:tc>
        <w:tc>
          <w:tcPr>
            <w:tcW w:w="1273" w:type="dxa"/>
            <w:tcBorders>
              <w:top w:val="nil"/>
              <w:left w:val="nil"/>
              <w:right w:val="nil"/>
            </w:tcBorders>
            <w:shd w:val="clear" w:color="auto" w:fill="auto"/>
            <w:noWrap/>
            <w:vAlign w:val="center"/>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w:t>
            </w:r>
          </w:p>
        </w:tc>
        <w:tc>
          <w:tcPr>
            <w:tcW w:w="1551" w:type="dxa"/>
            <w:tcBorders>
              <w:top w:val="nil"/>
              <w:left w:val="nil"/>
              <w:right w:val="nil"/>
            </w:tcBorders>
            <w:shd w:val="clear" w:color="auto" w:fill="auto"/>
            <w:noWrap/>
            <w:vAlign w:val="center"/>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9.3%</w:t>
            </w:r>
          </w:p>
        </w:tc>
        <w:tc>
          <w:tcPr>
            <w:tcW w:w="1753" w:type="dxa"/>
            <w:tcBorders>
              <w:top w:val="nil"/>
              <w:left w:val="nil"/>
              <w:right w:val="single" w:sz="4" w:space="0" w:color="auto"/>
            </w:tcBorders>
            <w:shd w:val="clear" w:color="auto" w:fill="auto"/>
            <w:noWrap/>
            <w:vAlign w:val="center"/>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-26.2%</w:t>
            </w:r>
          </w:p>
        </w:tc>
      </w:tr>
      <w:tr w:rsidR="000430A4" w:rsidRPr="00EF4949" w:rsidTr="002F32F0">
        <w:trPr>
          <w:trHeight w:val="583"/>
        </w:trPr>
        <w:tc>
          <w:tcPr>
            <w:tcW w:w="4861" w:type="dxa"/>
            <w:tcBorders>
              <w:left w:val="single" w:sz="4" w:space="0" w:color="auto"/>
              <w:bottom w:val="nil"/>
              <w:right w:val="nil"/>
            </w:tcBorders>
            <w:shd w:val="clear" w:color="000000" w:fill="DBE5F1"/>
            <w:hideMark/>
          </w:tcPr>
          <w:p w:rsidR="000430A4" w:rsidRPr="00EF4949" w:rsidRDefault="000430A4" w:rsidP="002F32F0">
            <w:pPr>
              <w:spacing w:after="0" w:line="240" w:lineRule="auto"/>
              <w:rPr>
                <w:rFonts w:ascii="Calibri" w:eastAsia="Times New Roman" w:hAnsi="Calibri" w:cs="Times New Roman"/>
                <w:color w:val="000000"/>
              </w:rPr>
            </w:pPr>
            <w:r w:rsidRPr="00EF4949">
              <w:rPr>
                <w:rFonts w:ascii="Calibri" w:eastAsia="Times New Roman" w:hAnsi="Calibri" w:cs="Times New Roman"/>
                <w:color w:val="000000"/>
              </w:rPr>
              <w:t>Average number of pages processed per request completed</w:t>
            </w:r>
          </w:p>
        </w:tc>
        <w:tc>
          <w:tcPr>
            <w:tcW w:w="1273" w:type="dxa"/>
            <w:tcBorders>
              <w:left w:val="nil"/>
              <w:bottom w:val="nil"/>
              <w:right w:val="nil"/>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133</w:t>
            </w:r>
          </w:p>
        </w:tc>
        <w:tc>
          <w:tcPr>
            <w:tcW w:w="1551" w:type="dxa"/>
            <w:tcBorders>
              <w:left w:val="nil"/>
              <w:bottom w:val="nil"/>
              <w:right w:val="nil"/>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173</w:t>
            </w:r>
          </w:p>
        </w:tc>
        <w:tc>
          <w:tcPr>
            <w:tcW w:w="1753" w:type="dxa"/>
            <w:tcBorders>
              <w:left w:val="nil"/>
              <w:bottom w:val="nil"/>
              <w:right w:val="single" w:sz="4" w:space="0" w:color="auto"/>
            </w:tcBorders>
            <w:shd w:val="clear" w:color="000000" w:fill="DBE5F1"/>
            <w:noWrap/>
            <w:vAlign w:val="center"/>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147</w:t>
            </w:r>
          </w:p>
        </w:tc>
      </w:tr>
      <w:tr w:rsidR="000430A4" w:rsidRPr="00EF4949" w:rsidTr="002F32F0">
        <w:trPr>
          <w:trHeight w:val="512"/>
        </w:trPr>
        <w:tc>
          <w:tcPr>
            <w:tcW w:w="4861" w:type="dxa"/>
            <w:tcBorders>
              <w:top w:val="nil"/>
              <w:left w:val="single" w:sz="4" w:space="0" w:color="auto"/>
              <w:bottom w:val="single" w:sz="4" w:space="0" w:color="auto"/>
              <w:right w:val="nil"/>
            </w:tcBorders>
            <w:shd w:val="clear" w:color="auto" w:fill="auto"/>
            <w:hideMark/>
          </w:tcPr>
          <w:p w:rsidR="000430A4" w:rsidRPr="00EF4949" w:rsidRDefault="000430A4" w:rsidP="002F32F0">
            <w:pPr>
              <w:spacing w:after="0" w:line="240" w:lineRule="auto"/>
              <w:rPr>
                <w:rFonts w:ascii="Calibri" w:eastAsia="Times New Roman" w:hAnsi="Calibri" w:cs="Times New Roman"/>
                <w:color w:val="000000"/>
              </w:rPr>
            </w:pPr>
            <w:r w:rsidRPr="00EF4949">
              <w:rPr>
                <w:rFonts w:ascii="Calibri" w:eastAsia="Times New Roman" w:hAnsi="Calibri" w:cs="Times New Roman"/>
                <w:color w:val="000000"/>
              </w:rPr>
              <w:t>% of requests for which more than 1</w:t>
            </w:r>
            <w:r w:rsidR="0005646E">
              <w:rPr>
                <w:rFonts w:ascii="Calibri" w:eastAsia="Times New Roman" w:hAnsi="Calibri" w:cs="Times New Roman"/>
                <w:color w:val="000000"/>
              </w:rPr>
              <w:t>,</w:t>
            </w:r>
            <w:r w:rsidRPr="00EF4949">
              <w:rPr>
                <w:rFonts w:ascii="Calibri" w:eastAsia="Times New Roman" w:hAnsi="Calibri" w:cs="Times New Roman"/>
                <w:color w:val="000000"/>
              </w:rPr>
              <w:t>000 pages were processed</w:t>
            </w:r>
          </w:p>
        </w:tc>
        <w:tc>
          <w:tcPr>
            <w:tcW w:w="1273" w:type="dxa"/>
            <w:tcBorders>
              <w:top w:val="nil"/>
              <w:left w:val="nil"/>
              <w:bottom w:val="single" w:sz="4" w:space="0" w:color="auto"/>
              <w:right w:val="nil"/>
            </w:tcBorders>
            <w:shd w:val="clear" w:color="auto" w:fill="auto"/>
            <w:noWrap/>
            <w:vAlign w:val="center"/>
            <w:hideMark/>
          </w:tcPr>
          <w:p w:rsidR="000430A4" w:rsidRDefault="000430A4" w:rsidP="002F32F0">
            <w:pPr>
              <w:jc w:val="center"/>
              <w:rPr>
                <w:rFonts w:ascii="Calibri" w:hAnsi="Calibri"/>
                <w:color w:val="000000"/>
              </w:rPr>
            </w:pPr>
            <w:r>
              <w:rPr>
                <w:rFonts w:ascii="Calibri" w:hAnsi="Calibri"/>
                <w:color w:val="000000"/>
              </w:rPr>
              <w:t>1.9%</w:t>
            </w:r>
          </w:p>
        </w:tc>
        <w:tc>
          <w:tcPr>
            <w:tcW w:w="1551" w:type="dxa"/>
            <w:tcBorders>
              <w:top w:val="nil"/>
              <w:left w:val="nil"/>
              <w:bottom w:val="single" w:sz="4" w:space="0" w:color="auto"/>
              <w:right w:val="nil"/>
            </w:tcBorders>
            <w:shd w:val="clear" w:color="auto" w:fill="auto"/>
            <w:noWrap/>
            <w:vAlign w:val="center"/>
            <w:hideMark/>
          </w:tcPr>
          <w:p w:rsidR="000430A4" w:rsidRDefault="000430A4" w:rsidP="002F32F0">
            <w:pPr>
              <w:jc w:val="center"/>
              <w:rPr>
                <w:rFonts w:ascii="Calibri" w:hAnsi="Calibri"/>
                <w:color w:val="000000"/>
              </w:rPr>
            </w:pPr>
            <w:r>
              <w:rPr>
                <w:rFonts w:ascii="Calibri" w:hAnsi="Calibri"/>
                <w:color w:val="000000"/>
              </w:rPr>
              <w:t>4.9%</w:t>
            </w:r>
          </w:p>
        </w:tc>
        <w:tc>
          <w:tcPr>
            <w:tcW w:w="1753" w:type="dxa"/>
            <w:tcBorders>
              <w:top w:val="nil"/>
              <w:left w:val="nil"/>
              <w:bottom w:val="single" w:sz="4" w:space="0" w:color="auto"/>
              <w:right w:val="single" w:sz="4" w:space="0" w:color="auto"/>
            </w:tcBorders>
            <w:shd w:val="clear" w:color="auto" w:fill="auto"/>
            <w:noWrap/>
            <w:vAlign w:val="center"/>
            <w:hideMark/>
          </w:tcPr>
          <w:p w:rsidR="000430A4" w:rsidRDefault="000430A4" w:rsidP="002F32F0">
            <w:pPr>
              <w:jc w:val="center"/>
              <w:rPr>
                <w:rFonts w:ascii="Calibri" w:hAnsi="Calibri"/>
                <w:color w:val="000000"/>
              </w:rPr>
            </w:pPr>
            <w:r>
              <w:rPr>
                <w:rFonts w:ascii="Calibri" w:hAnsi="Calibri"/>
                <w:color w:val="000000"/>
              </w:rPr>
              <w:t>3.6%</w:t>
            </w:r>
          </w:p>
        </w:tc>
      </w:tr>
    </w:tbl>
    <w:p w:rsidR="000430A4" w:rsidRPr="00822251" w:rsidRDefault="000430A4" w:rsidP="000430A4">
      <w:pPr>
        <w:pStyle w:val="Heading2"/>
        <w:spacing w:before="240"/>
      </w:pPr>
      <w:r w:rsidRPr="00822251">
        <w:t>Request completion time</w:t>
      </w:r>
    </w:p>
    <w:p w:rsidR="000430A4" w:rsidRPr="004D30BF" w:rsidRDefault="000430A4" w:rsidP="000430A4">
      <w:pPr>
        <w:pStyle w:val="Heading4"/>
      </w:pPr>
      <w:r w:rsidRPr="004D30BF">
        <w:t>Timeliness</w:t>
      </w:r>
    </w:p>
    <w:p w:rsidR="000430A4" w:rsidRDefault="000430A4" w:rsidP="000430A4">
      <w:pPr>
        <w:jc w:val="both"/>
      </w:pPr>
      <w:r w:rsidRPr="00E05217">
        <w:t xml:space="preserve">Figure 1 reveals that </w:t>
      </w:r>
      <w:r>
        <w:t>66.2</w:t>
      </w:r>
      <w:r w:rsidRPr="00E05217">
        <w:t>% of requests were completed</w:t>
      </w:r>
      <w:r>
        <w:t xml:space="preserve"> within</w:t>
      </w:r>
      <w:r w:rsidRPr="00E05217">
        <w:t xml:space="preserve"> 30 </w:t>
      </w:r>
      <w:r>
        <w:t>days or less, which is a decrease of 18.0% from 2013-2014. The proportion of requests completed between 31 and 60 days increased by 2.1% from 2013-2014 and a 9.9% increase is observed in the proportion of requests completed between 61 and 120 days.</w:t>
      </w:r>
    </w:p>
    <w:p w:rsidR="000430A4" w:rsidRDefault="000430A4" w:rsidP="000430A4">
      <w:pPr>
        <w:pStyle w:val="Heading3"/>
        <w:spacing w:after="200"/>
      </w:pPr>
      <w:r w:rsidRPr="00871CAA">
        <w:t>Figure 1: Request Completion T</w:t>
      </w:r>
      <w:r>
        <w:t>ime</w:t>
      </w:r>
      <w:r w:rsidRPr="003E1782">
        <w:rPr>
          <w:noProof/>
          <w:color w:val="FF0000"/>
          <w:sz w:val="24"/>
          <w:szCs w:val="24"/>
        </w:rPr>
        <w:drawing>
          <wp:inline distT="0" distB="0" distL="0" distR="0">
            <wp:extent cx="6098650" cy="4420925"/>
            <wp:effectExtent l="0" t="0" r="16510" b="17780"/>
            <wp:docPr id="8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0430A4" w:rsidRDefault="000430A4" w:rsidP="000430A4">
      <w:r>
        <w:br w:type="page"/>
      </w:r>
    </w:p>
    <w:p w:rsidR="000430A4" w:rsidRDefault="000430A4" w:rsidP="000430A4">
      <w:pPr>
        <w:pStyle w:val="Heading4"/>
      </w:pPr>
      <w:r w:rsidRPr="00D2368F">
        <w:t>Extensions</w:t>
      </w:r>
    </w:p>
    <w:p w:rsidR="000430A4" w:rsidRPr="005B0F51" w:rsidRDefault="000430A4" w:rsidP="000430A4">
      <w:pPr>
        <w:jc w:val="both"/>
      </w:pPr>
      <w:r w:rsidRPr="005B0F51">
        <w:t>CSIS took a total of 101 extensions in 2014-2015 compared to 106 in 2013-2014. The most common reason for taking an extension was consultations (76.2%), followed by interference with operations (23.8%).</w:t>
      </w:r>
    </w:p>
    <w:p w:rsidR="000430A4" w:rsidRPr="00C67C26" w:rsidRDefault="000430A4" w:rsidP="000430A4">
      <w:pPr>
        <w:jc w:val="both"/>
      </w:pPr>
      <w:r w:rsidRPr="00C67C26">
        <w:t xml:space="preserve">Figure 2 shows that </w:t>
      </w:r>
      <w:r>
        <w:t>10.9</w:t>
      </w:r>
      <w:r w:rsidRPr="00C67C26">
        <w:t xml:space="preserve">% </w:t>
      </w:r>
      <w:r>
        <w:t xml:space="preserve">of the extensions taken in 2014-2015 were for 30 days or less, which is 5.2% higher than in 2013-2014. </w:t>
      </w:r>
      <w:r w:rsidRPr="00C67C26">
        <w:t xml:space="preserve">The proportion of </w:t>
      </w:r>
      <w:r>
        <w:t xml:space="preserve">extensions taken </w:t>
      </w:r>
      <w:r w:rsidRPr="00C67C26">
        <w:t xml:space="preserve">between 31 and 60 days in 2014-2015 </w:t>
      </w:r>
      <w:r>
        <w:t>was 12.9%, which is a marginal increase over the previous period. In 2014-2015, we also observed a 5.0% increase in extensions that required more than 365 days compared to the previous period where there were zero.</w:t>
      </w:r>
    </w:p>
    <w:p w:rsidR="000430A4" w:rsidRDefault="000430A4" w:rsidP="000430A4">
      <w:pPr>
        <w:pStyle w:val="Heading3"/>
        <w:spacing w:after="200"/>
        <w:rPr>
          <w:noProof/>
        </w:rPr>
      </w:pPr>
      <w:r w:rsidRPr="00577C09">
        <w:t>Figure 2: Length of E</w:t>
      </w:r>
      <w:r>
        <w:t>xtensions</w:t>
      </w:r>
      <w:r w:rsidRPr="003E1782">
        <w:rPr>
          <w:noProof/>
        </w:rPr>
        <w:drawing>
          <wp:inline distT="0" distB="0" distL="0" distR="0">
            <wp:extent cx="5955527" cy="4007458"/>
            <wp:effectExtent l="0" t="0" r="26670" b="12700"/>
            <wp:docPr id="8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0430A4" w:rsidRPr="00D2368F" w:rsidRDefault="000430A4" w:rsidP="000430A4">
      <w:pPr>
        <w:pStyle w:val="Heading4"/>
      </w:pPr>
      <w:r>
        <w:t>Deemed refusals</w:t>
      </w:r>
    </w:p>
    <w:p w:rsidR="000430A4" w:rsidRPr="005B0F51" w:rsidRDefault="000430A4" w:rsidP="000430A4">
      <w:pPr>
        <w:jc w:val="both"/>
      </w:pPr>
      <w:r w:rsidRPr="005B0F51">
        <w:t>In 2014-2015, there was only one request closed past the statutory deadline</w:t>
      </w:r>
      <w:r w:rsidRPr="005B0F51">
        <w:rPr>
          <w:rStyle w:val="FootnoteReference"/>
        </w:rPr>
        <w:footnoteReference w:id="108"/>
      </w:r>
      <w:r w:rsidRPr="005B0F51">
        <w:t xml:space="preserve"> which was delayed between 31 and 60 days. This rate represents an “A” grade.</w:t>
      </w:r>
      <w:r w:rsidRPr="005B0F51">
        <w:rPr>
          <w:rStyle w:val="FootnoteReference"/>
        </w:rPr>
        <w:footnoteReference w:id="109"/>
      </w:r>
      <w:r w:rsidRPr="005B0F51">
        <w:t xml:space="preserve"> CSIS cited “other” as the reason for not meeting the statutory deadline of this request.</w:t>
      </w:r>
    </w:p>
    <w:p w:rsidR="000430A4" w:rsidRPr="00822251" w:rsidRDefault="000430A4" w:rsidP="000430A4">
      <w:pPr>
        <w:pStyle w:val="Heading2"/>
      </w:pPr>
      <w:r w:rsidRPr="00822251">
        <w:t>Disclosure</w:t>
      </w:r>
    </w:p>
    <w:p w:rsidR="000430A4" w:rsidRPr="00D2368F" w:rsidRDefault="000430A4" w:rsidP="000430A4">
      <w:pPr>
        <w:pStyle w:val="Heading4"/>
      </w:pPr>
      <w:r w:rsidRPr="00D2368F">
        <w:t>Percentage of requests for whic</w:t>
      </w:r>
      <w:r>
        <w:t>h all information was disclosed</w:t>
      </w:r>
    </w:p>
    <w:p w:rsidR="000430A4" w:rsidRDefault="000430A4" w:rsidP="000430A4">
      <w:pPr>
        <w:jc w:val="both"/>
      </w:pPr>
      <w:r w:rsidRPr="00B8442F">
        <w:t>In 2014-2015</w:t>
      </w:r>
      <w:r>
        <w:t xml:space="preserve">, 3 completed requests </w:t>
      </w:r>
      <w:r w:rsidRPr="00B8442F">
        <w:t xml:space="preserve">were </w:t>
      </w:r>
      <w:r>
        <w:t>entirely disclosed while t</w:t>
      </w:r>
      <w:r w:rsidRPr="00B8442F">
        <w:t xml:space="preserve">he </w:t>
      </w:r>
      <w:r>
        <w:t>number of</w:t>
      </w:r>
      <w:r w:rsidRPr="00B8442F">
        <w:t xml:space="preserve"> partially disclosed requests was </w:t>
      </w:r>
      <w:r>
        <w:t>130 in 2014-2015. This represents an increase of 13.2% in 2013-2014 in the number of partially disclosed requests (see Figure 3). Almost 25.5% of requests were “</w:t>
      </w:r>
      <w:r w:rsidRPr="000510D0">
        <w:t>neither confirmed nor denied.</w:t>
      </w:r>
      <w:r>
        <w:t>” This is the highest category of disclosure statistic reported for the 24 institutions.</w:t>
      </w:r>
    </w:p>
    <w:p w:rsidR="000430A4" w:rsidRDefault="000430A4" w:rsidP="000430A4">
      <w:pPr>
        <w:pStyle w:val="Heading3"/>
      </w:pPr>
      <w:r w:rsidRPr="00577C09">
        <w:t xml:space="preserve">Figure </w:t>
      </w:r>
      <w:r>
        <w:t>3</w:t>
      </w:r>
      <w:r w:rsidRPr="00577C09">
        <w:t>: Level of Disclosure</w:t>
      </w:r>
      <w:r w:rsidRPr="003E1782">
        <w:rPr>
          <w:noProof/>
        </w:rPr>
        <w:drawing>
          <wp:inline distT="0" distB="0" distL="0" distR="0">
            <wp:extent cx="5963478" cy="3880237"/>
            <wp:effectExtent l="0" t="0" r="18415" b="25400"/>
            <wp:docPr id="8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0430A4" w:rsidRPr="00D2368F" w:rsidRDefault="000430A4" w:rsidP="000430A4">
      <w:pPr>
        <w:pStyle w:val="Heading4"/>
        <w:spacing w:before="240"/>
      </w:pPr>
      <w:r>
        <w:t>Exemptions</w:t>
      </w:r>
    </w:p>
    <w:p w:rsidR="000430A4" w:rsidRDefault="000430A4" w:rsidP="000430A4">
      <w:pPr>
        <w:jc w:val="both"/>
      </w:pPr>
      <w:r>
        <w:t>The average</w:t>
      </w:r>
      <w:r w:rsidRPr="004E4763">
        <w:t xml:space="preserve"> number of </w:t>
      </w:r>
      <w:r w:rsidRPr="00A103E4">
        <w:t>exemptions used per completed request</w:t>
      </w:r>
      <w:r>
        <w:t xml:space="preserve"> completed</w:t>
      </w:r>
      <w:r w:rsidRPr="00A103E4">
        <w:t xml:space="preserve"> increased from 0.87 in 2013-2014 to 2.62 in 2014-2015 (see Table 2). The most used exemptions in 2014-2015 were section 16 (Law Enforcement and Investigations</w:t>
      </w:r>
      <w:r>
        <w:t>)</w:t>
      </w:r>
      <w:r w:rsidRPr="00A103E4">
        <w:t xml:space="preserve"> </w:t>
      </w:r>
      <w:r>
        <w:t>(29.2</w:t>
      </w:r>
      <w:r w:rsidRPr="00A103E4">
        <w:t xml:space="preserve">%) and section 15 (International Affairs and Defence) </w:t>
      </w:r>
      <w:r>
        <w:t>(26.0</w:t>
      </w:r>
      <w:r w:rsidRPr="00A103E4">
        <w:t>%), followed by section 19 (Personal Information) (</w:t>
      </w:r>
      <w:r>
        <w:t>12.2%).</w:t>
      </w:r>
    </w:p>
    <w:p w:rsidR="000430A4" w:rsidRDefault="000430A4" w:rsidP="000430A4">
      <w:pPr>
        <w:pStyle w:val="Heading3"/>
      </w:pPr>
      <w:r>
        <w:t>Table 2</w:t>
      </w:r>
      <w:r w:rsidRPr="00916BD0">
        <w:t>: Exemptions</w:t>
      </w:r>
    </w:p>
    <w:tbl>
      <w:tblPr>
        <w:tblW w:w="9353" w:type="dxa"/>
        <w:tblInd w:w="98" w:type="dxa"/>
        <w:tblLook w:val="04A0"/>
      </w:tblPr>
      <w:tblGrid>
        <w:gridCol w:w="4859"/>
        <w:gridCol w:w="1250"/>
        <w:gridCol w:w="1523"/>
        <w:gridCol w:w="1721"/>
      </w:tblGrid>
      <w:tr w:rsidR="000430A4" w:rsidRPr="00EF4949" w:rsidTr="002F32F0">
        <w:trPr>
          <w:trHeight w:val="321"/>
        </w:trPr>
        <w:tc>
          <w:tcPr>
            <w:tcW w:w="4859"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EF4949" w:rsidRDefault="000430A4" w:rsidP="002F32F0">
            <w:pPr>
              <w:spacing w:after="0" w:line="240" w:lineRule="auto"/>
              <w:rPr>
                <w:rFonts w:ascii="Calibri" w:eastAsia="Times New Roman" w:hAnsi="Calibri" w:cs="Times New Roman"/>
                <w:color w:val="000000"/>
              </w:rPr>
            </w:pPr>
            <w:r w:rsidRPr="00EF4949">
              <w:rPr>
                <w:rFonts w:ascii="Calibri" w:eastAsia="Times New Roman" w:hAnsi="Calibri" w:cs="Times New Roman"/>
                <w:color w:val="000000"/>
              </w:rPr>
              <w:t xml:space="preserve">Exemptions </w:t>
            </w:r>
          </w:p>
        </w:tc>
        <w:tc>
          <w:tcPr>
            <w:tcW w:w="1250" w:type="dxa"/>
            <w:tcBorders>
              <w:top w:val="single" w:sz="8" w:space="0" w:color="auto"/>
              <w:left w:val="nil"/>
              <w:bottom w:val="single" w:sz="8" w:space="0" w:color="auto"/>
              <w:right w:val="nil"/>
            </w:tcBorders>
            <w:shd w:val="clear" w:color="000000" w:fill="DBE5F1"/>
            <w:noWrap/>
            <w:vAlign w:val="bottom"/>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2012-2013</w:t>
            </w:r>
          </w:p>
        </w:tc>
        <w:tc>
          <w:tcPr>
            <w:tcW w:w="1523" w:type="dxa"/>
            <w:tcBorders>
              <w:top w:val="single" w:sz="8" w:space="0" w:color="auto"/>
              <w:left w:val="nil"/>
              <w:bottom w:val="single" w:sz="8" w:space="0" w:color="auto"/>
              <w:right w:val="nil"/>
            </w:tcBorders>
            <w:shd w:val="clear" w:color="000000" w:fill="DBE5F1"/>
            <w:noWrap/>
            <w:vAlign w:val="bottom"/>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2013-2014</w:t>
            </w:r>
          </w:p>
        </w:tc>
        <w:tc>
          <w:tcPr>
            <w:tcW w:w="1721"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EF4949" w:rsidRDefault="000430A4" w:rsidP="002F32F0">
            <w:pPr>
              <w:spacing w:after="0" w:line="240" w:lineRule="auto"/>
              <w:jc w:val="center"/>
              <w:rPr>
                <w:rFonts w:ascii="Calibri" w:eastAsia="Times New Roman" w:hAnsi="Calibri" w:cs="Times New Roman"/>
                <w:b/>
                <w:bCs/>
                <w:color w:val="000000"/>
              </w:rPr>
            </w:pPr>
            <w:r w:rsidRPr="00EF4949">
              <w:rPr>
                <w:rFonts w:ascii="Calibri" w:eastAsia="Times New Roman" w:hAnsi="Calibri" w:cs="Times New Roman"/>
                <w:b/>
                <w:bCs/>
                <w:color w:val="000000"/>
              </w:rPr>
              <w:t>2014-2015</w:t>
            </w:r>
          </w:p>
        </w:tc>
      </w:tr>
      <w:tr w:rsidR="000430A4" w:rsidRPr="00EF4949" w:rsidTr="002F32F0">
        <w:trPr>
          <w:trHeight w:val="306"/>
        </w:trPr>
        <w:tc>
          <w:tcPr>
            <w:tcW w:w="4859" w:type="dxa"/>
            <w:tcBorders>
              <w:top w:val="nil"/>
              <w:left w:val="single" w:sz="8" w:space="0" w:color="auto"/>
              <w:bottom w:val="nil"/>
              <w:right w:val="nil"/>
            </w:tcBorders>
            <w:shd w:val="clear" w:color="auto" w:fill="auto"/>
            <w:noWrap/>
            <w:vAlign w:val="bottom"/>
            <w:hideMark/>
          </w:tcPr>
          <w:p w:rsidR="000430A4" w:rsidRPr="00EF4949"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EF4949">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EF4949">
              <w:rPr>
                <w:rFonts w:ascii="Calibri" w:eastAsia="Times New Roman" w:hAnsi="Calibri" w:cs="Times New Roman"/>
                <w:color w:val="000000"/>
              </w:rPr>
              <w:t xml:space="preserve"> </w:t>
            </w:r>
          </w:p>
        </w:tc>
        <w:tc>
          <w:tcPr>
            <w:tcW w:w="1250" w:type="dxa"/>
            <w:tcBorders>
              <w:top w:val="nil"/>
              <w:left w:val="nil"/>
              <w:bottom w:val="nil"/>
              <w:right w:val="nil"/>
            </w:tcBorders>
            <w:shd w:val="clear" w:color="auto" w:fill="auto"/>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584</w:t>
            </w:r>
          </w:p>
        </w:tc>
        <w:tc>
          <w:tcPr>
            <w:tcW w:w="1523" w:type="dxa"/>
            <w:tcBorders>
              <w:top w:val="nil"/>
              <w:left w:val="nil"/>
              <w:bottom w:val="nil"/>
              <w:right w:val="nil"/>
            </w:tcBorders>
            <w:shd w:val="clear" w:color="auto" w:fill="auto"/>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796</w:t>
            </w:r>
          </w:p>
        </w:tc>
        <w:tc>
          <w:tcPr>
            <w:tcW w:w="1721" w:type="dxa"/>
            <w:tcBorders>
              <w:top w:val="nil"/>
              <w:left w:val="nil"/>
              <w:bottom w:val="nil"/>
              <w:right w:val="single" w:sz="8" w:space="0" w:color="auto"/>
            </w:tcBorders>
            <w:shd w:val="clear" w:color="auto" w:fill="auto"/>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822</w:t>
            </w:r>
          </w:p>
        </w:tc>
      </w:tr>
      <w:tr w:rsidR="000430A4" w:rsidRPr="00EF4949" w:rsidTr="002F32F0">
        <w:trPr>
          <w:trHeight w:val="306"/>
        </w:trPr>
        <w:tc>
          <w:tcPr>
            <w:tcW w:w="4859" w:type="dxa"/>
            <w:tcBorders>
              <w:top w:val="nil"/>
              <w:left w:val="single" w:sz="8" w:space="0" w:color="auto"/>
              <w:bottom w:val="nil"/>
              <w:right w:val="nil"/>
            </w:tcBorders>
            <w:shd w:val="clear" w:color="auto" w:fill="auto"/>
            <w:noWrap/>
            <w:vAlign w:val="bottom"/>
            <w:hideMark/>
          </w:tcPr>
          <w:p w:rsidR="000430A4" w:rsidRPr="00EF4949" w:rsidRDefault="000430A4" w:rsidP="002F32F0">
            <w:pPr>
              <w:spacing w:after="0" w:line="240" w:lineRule="auto"/>
              <w:rPr>
                <w:rFonts w:ascii="Calibri" w:eastAsia="Times New Roman" w:hAnsi="Calibri" w:cs="Times New Roman"/>
                <w:color w:val="000000"/>
              </w:rPr>
            </w:pPr>
            <w:r w:rsidRPr="00EF4949">
              <w:rPr>
                <w:rFonts w:ascii="Calibri" w:eastAsia="Times New Roman" w:hAnsi="Calibri" w:cs="Times New Roman"/>
                <w:color w:val="000000"/>
              </w:rPr>
              <w:t>Total number of completed requests</w:t>
            </w:r>
          </w:p>
        </w:tc>
        <w:tc>
          <w:tcPr>
            <w:tcW w:w="1250" w:type="dxa"/>
            <w:tcBorders>
              <w:top w:val="nil"/>
              <w:left w:val="nil"/>
              <w:bottom w:val="nil"/>
              <w:right w:val="nil"/>
            </w:tcBorders>
            <w:shd w:val="clear" w:color="auto" w:fill="auto"/>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473</w:t>
            </w:r>
          </w:p>
        </w:tc>
        <w:tc>
          <w:tcPr>
            <w:tcW w:w="1523" w:type="dxa"/>
            <w:tcBorders>
              <w:top w:val="nil"/>
              <w:left w:val="nil"/>
              <w:bottom w:val="nil"/>
              <w:right w:val="nil"/>
            </w:tcBorders>
            <w:shd w:val="clear" w:color="auto" w:fill="auto"/>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916</w:t>
            </w:r>
          </w:p>
        </w:tc>
        <w:tc>
          <w:tcPr>
            <w:tcW w:w="1721" w:type="dxa"/>
            <w:tcBorders>
              <w:top w:val="nil"/>
              <w:left w:val="nil"/>
              <w:bottom w:val="nil"/>
              <w:right w:val="single" w:sz="8" w:space="0" w:color="auto"/>
            </w:tcBorders>
            <w:shd w:val="clear" w:color="auto" w:fill="auto"/>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314</w:t>
            </w:r>
          </w:p>
        </w:tc>
      </w:tr>
      <w:tr w:rsidR="000430A4" w:rsidRPr="00EF4949" w:rsidTr="002F32F0">
        <w:trPr>
          <w:trHeight w:val="321"/>
        </w:trPr>
        <w:tc>
          <w:tcPr>
            <w:tcW w:w="4859" w:type="dxa"/>
            <w:tcBorders>
              <w:top w:val="nil"/>
              <w:left w:val="single" w:sz="8" w:space="0" w:color="auto"/>
              <w:bottom w:val="single" w:sz="8" w:space="0" w:color="auto"/>
              <w:right w:val="nil"/>
            </w:tcBorders>
            <w:shd w:val="clear" w:color="000000" w:fill="DBE5F1"/>
            <w:noWrap/>
            <w:vAlign w:val="bottom"/>
            <w:hideMark/>
          </w:tcPr>
          <w:p w:rsidR="000430A4" w:rsidRPr="00EF4949" w:rsidRDefault="000430A4" w:rsidP="002F32F0">
            <w:pPr>
              <w:spacing w:after="0" w:line="240" w:lineRule="auto"/>
              <w:rPr>
                <w:rFonts w:ascii="Calibri" w:eastAsia="Times New Roman" w:hAnsi="Calibri" w:cs="Times New Roman"/>
                <w:color w:val="000000"/>
              </w:rPr>
            </w:pPr>
            <w:r w:rsidRPr="00EF4949">
              <w:rPr>
                <w:rFonts w:ascii="Calibri" w:eastAsia="Times New Roman" w:hAnsi="Calibri" w:cs="Times New Roman"/>
                <w:color w:val="000000"/>
              </w:rPr>
              <w:t xml:space="preserve">Average number of exemptions per request </w:t>
            </w:r>
          </w:p>
        </w:tc>
        <w:tc>
          <w:tcPr>
            <w:tcW w:w="1250" w:type="dxa"/>
            <w:tcBorders>
              <w:top w:val="nil"/>
              <w:left w:val="nil"/>
              <w:bottom w:val="single" w:sz="8" w:space="0" w:color="auto"/>
              <w:right w:val="nil"/>
            </w:tcBorders>
            <w:shd w:val="clear" w:color="000000" w:fill="DBE5F1"/>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1.2</w:t>
            </w:r>
            <w:r>
              <w:rPr>
                <w:rFonts w:ascii="Calibri" w:eastAsia="Times New Roman" w:hAnsi="Calibri" w:cs="Times New Roman"/>
                <w:color w:val="000000"/>
              </w:rPr>
              <w:t>3</w:t>
            </w:r>
          </w:p>
        </w:tc>
        <w:tc>
          <w:tcPr>
            <w:tcW w:w="1523" w:type="dxa"/>
            <w:tcBorders>
              <w:top w:val="nil"/>
              <w:left w:val="nil"/>
              <w:bottom w:val="single" w:sz="8" w:space="0" w:color="auto"/>
              <w:right w:val="nil"/>
            </w:tcBorders>
            <w:shd w:val="clear" w:color="000000" w:fill="DBE5F1"/>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0.</w:t>
            </w:r>
            <w:r>
              <w:rPr>
                <w:rFonts w:ascii="Calibri" w:eastAsia="Times New Roman" w:hAnsi="Calibri" w:cs="Times New Roman"/>
                <w:color w:val="000000"/>
              </w:rPr>
              <w:t>87</w:t>
            </w:r>
          </w:p>
        </w:tc>
        <w:tc>
          <w:tcPr>
            <w:tcW w:w="1721" w:type="dxa"/>
            <w:tcBorders>
              <w:top w:val="nil"/>
              <w:left w:val="nil"/>
              <w:bottom w:val="single" w:sz="8" w:space="0" w:color="auto"/>
              <w:right w:val="single" w:sz="8" w:space="0" w:color="auto"/>
            </w:tcBorders>
            <w:shd w:val="clear" w:color="000000" w:fill="DBE5F1"/>
            <w:noWrap/>
            <w:vAlign w:val="bottom"/>
            <w:hideMark/>
          </w:tcPr>
          <w:p w:rsidR="000430A4" w:rsidRPr="00EF4949" w:rsidRDefault="000430A4" w:rsidP="002F32F0">
            <w:pPr>
              <w:spacing w:after="0" w:line="240" w:lineRule="auto"/>
              <w:jc w:val="center"/>
              <w:rPr>
                <w:rFonts w:ascii="Calibri" w:eastAsia="Times New Roman" w:hAnsi="Calibri" w:cs="Times New Roman"/>
                <w:color w:val="000000"/>
              </w:rPr>
            </w:pPr>
            <w:r w:rsidRPr="00EF4949">
              <w:rPr>
                <w:rFonts w:ascii="Calibri" w:eastAsia="Times New Roman" w:hAnsi="Calibri" w:cs="Times New Roman"/>
                <w:color w:val="000000"/>
              </w:rPr>
              <w:t>2.6</w:t>
            </w:r>
            <w:r>
              <w:rPr>
                <w:rFonts w:ascii="Calibri" w:eastAsia="Times New Roman" w:hAnsi="Calibri" w:cs="Times New Roman"/>
                <w:color w:val="000000"/>
              </w:rPr>
              <w:t>2</w:t>
            </w:r>
          </w:p>
        </w:tc>
      </w:tr>
    </w:tbl>
    <w:p w:rsidR="000430A4" w:rsidRPr="00822251" w:rsidRDefault="000430A4" w:rsidP="000430A4">
      <w:pPr>
        <w:pStyle w:val="Heading2"/>
        <w:spacing w:before="240"/>
      </w:pPr>
      <w:r w:rsidRPr="00822251">
        <w:t>Complaints at the OIC</w:t>
      </w:r>
    </w:p>
    <w:p w:rsidR="000430A4" w:rsidRDefault="000430A4" w:rsidP="000430A4">
      <w:pPr>
        <w:jc w:val="both"/>
      </w:pPr>
      <w:r>
        <w:t>In 2014-2015, the OIC</w:t>
      </w:r>
      <w:r w:rsidRPr="009A4CEF">
        <w:t xml:space="preserve"> received 27 complaints</w:t>
      </w:r>
      <w:r>
        <w:rPr>
          <w:rStyle w:val="FootnoteReference"/>
        </w:rPr>
        <w:footnoteReference w:id="110"/>
      </w:r>
      <w:r w:rsidRPr="009A4CEF">
        <w:t xml:space="preserve"> against </w:t>
      </w:r>
      <w:r>
        <w:t xml:space="preserve">CSIS. The majority of </w:t>
      </w:r>
      <w:r w:rsidRPr="009A4CEF">
        <w:t>complaints were refusals (24 refusal</w:t>
      </w:r>
      <w:r>
        <w:t>s</w:t>
      </w:r>
      <w:r w:rsidRPr="009A4CEF">
        <w:t xml:space="preserve"> an</w:t>
      </w:r>
      <w:r>
        <w:t>d 3 administrative complaints).</w:t>
      </w:r>
    </w:p>
    <w:p w:rsidR="000430A4" w:rsidRPr="00746871" w:rsidRDefault="000430A4" w:rsidP="000430A4">
      <w:pPr>
        <w:jc w:val="both"/>
      </w:pPr>
      <w:r w:rsidRPr="009A4CEF">
        <w:t>There were 2 well-founded and resolved complaints, 3 not well-</w:t>
      </w:r>
      <w:r>
        <w:t>founded, 2 discontinued and 20 complaints were</w:t>
      </w:r>
      <w:r w:rsidRPr="009A4CEF">
        <w:t xml:space="preserve"> pending</w:t>
      </w:r>
      <w:r>
        <w:t xml:space="preserve"> resolution.</w:t>
      </w:r>
    </w:p>
    <w:p w:rsidR="000430A4" w:rsidRDefault="000430A4">
      <w:r>
        <w:br w:type="page"/>
      </w:r>
    </w:p>
    <w:p w:rsidR="000430A4" w:rsidRPr="001D6652" w:rsidRDefault="000430A4" w:rsidP="000430A4">
      <w:pPr>
        <w:pStyle w:val="Heading1"/>
      </w:pPr>
      <w:r w:rsidRPr="001D6652">
        <w:t xml:space="preserve">Public Safety </w:t>
      </w:r>
      <w:r w:rsidRPr="00980288">
        <w:t>Canada</w:t>
      </w:r>
    </w:p>
    <w:p w:rsidR="000430A4" w:rsidRPr="001D6652" w:rsidRDefault="000430A4" w:rsidP="000430A4">
      <w:pPr>
        <w:pStyle w:val="Heading2"/>
      </w:pPr>
      <w:r w:rsidRPr="001D6652">
        <w:t>Overall performance</w:t>
      </w:r>
      <w:r w:rsidRPr="00FE36AF">
        <w:rPr>
          <w:rStyle w:val="FootnoteReference"/>
        </w:rPr>
        <w:footnoteReference w:id="111"/>
      </w:r>
    </w:p>
    <w:p w:rsidR="000430A4" w:rsidRDefault="000430A4" w:rsidP="000430A4">
      <w:pPr>
        <w:jc w:val="both"/>
      </w:pPr>
      <w:r w:rsidRPr="001433DE">
        <w:t xml:space="preserve">Public Safety Canada (PS) </w:t>
      </w:r>
      <w:r>
        <w:t>completed 85.1% of their requests in inventory in 2014-2015. While the overall performance of PS appears to have decreased significantly,</w:t>
      </w:r>
      <w:r w:rsidRPr="00223337">
        <w:t xml:space="preserve"> it can be explained in part by the statistical changes made by TBS in how they require in</w:t>
      </w:r>
      <w:r>
        <w:t>stitutions to capture the data.</w:t>
      </w:r>
      <w:r w:rsidRPr="00C24EB9">
        <w:rPr>
          <w:rStyle w:val="FootnoteReference"/>
        </w:rPr>
        <w:t xml:space="preserve"> </w:t>
      </w:r>
      <w:r w:rsidRPr="00B37326">
        <w:rPr>
          <w:rStyle w:val="FootnoteReference"/>
        </w:rPr>
        <w:footnoteReference w:id="112"/>
      </w:r>
    </w:p>
    <w:p w:rsidR="000430A4" w:rsidRPr="001D6652" w:rsidRDefault="000430A4" w:rsidP="000430A4">
      <w:pPr>
        <w:pStyle w:val="Heading2"/>
      </w:pPr>
      <w:r w:rsidRPr="001D6652">
        <w:t>Workload</w:t>
      </w:r>
    </w:p>
    <w:p w:rsidR="000430A4" w:rsidRDefault="000430A4" w:rsidP="000430A4">
      <w:pPr>
        <w:jc w:val="both"/>
      </w:pPr>
      <w:r>
        <w:t xml:space="preserve">In 2014-2015, </w:t>
      </w:r>
      <w:r w:rsidRPr="001A7FEC">
        <w:t xml:space="preserve">PS received 310 formal requests under the </w:t>
      </w:r>
      <w:r w:rsidRPr="001A7FEC">
        <w:rPr>
          <w:i/>
        </w:rPr>
        <w:t>Access to</w:t>
      </w:r>
      <w:r w:rsidRPr="001A7FEC">
        <w:t xml:space="preserve"> </w:t>
      </w:r>
      <w:r w:rsidRPr="001A7FEC">
        <w:rPr>
          <w:i/>
        </w:rPr>
        <w:t>Information Act</w:t>
      </w:r>
      <w:r w:rsidRPr="001A7FEC">
        <w:t xml:space="preserve"> (the Act), representing 0.5% of requests </w:t>
      </w:r>
      <w:r>
        <w:t>received across government</w:t>
      </w:r>
      <w:r w:rsidRPr="00065058">
        <w:t>. They also received 118 informal requests, for a combined total of 428. In</w:t>
      </w:r>
      <w:r>
        <w:t xml:space="preserve"> comparison, PS</w:t>
      </w:r>
      <w:r w:rsidRPr="00065058">
        <w:t xml:space="preserve"> received a total of 465</w:t>
      </w:r>
      <w:r>
        <w:t xml:space="preserve"> requests in 2013-2014.</w:t>
      </w:r>
    </w:p>
    <w:p w:rsidR="000430A4" w:rsidRPr="00B37326" w:rsidRDefault="000430A4" w:rsidP="000430A4">
      <w:pPr>
        <w:jc w:val="both"/>
      </w:pPr>
      <w:r w:rsidRPr="0086493D">
        <w:t xml:space="preserve">The majority </w:t>
      </w:r>
      <w:r w:rsidRPr="00065058">
        <w:t>of formal requests</w:t>
      </w:r>
      <w:r>
        <w:t xml:space="preserve"> received in 2014-2015</w:t>
      </w:r>
      <w:r w:rsidRPr="0086493D">
        <w:t xml:space="preserve"> </w:t>
      </w:r>
      <w:r>
        <w:t>were from the media (66.1%), followed by the public (22.3%).</w:t>
      </w:r>
    </w:p>
    <w:p w:rsidR="000430A4" w:rsidRPr="00B37326" w:rsidRDefault="000430A4" w:rsidP="000430A4">
      <w:pPr>
        <w:jc w:val="both"/>
      </w:pPr>
      <w:r w:rsidRPr="00B37326">
        <w:t>PS completed 292 formal requests this reporting period. The overall completion rate</w:t>
      </w:r>
      <w:r w:rsidRPr="00B37326">
        <w:rPr>
          <w:rStyle w:val="FootnoteReference"/>
        </w:rPr>
        <w:footnoteReference w:id="113"/>
      </w:r>
      <w:r w:rsidRPr="00B37326">
        <w:t xml:space="preserve"> was 85.1%, which is the same as the government-wide rate. In 2013-2014, the completion rate for PS was 94.1%. The number of consultations received by PS from other federal government institutions decreased from 255 to 238, representing a decrease of 6.7% compared to 2013-2014.</w:t>
      </w:r>
    </w:p>
    <w:p w:rsidR="000430A4" w:rsidRPr="00B37326" w:rsidRDefault="000430A4" w:rsidP="000430A4">
      <w:pPr>
        <w:jc w:val="both"/>
      </w:pPr>
      <w:r w:rsidRPr="00B37326">
        <w:t xml:space="preserve">The total number of pages processed for formal requests by PS this reporting period was 80,193 pages, representing a decrease compared to the 110,041 pages processed in the previous period. </w:t>
      </w:r>
      <w:r>
        <w:t xml:space="preserve">The average number of pages processed per completed requests </w:t>
      </w:r>
      <w:r w:rsidRPr="00B37326">
        <w:t>also a decrease</w:t>
      </w:r>
      <w:r>
        <w:t>d</w:t>
      </w:r>
      <w:r w:rsidRPr="00B37326">
        <w:t xml:space="preserve"> </w:t>
      </w:r>
      <w:r>
        <w:t xml:space="preserve">from </w:t>
      </w:r>
      <w:r w:rsidRPr="00B37326">
        <w:t xml:space="preserve">348 pages </w:t>
      </w:r>
      <w:r>
        <w:t xml:space="preserve">in </w:t>
      </w:r>
      <w:r w:rsidRPr="00B37326">
        <w:t>2013-2014</w:t>
      </w:r>
      <w:r>
        <w:t xml:space="preserve"> </w:t>
      </w:r>
      <w:r w:rsidRPr="00B37326">
        <w:t>to 341 pages in 2014-2015</w:t>
      </w:r>
      <w:r>
        <w:t>.</w:t>
      </w:r>
    </w:p>
    <w:p w:rsidR="000430A4" w:rsidRDefault="000430A4" w:rsidP="000430A4">
      <w:pPr>
        <w:jc w:val="both"/>
      </w:pPr>
      <w:r w:rsidRPr="00B37326">
        <w:t>In 2014-2015, the information released within a formal request by PS was mostly in electronic format: 148 requests in electronic format compared to 47 in paper format.</w:t>
      </w:r>
    </w:p>
    <w:p w:rsidR="000430A4" w:rsidRPr="00C1530E" w:rsidRDefault="000430A4" w:rsidP="000430A4">
      <w:pPr>
        <w:pStyle w:val="Heading3"/>
      </w:pPr>
      <w:r w:rsidRPr="00C1530E">
        <w:t>Table 1: Workload</w:t>
      </w:r>
    </w:p>
    <w:tbl>
      <w:tblPr>
        <w:tblW w:w="9527" w:type="dxa"/>
        <w:tblInd w:w="98" w:type="dxa"/>
        <w:tblLook w:val="04A0"/>
      </w:tblPr>
      <w:tblGrid>
        <w:gridCol w:w="5102"/>
        <w:gridCol w:w="1475"/>
        <w:gridCol w:w="1475"/>
        <w:gridCol w:w="1475"/>
      </w:tblGrid>
      <w:tr w:rsidR="000430A4" w:rsidRPr="004C1B60" w:rsidTr="002F32F0">
        <w:trPr>
          <w:trHeight w:val="551"/>
        </w:trPr>
        <w:tc>
          <w:tcPr>
            <w:tcW w:w="5102" w:type="dxa"/>
            <w:tcBorders>
              <w:top w:val="single" w:sz="4" w:space="0" w:color="auto"/>
              <w:left w:val="single" w:sz="4" w:space="0" w:color="auto"/>
              <w:bottom w:val="single" w:sz="4" w:space="0" w:color="auto"/>
              <w:right w:val="nil"/>
            </w:tcBorders>
            <w:shd w:val="clear" w:color="auto" w:fill="auto"/>
            <w:noWrap/>
            <w:vAlign w:val="bottom"/>
            <w:hideMark/>
          </w:tcPr>
          <w:p w:rsidR="000430A4" w:rsidRPr="004C1B60" w:rsidRDefault="000430A4" w:rsidP="002F32F0">
            <w:pPr>
              <w:spacing w:after="0" w:line="240" w:lineRule="auto"/>
              <w:rPr>
                <w:rFonts w:ascii="Calibri" w:eastAsia="Times New Roman" w:hAnsi="Calibri" w:cs="Times New Roman"/>
                <w:color w:val="000000"/>
              </w:rPr>
            </w:pPr>
            <w:r w:rsidRPr="004C1B60">
              <w:rPr>
                <w:rFonts w:ascii="Calibri" w:eastAsia="Times New Roman" w:hAnsi="Calibri" w:cs="Times New Roman"/>
                <w:color w:val="000000"/>
              </w:rPr>
              <w:t xml:space="preserve">Measures </w:t>
            </w:r>
          </w:p>
        </w:tc>
        <w:tc>
          <w:tcPr>
            <w:tcW w:w="1475" w:type="dxa"/>
            <w:tcBorders>
              <w:top w:val="single" w:sz="4" w:space="0" w:color="auto"/>
              <w:left w:val="nil"/>
              <w:bottom w:val="single" w:sz="4" w:space="0" w:color="auto"/>
              <w:right w:val="nil"/>
            </w:tcBorders>
            <w:shd w:val="clear" w:color="auto" w:fill="auto"/>
            <w:noWrap/>
            <w:vAlign w:val="bottom"/>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2012-2013</w:t>
            </w:r>
          </w:p>
        </w:tc>
        <w:tc>
          <w:tcPr>
            <w:tcW w:w="1475" w:type="dxa"/>
            <w:tcBorders>
              <w:top w:val="single" w:sz="4" w:space="0" w:color="auto"/>
              <w:left w:val="nil"/>
              <w:bottom w:val="single" w:sz="4" w:space="0" w:color="auto"/>
              <w:right w:val="nil"/>
            </w:tcBorders>
            <w:shd w:val="clear" w:color="auto" w:fill="auto"/>
            <w:noWrap/>
            <w:vAlign w:val="bottom"/>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2013-2014</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2014-2015</w:t>
            </w:r>
          </w:p>
        </w:tc>
      </w:tr>
      <w:tr w:rsidR="000430A4" w:rsidRPr="004C1B60" w:rsidTr="002F32F0">
        <w:trPr>
          <w:trHeight w:val="297"/>
        </w:trPr>
        <w:tc>
          <w:tcPr>
            <w:tcW w:w="5102" w:type="dxa"/>
            <w:tcBorders>
              <w:top w:val="single" w:sz="4" w:space="0" w:color="auto"/>
              <w:left w:val="single" w:sz="4" w:space="0" w:color="auto"/>
              <w:right w:val="nil"/>
            </w:tcBorders>
            <w:shd w:val="clear" w:color="000000" w:fill="DBE5F1"/>
            <w:noWrap/>
            <w:hideMark/>
          </w:tcPr>
          <w:p w:rsidR="000430A4" w:rsidRPr="004C1B60" w:rsidRDefault="000430A4" w:rsidP="002F32F0">
            <w:pPr>
              <w:spacing w:after="0" w:line="240" w:lineRule="auto"/>
              <w:rPr>
                <w:rFonts w:ascii="Calibri" w:eastAsia="Times New Roman" w:hAnsi="Calibri" w:cs="Times New Roman"/>
                <w:color w:val="000000"/>
              </w:rPr>
            </w:pPr>
            <w:r w:rsidRPr="004C1B60">
              <w:rPr>
                <w:rFonts w:ascii="Calibri" w:eastAsia="Times New Roman" w:hAnsi="Calibri" w:cs="Times New Roman"/>
                <w:color w:val="000000"/>
              </w:rPr>
              <w:t xml:space="preserve">Number of requests received </w:t>
            </w:r>
          </w:p>
        </w:tc>
        <w:tc>
          <w:tcPr>
            <w:tcW w:w="1475" w:type="dxa"/>
            <w:tcBorders>
              <w:top w:val="single" w:sz="4" w:space="0" w:color="auto"/>
              <w:left w:val="nil"/>
              <w:right w:val="nil"/>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sidRPr="004C1B60">
              <w:rPr>
                <w:rFonts w:ascii="Calibri" w:eastAsia="Times New Roman" w:hAnsi="Calibri" w:cs="Times New Roman"/>
                <w:b/>
                <w:bCs/>
                <w:color w:val="000000"/>
              </w:rPr>
              <w:t>494</w:t>
            </w:r>
          </w:p>
        </w:tc>
        <w:tc>
          <w:tcPr>
            <w:tcW w:w="1475" w:type="dxa"/>
            <w:tcBorders>
              <w:top w:val="single" w:sz="4" w:space="0" w:color="auto"/>
              <w:left w:val="nil"/>
              <w:right w:val="nil"/>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sidRPr="004C1B60">
              <w:rPr>
                <w:rFonts w:ascii="Calibri" w:eastAsia="Times New Roman" w:hAnsi="Calibri" w:cs="Times New Roman"/>
                <w:b/>
                <w:bCs/>
                <w:color w:val="000000"/>
              </w:rPr>
              <w:t>465</w:t>
            </w:r>
          </w:p>
        </w:tc>
        <w:tc>
          <w:tcPr>
            <w:tcW w:w="1475" w:type="dxa"/>
            <w:tcBorders>
              <w:top w:val="single" w:sz="4" w:space="0" w:color="auto"/>
              <w:left w:val="nil"/>
              <w:right w:val="single" w:sz="4" w:space="0" w:color="auto"/>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310</w:t>
            </w:r>
          </w:p>
        </w:tc>
      </w:tr>
      <w:tr w:rsidR="000430A4" w:rsidRPr="004C1B60" w:rsidTr="002F32F0">
        <w:trPr>
          <w:trHeight w:val="379"/>
        </w:trPr>
        <w:tc>
          <w:tcPr>
            <w:tcW w:w="5102" w:type="dxa"/>
            <w:tcBorders>
              <w:left w:val="single" w:sz="4" w:space="0" w:color="auto"/>
              <w:bottom w:val="nil"/>
              <w:right w:val="nil"/>
            </w:tcBorders>
            <w:shd w:val="clear" w:color="auto" w:fill="auto"/>
            <w:hideMark/>
          </w:tcPr>
          <w:p w:rsidR="000430A4" w:rsidRPr="004C1B60" w:rsidRDefault="000430A4" w:rsidP="002F32F0">
            <w:pPr>
              <w:spacing w:after="0" w:line="240" w:lineRule="auto"/>
              <w:rPr>
                <w:rFonts w:ascii="Calibri" w:eastAsia="Times New Roman" w:hAnsi="Calibri" w:cs="Times New Roman"/>
                <w:color w:val="000000"/>
              </w:rPr>
            </w:pPr>
            <w:r w:rsidRPr="004C1B60">
              <w:rPr>
                <w:rFonts w:ascii="Calibri" w:eastAsia="Times New Roman" w:hAnsi="Calibri" w:cs="Times New Roman"/>
                <w:color w:val="000000"/>
              </w:rPr>
              <w:t>Annual change (%)</w:t>
            </w:r>
          </w:p>
        </w:tc>
        <w:tc>
          <w:tcPr>
            <w:tcW w:w="1475" w:type="dxa"/>
            <w:tcBorders>
              <w:left w:val="nil"/>
              <w:bottom w:val="nil"/>
              <w:right w:val="nil"/>
            </w:tcBorders>
            <w:shd w:val="clear" w:color="auto" w:fill="auto"/>
            <w:noWrap/>
            <w:vAlign w:val="center"/>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w:t>
            </w:r>
          </w:p>
        </w:tc>
        <w:tc>
          <w:tcPr>
            <w:tcW w:w="1475" w:type="dxa"/>
            <w:tcBorders>
              <w:left w:val="nil"/>
              <w:bottom w:val="nil"/>
              <w:right w:val="nil"/>
            </w:tcBorders>
            <w:shd w:val="clear" w:color="auto" w:fill="auto"/>
            <w:noWrap/>
            <w:vAlign w:val="center"/>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-5.9%</w:t>
            </w:r>
          </w:p>
        </w:tc>
        <w:tc>
          <w:tcPr>
            <w:tcW w:w="1475" w:type="dxa"/>
            <w:tcBorders>
              <w:left w:val="nil"/>
              <w:bottom w:val="nil"/>
              <w:right w:val="single" w:sz="4" w:space="0" w:color="auto"/>
            </w:tcBorders>
            <w:shd w:val="clear" w:color="auto" w:fill="auto"/>
            <w:noWrap/>
            <w:vAlign w:val="center"/>
            <w:hideMark/>
          </w:tcPr>
          <w:p w:rsidR="000430A4" w:rsidRPr="004C1B60" w:rsidRDefault="000430A4" w:rsidP="002F32F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-33.3</w:t>
            </w:r>
            <w:r w:rsidRPr="001A043A">
              <w:rPr>
                <w:rFonts w:ascii="Calibri" w:eastAsia="Times New Roman" w:hAnsi="Calibri" w:cs="Times New Roman"/>
                <w:color w:val="000000"/>
              </w:rPr>
              <w:t>%</w:t>
            </w:r>
          </w:p>
        </w:tc>
      </w:tr>
      <w:tr w:rsidR="000430A4" w:rsidRPr="004C1B60" w:rsidTr="002F32F0">
        <w:trPr>
          <w:trHeight w:val="493"/>
        </w:trPr>
        <w:tc>
          <w:tcPr>
            <w:tcW w:w="5102" w:type="dxa"/>
            <w:tcBorders>
              <w:top w:val="nil"/>
              <w:left w:val="single" w:sz="4" w:space="0" w:color="auto"/>
              <w:bottom w:val="nil"/>
              <w:right w:val="nil"/>
            </w:tcBorders>
            <w:shd w:val="clear" w:color="000000" w:fill="DBE5F1"/>
            <w:hideMark/>
          </w:tcPr>
          <w:p w:rsidR="000430A4" w:rsidRPr="004C1B60" w:rsidRDefault="000430A4" w:rsidP="002F32F0">
            <w:pPr>
              <w:spacing w:after="0" w:line="240" w:lineRule="auto"/>
              <w:rPr>
                <w:rFonts w:ascii="Calibri" w:eastAsia="Times New Roman" w:hAnsi="Calibri" w:cs="Times New Roman"/>
                <w:color w:val="000000"/>
              </w:rPr>
            </w:pPr>
            <w:r w:rsidRPr="004C1B60">
              <w:rPr>
                <w:rFonts w:ascii="Calibri" w:eastAsia="Times New Roman" w:hAnsi="Calibri" w:cs="Times New Roman"/>
                <w:color w:val="000000"/>
              </w:rPr>
              <w:t>Completed requests</w:t>
            </w:r>
          </w:p>
        </w:tc>
        <w:tc>
          <w:tcPr>
            <w:tcW w:w="1475" w:type="dxa"/>
            <w:tcBorders>
              <w:top w:val="nil"/>
              <w:left w:val="nil"/>
              <w:bottom w:val="nil"/>
              <w:right w:val="nil"/>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sidRPr="004C1B60">
              <w:rPr>
                <w:rFonts w:ascii="Calibri" w:eastAsia="Times New Roman" w:hAnsi="Calibri" w:cs="Times New Roman"/>
                <w:b/>
                <w:bCs/>
                <w:color w:val="000000"/>
              </w:rPr>
              <w:t>478</w:t>
            </w:r>
          </w:p>
        </w:tc>
        <w:tc>
          <w:tcPr>
            <w:tcW w:w="1475" w:type="dxa"/>
            <w:tcBorders>
              <w:top w:val="nil"/>
              <w:left w:val="nil"/>
              <w:bottom w:val="nil"/>
              <w:right w:val="nil"/>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sidRPr="004C1B60">
              <w:rPr>
                <w:rFonts w:ascii="Calibri" w:eastAsia="Times New Roman" w:hAnsi="Calibri" w:cs="Times New Roman"/>
                <w:b/>
                <w:bCs/>
                <w:color w:val="000000"/>
              </w:rPr>
              <w:t>527</w:t>
            </w:r>
          </w:p>
        </w:tc>
        <w:tc>
          <w:tcPr>
            <w:tcW w:w="1475" w:type="dxa"/>
            <w:tcBorders>
              <w:top w:val="nil"/>
              <w:left w:val="nil"/>
              <w:bottom w:val="nil"/>
              <w:right w:val="single" w:sz="4" w:space="0" w:color="auto"/>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292</w:t>
            </w:r>
          </w:p>
        </w:tc>
      </w:tr>
      <w:tr w:rsidR="000430A4" w:rsidRPr="004C1B60" w:rsidTr="002F32F0">
        <w:trPr>
          <w:trHeight w:val="497"/>
        </w:trPr>
        <w:tc>
          <w:tcPr>
            <w:tcW w:w="5102" w:type="dxa"/>
            <w:tcBorders>
              <w:top w:val="nil"/>
              <w:left w:val="single" w:sz="4" w:space="0" w:color="auto"/>
              <w:right w:val="nil"/>
            </w:tcBorders>
            <w:shd w:val="clear" w:color="auto" w:fill="auto"/>
            <w:hideMark/>
          </w:tcPr>
          <w:p w:rsidR="000430A4" w:rsidRPr="004C1B60" w:rsidRDefault="000430A4" w:rsidP="002F32F0">
            <w:pPr>
              <w:spacing w:after="0" w:line="240" w:lineRule="auto"/>
              <w:rPr>
                <w:rFonts w:ascii="Calibri" w:eastAsia="Times New Roman" w:hAnsi="Calibri" w:cs="Times New Roman"/>
                <w:color w:val="000000"/>
              </w:rPr>
            </w:pPr>
            <w:r w:rsidRPr="004C1B60">
              <w:rPr>
                <w:rFonts w:ascii="Calibri" w:eastAsia="Times New Roman" w:hAnsi="Calibri" w:cs="Times New Roman"/>
                <w:color w:val="000000"/>
              </w:rPr>
              <w:t>Annual change</w:t>
            </w:r>
          </w:p>
        </w:tc>
        <w:tc>
          <w:tcPr>
            <w:tcW w:w="1475" w:type="dxa"/>
            <w:tcBorders>
              <w:top w:val="nil"/>
              <w:left w:val="nil"/>
              <w:right w:val="nil"/>
            </w:tcBorders>
            <w:shd w:val="clear" w:color="auto" w:fill="auto"/>
            <w:noWrap/>
            <w:vAlign w:val="center"/>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w:t>
            </w:r>
          </w:p>
        </w:tc>
        <w:tc>
          <w:tcPr>
            <w:tcW w:w="1475" w:type="dxa"/>
            <w:tcBorders>
              <w:top w:val="nil"/>
              <w:left w:val="nil"/>
              <w:right w:val="nil"/>
            </w:tcBorders>
            <w:shd w:val="clear" w:color="auto" w:fill="auto"/>
            <w:noWrap/>
            <w:vAlign w:val="center"/>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10.3%</w:t>
            </w:r>
          </w:p>
        </w:tc>
        <w:tc>
          <w:tcPr>
            <w:tcW w:w="1475" w:type="dxa"/>
            <w:tcBorders>
              <w:top w:val="nil"/>
              <w:left w:val="nil"/>
              <w:right w:val="single" w:sz="4" w:space="0" w:color="auto"/>
            </w:tcBorders>
            <w:shd w:val="clear" w:color="auto" w:fill="auto"/>
            <w:noWrap/>
            <w:vAlign w:val="center"/>
            <w:hideMark/>
          </w:tcPr>
          <w:p w:rsidR="000430A4" w:rsidRPr="00983CA1" w:rsidRDefault="000430A4" w:rsidP="002F32F0">
            <w:pPr>
              <w:spacing w:after="0" w:line="240" w:lineRule="auto"/>
              <w:jc w:val="center"/>
              <w:rPr>
                <w:rFonts w:ascii="Calibri" w:eastAsia="Times New Roman" w:hAnsi="Calibri" w:cs="Times New Roman"/>
                <w:strike/>
                <w:color w:val="000000"/>
              </w:rPr>
            </w:pPr>
            <w:r>
              <w:rPr>
                <w:rFonts w:ascii="Calibri" w:eastAsia="Times New Roman" w:hAnsi="Calibri" w:cs="Times New Roman"/>
                <w:color w:val="000000"/>
              </w:rPr>
              <w:t>-44.6</w:t>
            </w:r>
            <w:r w:rsidRPr="001A043A">
              <w:rPr>
                <w:rFonts w:ascii="Calibri" w:eastAsia="Times New Roman" w:hAnsi="Calibri" w:cs="Times New Roman"/>
                <w:color w:val="000000"/>
              </w:rPr>
              <w:t>%</w:t>
            </w:r>
          </w:p>
        </w:tc>
      </w:tr>
      <w:tr w:rsidR="000430A4" w:rsidRPr="004C1B60" w:rsidTr="002F32F0">
        <w:trPr>
          <w:trHeight w:val="616"/>
        </w:trPr>
        <w:tc>
          <w:tcPr>
            <w:tcW w:w="5102" w:type="dxa"/>
            <w:tcBorders>
              <w:top w:val="nil"/>
              <w:left w:val="single" w:sz="4" w:space="0" w:color="auto"/>
              <w:right w:val="nil"/>
            </w:tcBorders>
            <w:shd w:val="clear" w:color="000000" w:fill="DBE5F1"/>
            <w:hideMark/>
          </w:tcPr>
          <w:p w:rsidR="000430A4" w:rsidRPr="004C1B60" w:rsidRDefault="000430A4" w:rsidP="002F32F0">
            <w:pPr>
              <w:spacing w:after="0" w:line="240" w:lineRule="auto"/>
              <w:rPr>
                <w:rFonts w:ascii="Calibri" w:eastAsia="Times New Roman" w:hAnsi="Calibri" w:cs="Times New Roman"/>
                <w:color w:val="000000"/>
              </w:rPr>
            </w:pPr>
            <w:r w:rsidRPr="004C1B60">
              <w:rPr>
                <w:rFonts w:ascii="Calibri" w:eastAsia="Times New Roman" w:hAnsi="Calibri" w:cs="Times New Roman"/>
                <w:color w:val="000000"/>
              </w:rPr>
              <w:t>Number of consultations received (from other government institutions)</w:t>
            </w:r>
          </w:p>
        </w:tc>
        <w:tc>
          <w:tcPr>
            <w:tcW w:w="1475" w:type="dxa"/>
            <w:tcBorders>
              <w:top w:val="nil"/>
              <w:left w:val="nil"/>
              <w:right w:val="nil"/>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sidRPr="004C1B60">
              <w:rPr>
                <w:rFonts w:ascii="Calibri" w:eastAsia="Times New Roman" w:hAnsi="Calibri" w:cs="Times New Roman"/>
                <w:b/>
                <w:bCs/>
                <w:color w:val="000000"/>
              </w:rPr>
              <w:t>244</w:t>
            </w:r>
          </w:p>
        </w:tc>
        <w:tc>
          <w:tcPr>
            <w:tcW w:w="1475" w:type="dxa"/>
            <w:tcBorders>
              <w:top w:val="nil"/>
              <w:left w:val="nil"/>
              <w:right w:val="nil"/>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sidRPr="004C1B60">
              <w:rPr>
                <w:rFonts w:ascii="Calibri" w:eastAsia="Times New Roman" w:hAnsi="Calibri" w:cs="Times New Roman"/>
                <w:b/>
                <w:bCs/>
                <w:color w:val="000000"/>
              </w:rPr>
              <w:t>255</w:t>
            </w:r>
          </w:p>
        </w:tc>
        <w:tc>
          <w:tcPr>
            <w:tcW w:w="1475" w:type="dxa"/>
            <w:tcBorders>
              <w:top w:val="nil"/>
              <w:left w:val="nil"/>
              <w:right w:val="single" w:sz="4" w:space="0" w:color="auto"/>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sidRPr="004C1B60">
              <w:rPr>
                <w:rFonts w:ascii="Calibri" w:eastAsia="Times New Roman" w:hAnsi="Calibri" w:cs="Times New Roman"/>
                <w:b/>
                <w:bCs/>
                <w:color w:val="000000"/>
              </w:rPr>
              <w:t>238</w:t>
            </w:r>
          </w:p>
        </w:tc>
      </w:tr>
      <w:tr w:rsidR="000430A4" w:rsidRPr="004C1B60" w:rsidTr="002F32F0">
        <w:trPr>
          <w:trHeight w:val="424"/>
        </w:trPr>
        <w:tc>
          <w:tcPr>
            <w:tcW w:w="5102" w:type="dxa"/>
            <w:tcBorders>
              <w:top w:val="nil"/>
              <w:left w:val="single" w:sz="4" w:space="0" w:color="auto"/>
              <w:right w:val="nil"/>
            </w:tcBorders>
            <w:shd w:val="clear" w:color="auto" w:fill="auto"/>
            <w:hideMark/>
          </w:tcPr>
          <w:p w:rsidR="000430A4" w:rsidRPr="004C1B60" w:rsidRDefault="000430A4" w:rsidP="002F32F0">
            <w:pPr>
              <w:spacing w:after="0" w:line="240" w:lineRule="auto"/>
              <w:rPr>
                <w:rFonts w:ascii="Calibri" w:eastAsia="Times New Roman" w:hAnsi="Calibri" w:cs="Times New Roman"/>
                <w:color w:val="000000"/>
              </w:rPr>
            </w:pPr>
            <w:r w:rsidRPr="004C1B60">
              <w:rPr>
                <w:rFonts w:ascii="Calibri" w:eastAsia="Times New Roman" w:hAnsi="Calibri" w:cs="Times New Roman"/>
                <w:color w:val="000000"/>
              </w:rPr>
              <w:t>Annual change (%)</w:t>
            </w:r>
          </w:p>
        </w:tc>
        <w:tc>
          <w:tcPr>
            <w:tcW w:w="1475" w:type="dxa"/>
            <w:tcBorders>
              <w:top w:val="nil"/>
              <w:left w:val="nil"/>
              <w:right w:val="nil"/>
            </w:tcBorders>
            <w:shd w:val="clear" w:color="auto" w:fill="auto"/>
            <w:noWrap/>
            <w:vAlign w:val="center"/>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w:t>
            </w:r>
          </w:p>
        </w:tc>
        <w:tc>
          <w:tcPr>
            <w:tcW w:w="1475" w:type="dxa"/>
            <w:tcBorders>
              <w:top w:val="nil"/>
              <w:left w:val="nil"/>
              <w:right w:val="nil"/>
            </w:tcBorders>
            <w:shd w:val="clear" w:color="auto" w:fill="auto"/>
            <w:noWrap/>
            <w:vAlign w:val="center"/>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4.5%</w:t>
            </w:r>
          </w:p>
        </w:tc>
        <w:tc>
          <w:tcPr>
            <w:tcW w:w="1475" w:type="dxa"/>
            <w:tcBorders>
              <w:top w:val="nil"/>
              <w:left w:val="nil"/>
              <w:right w:val="single" w:sz="4" w:space="0" w:color="auto"/>
            </w:tcBorders>
            <w:shd w:val="clear" w:color="auto" w:fill="auto"/>
            <w:noWrap/>
            <w:vAlign w:val="center"/>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-6.7%</w:t>
            </w:r>
          </w:p>
        </w:tc>
      </w:tr>
      <w:tr w:rsidR="000430A4" w:rsidRPr="004C1B60" w:rsidTr="002F32F0">
        <w:trPr>
          <w:trHeight w:val="611"/>
        </w:trPr>
        <w:tc>
          <w:tcPr>
            <w:tcW w:w="5102" w:type="dxa"/>
            <w:tcBorders>
              <w:left w:val="single" w:sz="4" w:space="0" w:color="auto"/>
              <w:bottom w:val="nil"/>
              <w:right w:val="nil"/>
            </w:tcBorders>
            <w:shd w:val="clear" w:color="000000" w:fill="DBE5F1"/>
            <w:hideMark/>
          </w:tcPr>
          <w:p w:rsidR="000430A4" w:rsidRPr="004C1B60" w:rsidRDefault="000430A4" w:rsidP="002F32F0">
            <w:pPr>
              <w:spacing w:after="0" w:line="240" w:lineRule="auto"/>
              <w:rPr>
                <w:rFonts w:ascii="Calibri" w:eastAsia="Times New Roman" w:hAnsi="Calibri" w:cs="Times New Roman"/>
                <w:color w:val="000000"/>
              </w:rPr>
            </w:pPr>
            <w:r w:rsidRPr="004C1B60">
              <w:rPr>
                <w:rFonts w:ascii="Calibri" w:eastAsia="Times New Roman" w:hAnsi="Calibri" w:cs="Times New Roman"/>
                <w:color w:val="000000"/>
              </w:rPr>
              <w:t>Average number of pages processed per request completed</w:t>
            </w:r>
          </w:p>
        </w:tc>
        <w:tc>
          <w:tcPr>
            <w:tcW w:w="1475" w:type="dxa"/>
            <w:tcBorders>
              <w:left w:val="nil"/>
              <w:bottom w:val="nil"/>
              <w:right w:val="nil"/>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sidRPr="004C1B60">
              <w:rPr>
                <w:rFonts w:ascii="Calibri" w:eastAsia="Times New Roman" w:hAnsi="Calibri" w:cs="Times New Roman"/>
                <w:b/>
                <w:bCs/>
                <w:color w:val="000000"/>
              </w:rPr>
              <w:t>329</w:t>
            </w:r>
          </w:p>
        </w:tc>
        <w:tc>
          <w:tcPr>
            <w:tcW w:w="1475" w:type="dxa"/>
            <w:tcBorders>
              <w:left w:val="nil"/>
              <w:bottom w:val="nil"/>
              <w:right w:val="nil"/>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sidRPr="004C1B60">
              <w:rPr>
                <w:rFonts w:ascii="Calibri" w:eastAsia="Times New Roman" w:hAnsi="Calibri" w:cs="Times New Roman"/>
                <w:b/>
                <w:bCs/>
                <w:color w:val="000000"/>
              </w:rPr>
              <w:t>348</w:t>
            </w:r>
          </w:p>
        </w:tc>
        <w:tc>
          <w:tcPr>
            <w:tcW w:w="1475" w:type="dxa"/>
            <w:tcBorders>
              <w:left w:val="nil"/>
              <w:bottom w:val="nil"/>
              <w:right w:val="single" w:sz="4" w:space="0" w:color="auto"/>
            </w:tcBorders>
            <w:shd w:val="clear" w:color="000000" w:fill="DBE5F1"/>
            <w:noWrap/>
            <w:vAlign w:val="center"/>
            <w:hideMark/>
          </w:tcPr>
          <w:p w:rsidR="000430A4" w:rsidRPr="004C1B60" w:rsidRDefault="000430A4" w:rsidP="002F32F0">
            <w:pPr>
              <w:spacing w:after="0" w:line="240" w:lineRule="auto"/>
              <w:jc w:val="center"/>
              <w:rPr>
                <w:rFonts w:ascii="Calibri" w:eastAsia="Times New Roman" w:hAnsi="Calibri" w:cs="Times New Roman"/>
                <w:b/>
                <w:bCs/>
                <w:color w:val="000000"/>
              </w:rPr>
            </w:pPr>
            <w:r w:rsidRPr="004C1B60">
              <w:rPr>
                <w:rFonts w:ascii="Calibri" w:eastAsia="Times New Roman" w:hAnsi="Calibri" w:cs="Times New Roman"/>
                <w:b/>
                <w:bCs/>
                <w:color w:val="000000"/>
              </w:rPr>
              <w:t>341</w:t>
            </w:r>
          </w:p>
        </w:tc>
      </w:tr>
      <w:tr w:rsidR="000430A4" w:rsidRPr="004C1B60" w:rsidTr="002F32F0">
        <w:trPr>
          <w:trHeight w:val="611"/>
        </w:trPr>
        <w:tc>
          <w:tcPr>
            <w:tcW w:w="5102" w:type="dxa"/>
            <w:tcBorders>
              <w:top w:val="nil"/>
              <w:left w:val="single" w:sz="4" w:space="0" w:color="auto"/>
              <w:bottom w:val="single" w:sz="4" w:space="0" w:color="auto"/>
              <w:right w:val="nil"/>
            </w:tcBorders>
            <w:shd w:val="clear" w:color="auto" w:fill="auto"/>
            <w:hideMark/>
          </w:tcPr>
          <w:p w:rsidR="000430A4" w:rsidRPr="004C1B60" w:rsidRDefault="000430A4" w:rsidP="002F32F0">
            <w:pPr>
              <w:spacing w:after="0" w:line="240" w:lineRule="auto"/>
              <w:rPr>
                <w:rFonts w:ascii="Calibri" w:eastAsia="Times New Roman" w:hAnsi="Calibri" w:cs="Times New Roman"/>
                <w:color w:val="000000"/>
              </w:rPr>
            </w:pPr>
            <w:r w:rsidRPr="004C1B60">
              <w:rPr>
                <w:rFonts w:ascii="Calibri" w:eastAsia="Times New Roman" w:hAnsi="Calibri" w:cs="Times New Roman"/>
                <w:color w:val="000000"/>
              </w:rPr>
              <w:t>% of requests for which more than 1</w:t>
            </w:r>
            <w:r w:rsidR="0005646E">
              <w:rPr>
                <w:rFonts w:ascii="Calibri" w:eastAsia="Times New Roman" w:hAnsi="Calibri" w:cs="Times New Roman"/>
                <w:color w:val="000000"/>
              </w:rPr>
              <w:t>,</w:t>
            </w:r>
            <w:r w:rsidRPr="004C1B60">
              <w:rPr>
                <w:rFonts w:ascii="Calibri" w:eastAsia="Times New Roman" w:hAnsi="Calibri" w:cs="Times New Roman"/>
                <w:color w:val="000000"/>
              </w:rPr>
              <w:t>000 pages were processed</w:t>
            </w:r>
          </w:p>
        </w:tc>
        <w:tc>
          <w:tcPr>
            <w:tcW w:w="1475" w:type="dxa"/>
            <w:tcBorders>
              <w:top w:val="nil"/>
              <w:left w:val="nil"/>
              <w:bottom w:val="single" w:sz="4" w:space="0" w:color="auto"/>
              <w:right w:val="nil"/>
            </w:tcBorders>
            <w:shd w:val="clear" w:color="auto" w:fill="auto"/>
            <w:noWrap/>
            <w:vAlign w:val="center"/>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9.9%</w:t>
            </w:r>
          </w:p>
        </w:tc>
        <w:tc>
          <w:tcPr>
            <w:tcW w:w="1475" w:type="dxa"/>
            <w:tcBorders>
              <w:top w:val="nil"/>
              <w:left w:val="nil"/>
              <w:bottom w:val="single" w:sz="4" w:space="0" w:color="auto"/>
              <w:right w:val="nil"/>
            </w:tcBorders>
            <w:shd w:val="clear" w:color="auto" w:fill="auto"/>
            <w:noWrap/>
            <w:vAlign w:val="center"/>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10.8%</w:t>
            </w:r>
          </w:p>
        </w:tc>
        <w:tc>
          <w:tcPr>
            <w:tcW w:w="1475" w:type="dxa"/>
            <w:tcBorders>
              <w:top w:val="nil"/>
              <w:left w:val="nil"/>
              <w:bottom w:val="single" w:sz="4" w:space="0" w:color="auto"/>
              <w:right w:val="single" w:sz="4" w:space="0" w:color="auto"/>
            </w:tcBorders>
            <w:shd w:val="clear" w:color="auto" w:fill="auto"/>
            <w:noWrap/>
            <w:vAlign w:val="center"/>
            <w:hideMark/>
          </w:tcPr>
          <w:p w:rsidR="000430A4" w:rsidRPr="004C1B60" w:rsidRDefault="000430A4" w:rsidP="002F32F0">
            <w:pPr>
              <w:spacing w:after="0" w:line="240" w:lineRule="auto"/>
              <w:jc w:val="center"/>
              <w:rPr>
                <w:rFonts w:ascii="Calibri" w:eastAsia="Times New Roman" w:hAnsi="Calibri" w:cs="Times New Roman"/>
                <w:color w:val="000000"/>
              </w:rPr>
            </w:pPr>
            <w:r w:rsidRPr="004C1B60">
              <w:rPr>
                <w:rFonts w:ascii="Calibri" w:eastAsia="Times New Roman" w:hAnsi="Calibri" w:cs="Times New Roman"/>
                <w:color w:val="000000"/>
              </w:rPr>
              <w:t>6.8%</w:t>
            </w:r>
          </w:p>
        </w:tc>
      </w:tr>
    </w:tbl>
    <w:p w:rsidR="000430A4" w:rsidRPr="00201020" w:rsidRDefault="000430A4" w:rsidP="000430A4">
      <w:pPr>
        <w:pStyle w:val="Heading2"/>
        <w:spacing w:before="240"/>
      </w:pPr>
      <w:r w:rsidRPr="00201020">
        <w:t>Requests completion time</w:t>
      </w:r>
    </w:p>
    <w:p w:rsidR="000430A4" w:rsidRPr="00201020" w:rsidRDefault="000430A4" w:rsidP="000430A4">
      <w:pPr>
        <w:pStyle w:val="Heading4"/>
      </w:pPr>
      <w:r w:rsidRPr="00201020">
        <w:t>Timeliness</w:t>
      </w:r>
    </w:p>
    <w:p w:rsidR="000430A4" w:rsidRDefault="000430A4" w:rsidP="000430A4">
      <w:pPr>
        <w:jc w:val="both"/>
      </w:pPr>
      <w:r>
        <w:t>Figure 1 shows that 63.4%</w:t>
      </w:r>
      <w:r w:rsidRPr="009F24CF">
        <w:t xml:space="preserve"> of requests were completed within 30 days or less, </w:t>
      </w:r>
      <w:r w:rsidRPr="00065058">
        <w:t xml:space="preserve">which is </w:t>
      </w:r>
      <w:r>
        <w:t>5.1</w:t>
      </w:r>
      <w:r w:rsidRPr="00065058">
        <w:t>%</w:t>
      </w:r>
      <w:r>
        <w:t xml:space="preserve"> lower</w:t>
      </w:r>
      <w:r w:rsidRPr="009F24CF">
        <w:t xml:space="preserve"> than the results observed in 2013-2014</w:t>
      </w:r>
      <w:r>
        <w:t xml:space="preserve"> (68.5%).</w:t>
      </w:r>
      <w:r>
        <w:rPr>
          <w:rStyle w:val="FootnoteReference"/>
        </w:rPr>
        <w:footnoteReference w:id="114"/>
      </w:r>
      <w:r>
        <w:t xml:space="preserve"> We observe an increase in the proportion of requests completed between 31 and 120 days.</w:t>
      </w:r>
    </w:p>
    <w:p w:rsidR="000430A4" w:rsidRPr="00C1530E" w:rsidRDefault="000430A4" w:rsidP="000430A4">
      <w:pPr>
        <w:pStyle w:val="Heading3"/>
      </w:pPr>
      <w:r w:rsidRPr="00C1530E">
        <w:rPr>
          <w:rStyle w:val="Heading3Char"/>
        </w:rPr>
        <w:t>Figure 1: Request Completion Time</w:t>
      </w:r>
    </w:p>
    <w:p w:rsidR="000430A4" w:rsidRPr="00223337" w:rsidRDefault="000430A4" w:rsidP="000430A4">
      <w:pPr>
        <w:spacing w:line="240" w:lineRule="auto"/>
        <w:rPr>
          <w:b/>
          <w:sz w:val="24"/>
          <w:szCs w:val="24"/>
        </w:rPr>
      </w:pPr>
      <w:r w:rsidRPr="006A25CF">
        <w:rPr>
          <w:noProof/>
          <w:color w:val="FF0000"/>
          <w:sz w:val="24"/>
          <w:szCs w:val="24"/>
        </w:rPr>
        <w:drawing>
          <wp:inline distT="0" distB="0" distL="0" distR="0">
            <wp:extent cx="5947576" cy="4023360"/>
            <wp:effectExtent l="0" t="0" r="0" b="0"/>
            <wp:docPr id="8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0430A4" w:rsidRPr="00D2368F" w:rsidRDefault="000430A4" w:rsidP="000430A4">
      <w:pPr>
        <w:pStyle w:val="Heading4"/>
      </w:pPr>
      <w:r w:rsidRPr="00D2368F">
        <w:t>Extensions</w:t>
      </w:r>
    </w:p>
    <w:p w:rsidR="000430A4" w:rsidRPr="005B0DCF" w:rsidRDefault="000430A4" w:rsidP="000430A4">
      <w:pPr>
        <w:jc w:val="both"/>
      </w:pPr>
      <w:r w:rsidRPr="005B0DCF">
        <w:t>PS took a total of 143 extensions in 2014-2015 compared to 224 in 2013-2014. The most common reason for taking an extension was consultations (67.8%), followed by interference with operations (28.0%). 6 extensions were taken for third-party notice.</w:t>
      </w:r>
    </w:p>
    <w:p w:rsidR="000430A4" w:rsidRPr="005B0DCF" w:rsidRDefault="000430A4" w:rsidP="000430A4">
      <w:pPr>
        <w:jc w:val="both"/>
      </w:pPr>
      <w:r w:rsidRPr="005B0DCF">
        <w:t>Figure 2 shows that 18.9% of extensions were taken for 30 days of less, which represents a 2.4% increase from 2013-2014. Figure 2 shows that the proportion of extensions taken between 31 and 60 days in 2014-2015 increased by 10%, from 29.9% in 2013-2014 to 39.9% in 2014-2015.</w:t>
      </w:r>
    </w:p>
    <w:p w:rsidR="000430A4" w:rsidRDefault="000430A4" w:rsidP="000430A4">
      <w:r w:rsidRPr="00201020">
        <w:rPr>
          <w:rStyle w:val="Heading3Char"/>
        </w:rPr>
        <w:t>Figure 2: Length of Extensions</w:t>
      </w:r>
      <w:r w:rsidRPr="006A25CF">
        <w:rPr>
          <w:noProof/>
        </w:rPr>
        <w:drawing>
          <wp:inline distT="0" distB="0" distL="0" distR="0">
            <wp:extent cx="5947576" cy="3912042"/>
            <wp:effectExtent l="0" t="0" r="0" b="0"/>
            <wp:docPr id="9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0430A4" w:rsidRPr="00D2368F" w:rsidRDefault="000430A4" w:rsidP="000430A4">
      <w:pPr>
        <w:pStyle w:val="Heading4"/>
      </w:pPr>
      <w:r>
        <w:t>Deemed refusals</w:t>
      </w:r>
    </w:p>
    <w:p w:rsidR="000430A4" w:rsidRDefault="000430A4" w:rsidP="000430A4">
      <w:pPr>
        <w:jc w:val="both"/>
      </w:pPr>
      <w:r w:rsidRPr="008779B2">
        <w:t>In 2014-2015, the number of requests closed past the statutory deadline</w:t>
      </w:r>
      <w:r>
        <w:rPr>
          <w:rStyle w:val="FootnoteReference"/>
        </w:rPr>
        <w:footnoteReference w:id="115"/>
      </w:r>
      <w:r w:rsidRPr="008779B2">
        <w:t xml:space="preserve"> </w:t>
      </w:r>
      <w:r>
        <w:t>was 4</w:t>
      </w:r>
      <w:r w:rsidRPr="008779B2">
        <w:t>, which accounts for 1</w:t>
      </w:r>
      <w:r>
        <w:t>.3% of completed requests. This rate represents an “A</w:t>
      </w:r>
      <w:r w:rsidRPr="008779B2">
        <w:t>” grade.</w:t>
      </w:r>
      <w:r w:rsidRPr="008779B2">
        <w:rPr>
          <w:rStyle w:val="FootnoteReference"/>
        </w:rPr>
        <w:footnoteReference w:id="116"/>
      </w:r>
      <w:r w:rsidRPr="008779B2">
        <w:t xml:space="preserve"> </w:t>
      </w:r>
      <w:r>
        <w:t>Compared to the last period, the number of requests in deemed refusal decreased (from 22 to 4).</w:t>
      </w:r>
    </w:p>
    <w:p w:rsidR="000430A4" w:rsidRPr="00201020" w:rsidRDefault="000430A4" w:rsidP="000430A4">
      <w:pPr>
        <w:pStyle w:val="Heading2"/>
      </w:pPr>
      <w:r w:rsidRPr="00201020">
        <w:t>Disclosure</w:t>
      </w:r>
    </w:p>
    <w:p w:rsidR="000430A4" w:rsidRPr="00D2368F" w:rsidRDefault="000430A4" w:rsidP="000430A4">
      <w:pPr>
        <w:pStyle w:val="Heading4"/>
      </w:pPr>
      <w:r w:rsidRPr="00D2368F">
        <w:t>Perce</w:t>
      </w:r>
      <w:r>
        <w:t>ntage of requests for which information was disclosed</w:t>
      </w:r>
    </w:p>
    <w:p w:rsidR="000430A4" w:rsidRPr="00DD19CA" w:rsidRDefault="000430A4" w:rsidP="000430A4">
      <w:pPr>
        <w:jc w:val="both"/>
      </w:pPr>
      <w:r w:rsidRPr="00DD19CA">
        <w:t xml:space="preserve">In 2014-2015, </w:t>
      </w:r>
      <w:r>
        <w:t>10.6</w:t>
      </w:r>
      <w:r w:rsidRPr="00DD19CA">
        <w:t xml:space="preserve">% of completed requests were entirely disclosed, which is </w:t>
      </w:r>
      <w:r>
        <w:t>PS’s</w:t>
      </w:r>
      <w:r w:rsidRPr="00DD19CA">
        <w:t xml:space="preserve"> highest disclosu</w:t>
      </w:r>
      <w:r>
        <w:t>re rate since 2012 (see Figure 3). Figure 3</w:t>
      </w:r>
      <w:r w:rsidRPr="00DD19CA">
        <w:t xml:space="preserve"> also shows that the rate for partially disclosed requests was </w:t>
      </w:r>
      <w:r>
        <w:t>56.2% in 2014-2015, which is an increase of 9.7</w:t>
      </w:r>
      <w:r w:rsidRPr="00DD19CA">
        <w:t xml:space="preserve">% </w:t>
      </w:r>
      <w:r>
        <w:t>compared to 2013-2014</w:t>
      </w:r>
      <w:r w:rsidRPr="00DD19CA">
        <w:t>.</w:t>
      </w:r>
    </w:p>
    <w:p w:rsidR="000430A4" w:rsidRPr="00912DFE" w:rsidRDefault="000430A4" w:rsidP="000430A4">
      <w:pPr>
        <w:spacing w:line="240" w:lineRule="auto"/>
        <w:rPr>
          <w:sz w:val="24"/>
          <w:szCs w:val="24"/>
        </w:rPr>
      </w:pPr>
      <w:r w:rsidRPr="00201020">
        <w:rPr>
          <w:rStyle w:val="Heading3Char"/>
        </w:rPr>
        <w:t>Figure 3: Level of Disclosure</w:t>
      </w:r>
      <w:r w:rsidRPr="006A25CF">
        <w:rPr>
          <w:noProof/>
        </w:rPr>
        <w:drawing>
          <wp:inline distT="0" distB="0" distL="0" distR="0">
            <wp:extent cx="5891917" cy="3768918"/>
            <wp:effectExtent l="0" t="0" r="0" b="3175"/>
            <wp:docPr id="9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0430A4" w:rsidRPr="00201020" w:rsidRDefault="000430A4" w:rsidP="000430A4">
      <w:pPr>
        <w:pStyle w:val="Heading4"/>
      </w:pPr>
      <w:r w:rsidRPr="00201020">
        <w:t>Exemptions</w:t>
      </w:r>
    </w:p>
    <w:p w:rsidR="000430A4" w:rsidRPr="00454058" w:rsidRDefault="000430A4" w:rsidP="000430A4">
      <w:pPr>
        <w:jc w:val="both"/>
      </w:pPr>
      <w:r>
        <w:t>In 2014-2015, PS’s use of exemptions decreased from 1,295 in 2013-2014 to 810. Still, t</w:t>
      </w:r>
      <w:r w:rsidRPr="0036167D">
        <w:t xml:space="preserve">he </w:t>
      </w:r>
      <w:r>
        <w:t xml:space="preserve">average </w:t>
      </w:r>
      <w:r w:rsidRPr="0036167D">
        <w:t>number of exemption</w:t>
      </w:r>
      <w:r>
        <w:t>s</w:t>
      </w:r>
      <w:r w:rsidRPr="0036167D">
        <w:t xml:space="preserve"> used per completed requests </w:t>
      </w:r>
      <w:r>
        <w:t>increased</w:t>
      </w:r>
      <w:r w:rsidRPr="0036167D">
        <w:t xml:space="preserve"> </w:t>
      </w:r>
      <w:r>
        <w:t xml:space="preserve">slightly from 2.46 in 2013-2014 to 2.77 </w:t>
      </w:r>
      <w:r w:rsidRPr="0036167D">
        <w:t>in 2014-2015</w:t>
      </w:r>
      <w:r>
        <w:t xml:space="preserve"> (s</w:t>
      </w:r>
      <w:r w:rsidRPr="0036167D">
        <w:t>ee Table 2)</w:t>
      </w:r>
      <w:r>
        <w:t>.</w:t>
      </w:r>
    </w:p>
    <w:p w:rsidR="000430A4" w:rsidRDefault="000430A4" w:rsidP="000430A4">
      <w:pPr>
        <w:jc w:val="both"/>
      </w:pPr>
      <w:r w:rsidRPr="00454058">
        <w:t>The most frequent used exemptions were section 16 (Law Enforcement and Investigations)</w:t>
      </w:r>
      <w:r>
        <w:t xml:space="preserve"> (19.5%), </w:t>
      </w:r>
      <w:r w:rsidRPr="00454058">
        <w:t>section 21 (Operations of Government) (19</w:t>
      </w:r>
      <w:r>
        <w:t>.4</w:t>
      </w:r>
      <w:r w:rsidRPr="00454058">
        <w:t>%)</w:t>
      </w:r>
      <w:r>
        <w:t xml:space="preserve"> and section 19 (Personal Information) (15.9%).</w:t>
      </w:r>
    </w:p>
    <w:p w:rsidR="000430A4" w:rsidRPr="00201020" w:rsidRDefault="000430A4" w:rsidP="000430A4">
      <w:pPr>
        <w:pStyle w:val="Heading3"/>
      </w:pPr>
      <w:r w:rsidRPr="00201020">
        <w:t>Table 2: Exemptions</w:t>
      </w:r>
    </w:p>
    <w:tbl>
      <w:tblPr>
        <w:tblW w:w="9541" w:type="dxa"/>
        <w:tblInd w:w="98" w:type="dxa"/>
        <w:tblLook w:val="04A0"/>
      </w:tblPr>
      <w:tblGrid>
        <w:gridCol w:w="5479"/>
        <w:gridCol w:w="1354"/>
        <w:gridCol w:w="1354"/>
        <w:gridCol w:w="1354"/>
      </w:tblGrid>
      <w:tr w:rsidR="000430A4" w:rsidRPr="0075485C" w:rsidTr="002F32F0">
        <w:trPr>
          <w:trHeight w:val="362"/>
        </w:trPr>
        <w:tc>
          <w:tcPr>
            <w:tcW w:w="5479" w:type="dxa"/>
            <w:tcBorders>
              <w:top w:val="single" w:sz="8" w:space="0" w:color="auto"/>
              <w:left w:val="single" w:sz="8" w:space="0" w:color="auto"/>
              <w:bottom w:val="single" w:sz="8" w:space="0" w:color="auto"/>
              <w:right w:val="nil"/>
            </w:tcBorders>
            <w:shd w:val="clear" w:color="000000" w:fill="DBE5F1"/>
            <w:noWrap/>
            <w:vAlign w:val="bottom"/>
            <w:hideMark/>
          </w:tcPr>
          <w:p w:rsidR="000430A4" w:rsidRPr="0075485C" w:rsidRDefault="000430A4" w:rsidP="002F32F0">
            <w:pPr>
              <w:spacing w:after="0" w:line="240" w:lineRule="auto"/>
              <w:rPr>
                <w:rFonts w:ascii="Calibri" w:eastAsia="Times New Roman" w:hAnsi="Calibri" w:cs="Times New Roman"/>
                <w:color w:val="000000"/>
              </w:rPr>
            </w:pPr>
            <w:r w:rsidRPr="0075485C">
              <w:rPr>
                <w:rFonts w:ascii="Calibri" w:eastAsia="Times New Roman" w:hAnsi="Calibri" w:cs="Times New Roman"/>
                <w:color w:val="000000"/>
              </w:rPr>
              <w:t xml:space="preserve">Exemptions </w:t>
            </w:r>
          </w:p>
        </w:tc>
        <w:tc>
          <w:tcPr>
            <w:tcW w:w="1354" w:type="dxa"/>
            <w:tcBorders>
              <w:top w:val="single" w:sz="8" w:space="0" w:color="auto"/>
              <w:left w:val="nil"/>
              <w:bottom w:val="single" w:sz="8" w:space="0" w:color="auto"/>
              <w:right w:val="nil"/>
            </w:tcBorders>
            <w:shd w:val="clear" w:color="000000" w:fill="DBE5F1"/>
            <w:noWrap/>
            <w:vAlign w:val="bottom"/>
            <w:hideMark/>
          </w:tcPr>
          <w:p w:rsidR="000430A4" w:rsidRPr="0075485C" w:rsidRDefault="000430A4" w:rsidP="002F32F0">
            <w:pPr>
              <w:spacing w:after="0" w:line="240" w:lineRule="auto"/>
              <w:jc w:val="center"/>
              <w:rPr>
                <w:rFonts w:ascii="Calibri" w:eastAsia="Times New Roman" w:hAnsi="Calibri" w:cs="Times New Roman"/>
                <w:b/>
                <w:bCs/>
                <w:color w:val="000000"/>
              </w:rPr>
            </w:pPr>
            <w:r w:rsidRPr="0075485C">
              <w:rPr>
                <w:rFonts w:ascii="Calibri" w:eastAsia="Times New Roman" w:hAnsi="Calibri" w:cs="Times New Roman"/>
                <w:b/>
                <w:bCs/>
                <w:color w:val="000000"/>
              </w:rPr>
              <w:t>2012-2013</w:t>
            </w:r>
          </w:p>
        </w:tc>
        <w:tc>
          <w:tcPr>
            <w:tcW w:w="1354" w:type="dxa"/>
            <w:tcBorders>
              <w:top w:val="single" w:sz="8" w:space="0" w:color="auto"/>
              <w:left w:val="nil"/>
              <w:bottom w:val="single" w:sz="8" w:space="0" w:color="auto"/>
              <w:right w:val="nil"/>
            </w:tcBorders>
            <w:shd w:val="clear" w:color="000000" w:fill="DBE5F1"/>
            <w:noWrap/>
            <w:vAlign w:val="bottom"/>
            <w:hideMark/>
          </w:tcPr>
          <w:p w:rsidR="000430A4" w:rsidRPr="0075485C" w:rsidRDefault="000430A4" w:rsidP="002F32F0">
            <w:pPr>
              <w:spacing w:after="0" w:line="240" w:lineRule="auto"/>
              <w:jc w:val="center"/>
              <w:rPr>
                <w:rFonts w:ascii="Calibri" w:eastAsia="Times New Roman" w:hAnsi="Calibri" w:cs="Times New Roman"/>
                <w:b/>
                <w:bCs/>
                <w:color w:val="000000"/>
              </w:rPr>
            </w:pPr>
            <w:r w:rsidRPr="0075485C">
              <w:rPr>
                <w:rFonts w:ascii="Calibri" w:eastAsia="Times New Roman" w:hAnsi="Calibri" w:cs="Times New Roman"/>
                <w:b/>
                <w:bCs/>
                <w:color w:val="000000"/>
              </w:rPr>
              <w:t>2013-2014</w:t>
            </w:r>
          </w:p>
        </w:tc>
        <w:tc>
          <w:tcPr>
            <w:tcW w:w="1354" w:type="dxa"/>
            <w:tcBorders>
              <w:top w:val="single" w:sz="8" w:space="0" w:color="auto"/>
              <w:left w:val="nil"/>
              <w:bottom w:val="single" w:sz="8" w:space="0" w:color="auto"/>
              <w:right w:val="single" w:sz="8" w:space="0" w:color="auto"/>
            </w:tcBorders>
            <w:shd w:val="clear" w:color="000000" w:fill="DBE5F1"/>
            <w:noWrap/>
            <w:vAlign w:val="bottom"/>
            <w:hideMark/>
          </w:tcPr>
          <w:p w:rsidR="000430A4" w:rsidRPr="0075485C" w:rsidRDefault="000430A4" w:rsidP="002F32F0">
            <w:pPr>
              <w:spacing w:after="0" w:line="240" w:lineRule="auto"/>
              <w:jc w:val="center"/>
              <w:rPr>
                <w:rFonts w:ascii="Calibri" w:eastAsia="Times New Roman" w:hAnsi="Calibri" w:cs="Times New Roman"/>
                <w:b/>
                <w:bCs/>
                <w:color w:val="000000"/>
              </w:rPr>
            </w:pPr>
            <w:r w:rsidRPr="0075485C">
              <w:rPr>
                <w:rFonts w:ascii="Calibri" w:eastAsia="Times New Roman" w:hAnsi="Calibri" w:cs="Times New Roman"/>
                <w:b/>
                <w:bCs/>
                <w:color w:val="000000"/>
              </w:rPr>
              <w:t>2014-2015</w:t>
            </w:r>
          </w:p>
        </w:tc>
      </w:tr>
      <w:tr w:rsidR="000430A4" w:rsidRPr="0075485C" w:rsidTr="002F32F0">
        <w:trPr>
          <w:trHeight w:val="345"/>
        </w:trPr>
        <w:tc>
          <w:tcPr>
            <w:tcW w:w="5479" w:type="dxa"/>
            <w:tcBorders>
              <w:top w:val="nil"/>
              <w:left w:val="single" w:sz="8" w:space="0" w:color="auto"/>
              <w:bottom w:val="nil"/>
              <w:right w:val="nil"/>
            </w:tcBorders>
            <w:shd w:val="clear" w:color="auto" w:fill="auto"/>
            <w:noWrap/>
            <w:vAlign w:val="bottom"/>
            <w:hideMark/>
          </w:tcPr>
          <w:p w:rsidR="000430A4" w:rsidRPr="0075485C" w:rsidRDefault="000430A4" w:rsidP="002F32F0">
            <w:pPr>
              <w:spacing w:after="0" w:line="240" w:lineRule="auto"/>
              <w:rPr>
                <w:rFonts w:ascii="Calibri" w:eastAsia="Times New Roman" w:hAnsi="Calibri" w:cs="Times New Roman"/>
                <w:color w:val="000000"/>
              </w:rPr>
            </w:pPr>
            <w:r>
              <w:rPr>
                <w:rFonts w:ascii="Calibri" w:eastAsia="Times New Roman" w:hAnsi="Calibri" w:cs="Times New Roman"/>
                <w:color w:val="000000"/>
              </w:rPr>
              <w:t>Total n</w:t>
            </w:r>
            <w:r w:rsidRPr="0075485C">
              <w:rPr>
                <w:rFonts w:ascii="Calibri" w:eastAsia="Times New Roman" w:hAnsi="Calibri" w:cs="Times New Roman"/>
                <w:color w:val="000000"/>
              </w:rPr>
              <w:t>umber</w:t>
            </w:r>
            <w:r>
              <w:rPr>
                <w:rFonts w:ascii="Calibri" w:eastAsia="Times New Roman" w:hAnsi="Calibri" w:cs="Times New Roman"/>
                <w:color w:val="000000"/>
              </w:rPr>
              <w:t xml:space="preserve"> of exemptions</w:t>
            </w:r>
            <w:r w:rsidRPr="0075485C">
              <w:rPr>
                <w:rFonts w:ascii="Calibri" w:eastAsia="Times New Roman" w:hAnsi="Calibri" w:cs="Times New Roman"/>
                <w:color w:val="000000"/>
              </w:rPr>
              <w:t xml:space="preserve"> </w:t>
            </w:r>
          </w:p>
        </w:tc>
        <w:tc>
          <w:tcPr>
            <w:tcW w:w="1354" w:type="dxa"/>
            <w:tcBorders>
              <w:top w:val="nil"/>
              <w:left w:val="nil"/>
              <w:bottom w:val="nil"/>
              <w:right w:val="nil"/>
            </w:tcBorders>
            <w:shd w:val="clear" w:color="auto" w:fill="auto"/>
            <w:noWrap/>
            <w:vAlign w:val="bottom"/>
            <w:hideMark/>
          </w:tcPr>
          <w:p w:rsidR="000430A4" w:rsidRPr="0075485C" w:rsidRDefault="000430A4" w:rsidP="002F32F0">
            <w:pPr>
              <w:spacing w:after="0" w:line="240" w:lineRule="auto"/>
              <w:jc w:val="center"/>
              <w:rPr>
                <w:rFonts w:ascii="Calibri" w:eastAsia="Times New Roman" w:hAnsi="Calibri" w:cs="Times New Roman"/>
                <w:color w:val="000000"/>
              </w:rPr>
            </w:pPr>
            <w:r w:rsidRPr="0075485C">
              <w:rPr>
                <w:rFonts w:ascii="Calibri" w:eastAsia="Times New Roman" w:hAnsi="Calibri" w:cs="Times New Roman"/>
                <w:color w:val="000000"/>
              </w:rPr>
              <w:t>1</w:t>
            </w:r>
            <w:r w:rsidR="0005646E">
              <w:rPr>
                <w:rFonts w:ascii="Calibri" w:eastAsia="Times New Roman" w:hAnsi="Calibri" w:cs="Times New Roman"/>
                <w:color w:val="000000"/>
              </w:rPr>
              <w:t>,</w:t>
            </w:r>
            <w:r w:rsidRPr="0075485C">
              <w:rPr>
                <w:rFonts w:ascii="Calibri" w:eastAsia="Times New Roman" w:hAnsi="Calibri" w:cs="Times New Roman"/>
                <w:color w:val="000000"/>
              </w:rPr>
              <w:t>009</w:t>
            </w:r>
          </w:p>
        </w:tc>
        <w:tc>
          <w:tcPr>
            <w:tcW w:w="1354" w:type="dxa"/>
            <w:tcBorders>
              <w:top w:val="nil"/>
              <w:left w:val="nil"/>
              <w:bottom w:val="nil"/>
              <w:right w:val="nil"/>
            </w:tcBorders>
            <w:shd w:val="clear" w:color="auto" w:fill="auto"/>
            <w:noWrap/>
            <w:vAlign w:val="bottom"/>
            <w:hideMark/>
          </w:tcPr>
          <w:p w:rsidR="000430A4" w:rsidRPr="0075485C" w:rsidRDefault="000430A4" w:rsidP="002F32F0">
            <w:pPr>
              <w:spacing w:after="0" w:line="240" w:lineRule="auto"/>
              <w:jc w:val="center"/>
              <w:rPr>
                <w:rFonts w:ascii="Calibri" w:eastAsia="Times New Roman" w:hAnsi="Calibri" w:cs="Times New Roman"/>
                <w:color w:val="000000"/>
              </w:rPr>
            </w:pPr>
            <w:r w:rsidRPr="0075485C">
              <w:rPr>
                <w:rFonts w:ascii="Calibri" w:eastAsia="Times New Roman" w:hAnsi="Calibri" w:cs="Times New Roman"/>
                <w:color w:val="000000"/>
              </w:rPr>
              <w:t>1</w:t>
            </w:r>
            <w:r w:rsidR="0005646E">
              <w:rPr>
                <w:rFonts w:ascii="Calibri" w:eastAsia="Times New Roman" w:hAnsi="Calibri" w:cs="Times New Roman"/>
                <w:color w:val="000000"/>
              </w:rPr>
              <w:t>,</w:t>
            </w:r>
            <w:r w:rsidRPr="0075485C">
              <w:rPr>
                <w:rFonts w:ascii="Calibri" w:eastAsia="Times New Roman" w:hAnsi="Calibri" w:cs="Times New Roman"/>
                <w:color w:val="000000"/>
              </w:rPr>
              <w:t>295</w:t>
            </w:r>
          </w:p>
        </w:tc>
        <w:tc>
          <w:tcPr>
            <w:tcW w:w="1354" w:type="dxa"/>
            <w:tcBorders>
              <w:top w:val="nil"/>
              <w:left w:val="nil"/>
              <w:bottom w:val="nil"/>
              <w:right w:val="single" w:sz="8" w:space="0" w:color="auto"/>
            </w:tcBorders>
            <w:shd w:val="clear" w:color="auto" w:fill="auto"/>
            <w:noWrap/>
            <w:vAlign w:val="bottom"/>
            <w:hideMark/>
          </w:tcPr>
          <w:p w:rsidR="000430A4" w:rsidRPr="0075485C" w:rsidRDefault="000430A4" w:rsidP="002F32F0">
            <w:pPr>
              <w:spacing w:after="0" w:line="240" w:lineRule="auto"/>
              <w:jc w:val="center"/>
              <w:rPr>
                <w:rFonts w:ascii="Calibri" w:eastAsia="Times New Roman" w:hAnsi="Calibri" w:cs="Times New Roman"/>
                <w:color w:val="000000"/>
              </w:rPr>
            </w:pPr>
            <w:r w:rsidRPr="0075485C">
              <w:rPr>
                <w:rFonts w:ascii="Calibri" w:eastAsia="Times New Roman" w:hAnsi="Calibri" w:cs="Times New Roman"/>
                <w:color w:val="000000"/>
              </w:rPr>
              <w:t>810</w:t>
            </w:r>
          </w:p>
        </w:tc>
      </w:tr>
      <w:tr w:rsidR="000430A4" w:rsidRPr="0075485C" w:rsidTr="002F32F0">
        <w:trPr>
          <w:trHeight w:val="345"/>
        </w:trPr>
        <w:tc>
          <w:tcPr>
            <w:tcW w:w="5479" w:type="dxa"/>
            <w:tcBorders>
              <w:top w:val="nil"/>
              <w:left w:val="single" w:sz="8" w:space="0" w:color="auto"/>
              <w:bottom w:val="nil"/>
              <w:right w:val="nil"/>
            </w:tcBorders>
            <w:shd w:val="clear" w:color="auto" w:fill="auto"/>
            <w:noWrap/>
            <w:vAlign w:val="bottom"/>
            <w:hideMark/>
          </w:tcPr>
          <w:p w:rsidR="000430A4" w:rsidRPr="0075485C" w:rsidRDefault="000430A4" w:rsidP="002F32F0">
            <w:pPr>
              <w:spacing w:after="0" w:line="240" w:lineRule="auto"/>
              <w:rPr>
                <w:rFonts w:ascii="Calibri" w:eastAsia="Times New Roman" w:hAnsi="Calibri" w:cs="Times New Roman"/>
                <w:color w:val="000000"/>
              </w:rPr>
            </w:pPr>
            <w:r w:rsidRPr="0075485C">
              <w:rPr>
                <w:rFonts w:ascii="Calibri" w:eastAsia="Times New Roman" w:hAnsi="Calibri" w:cs="Times New Roman"/>
                <w:color w:val="000000"/>
              </w:rPr>
              <w:t>Total number of completed requests</w:t>
            </w:r>
          </w:p>
        </w:tc>
        <w:tc>
          <w:tcPr>
            <w:tcW w:w="1354" w:type="dxa"/>
            <w:tcBorders>
              <w:top w:val="nil"/>
              <w:left w:val="nil"/>
              <w:bottom w:val="nil"/>
              <w:right w:val="nil"/>
            </w:tcBorders>
            <w:shd w:val="clear" w:color="auto" w:fill="auto"/>
            <w:noWrap/>
            <w:vAlign w:val="bottom"/>
            <w:hideMark/>
          </w:tcPr>
          <w:p w:rsidR="000430A4" w:rsidRPr="0075485C" w:rsidRDefault="000430A4" w:rsidP="002F32F0">
            <w:pPr>
              <w:spacing w:after="0" w:line="240" w:lineRule="auto"/>
              <w:jc w:val="center"/>
              <w:rPr>
                <w:rFonts w:ascii="Calibri" w:eastAsia="Times New Roman" w:hAnsi="Calibri" w:cs="Times New Roman"/>
                <w:color w:val="000000"/>
              </w:rPr>
            </w:pPr>
            <w:r w:rsidRPr="0075485C">
              <w:rPr>
                <w:rFonts w:ascii="Calibri" w:eastAsia="Times New Roman" w:hAnsi="Calibri" w:cs="Times New Roman"/>
                <w:color w:val="000000"/>
              </w:rPr>
              <w:t>478</w:t>
            </w:r>
          </w:p>
        </w:tc>
        <w:tc>
          <w:tcPr>
            <w:tcW w:w="1354" w:type="dxa"/>
            <w:tcBorders>
              <w:top w:val="nil"/>
              <w:left w:val="nil"/>
              <w:bottom w:val="nil"/>
              <w:right w:val="nil"/>
            </w:tcBorders>
            <w:shd w:val="clear" w:color="auto" w:fill="auto"/>
            <w:noWrap/>
            <w:vAlign w:val="bottom"/>
            <w:hideMark/>
          </w:tcPr>
          <w:p w:rsidR="000430A4" w:rsidRPr="0075485C" w:rsidRDefault="000430A4" w:rsidP="002F32F0">
            <w:pPr>
              <w:spacing w:after="0" w:line="240" w:lineRule="auto"/>
              <w:jc w:val="center"/>
              <w:rPr>
                <w:rFonts w:ascii="Calibri" w:eastAsia="Times New Roman" w:hAnsi="Calibri" w:cs="Times New Roman"/>
                <w:color w:val="000000"/>
              </w:rPr>
            </w:pPr>
            <w:r w:rsidRPr="0075485C">
              <w:rPr>
                <w:rFonts w:ascii="Calibri" w:eastAsia="Times New Roman" w:hAnsi="Calibri" w:cs="Times New Roman"/>
                <w:color w:val="000000"/>
              </w:rPr>
              <w:t>527</w:t>
            </w:r>
          </w:p>
        </w:tc>
        <w:tc>
          <w:tcPr>
            <w:tcW w:w="1354" w:type="dxa"/>
            <w:tcBorders>
              <w:top w:val="nil"/>
              <w:left w:val="nil"/>
              <w:bottom w:val="nil"/>
              <w:right w:val="single" w:sz="8" w:space="0" w:color="auto"/>
            </w:tcBorders>
            <w:shd w:val="clear" w:color="auto" w:fill="auto"/>
            <w:noWrap/>
            <w:vAlign w:val="bottom"/>
            <w:hideMark/>
          </w:tcPr>
          <w:p w:rsidR="000430A4" w:rsidRPr="0075485C" w:rsidRDefault="000430A4" w:rsidP="002F32F0">
            <w:pPr>
              <w:spacing w:after="0" w:line="240" w:lineRule="auto"/>
              <w:jc w:val="center"/>
              <w:rPr>
                <w:rFonts w:ascii="Calibri" w:eastAsia="Times New Roman" w:hAnsi="Calibri" w:cs="Times New Roman"/>
                <w:color w:val="000000"/>
              </w:rPr>
            </w:pPr>
            <w:r w:rsidRPr="0075485C">
              <w:rPr>
                <w:rFonts w:ascii="Calibri" w:eastAsia="Times New Roman" w:hAnsi="Calibri" w:cs="Times New Roman"/>
                <w:color w:val="000000"/>
              </w:rPr>
              <w:t>292</w:t>
            </w:r>
          </w:p>
        </w:tc>
      </w:tr>
      <w:tr w:rsidR="000430A4" w:rsidRPr="0075485C" w:rsidTr="002F32F0">
        <w:trPr>
          <w:trHeight w:val="362"/>
        </w:trPr>
        <w:tc>
          <w:tcPr>
            <w:tcW w:w="5479" w:type="dxa"/>
            <w:tcBorders>
              <w:top w:val="nil"/>
              <w:left w:val="single" w:sz="8" w:space="0" w:color="auto"/>
              <w:bottom w:val="single" w:sz="8" w:space="0" w:color="auto"/>
              <w:right w:val="nil"/>
            </w:tcBorders>
            <w:shd w:val="clear" w:color="000000" w:fill="DBE5F1"/>
            <w:noWrap/>
            <w:vAlign w:val="bottom"/>
            <w:hideMark/>
          </w:tcPr>
          <w:p w:rsidR="000430A4" w:rsidRPr="0075485C" w:rsidRDefault="000430A4" w:rsidP="002F32F0">
            <w:pPr>
              <w:spacing w:after="0" w:line="240" w:lineRule="auto"/>
              <w:rPr>
                <w:rFonts w:ascii="Calibri" w:eastAsia="Times New Roman" w:hAnsi="Calibri" w:cs="Times New Roman"/>
                <w:color w:val="000000"/>
              </w:rPr>
            </w:pPr>
            <w:r w:rsidRPr="0075485C">
              <w:rPr>
                <w:rFonts w:ascii="Calibri" w:eastAsia="Times New Roman" w:hAnsi="Calibri" w:cs="Times New Roman"/>
                <w:color w:val="000000"/>
              </w:rPr>
              <w:t xml:space="preserve">Average number of exemptions per request </w:t>
            </w:r>
          </w:p>
        </w:tc>
        <w:tc>
          <w:tcPr>
            <w:tcW w:w="1354" w:type="dxa"/>
            <w:tcBorders>
              <w:top w:val="nil"/>
              <w:left w:val="nil"/>
              <w:bottom w:val="single" w:sz="8" w:space="0" w:color="auto"/>
              <w:right w:val="nil"/>
            </w:tcBorders>
            <w:shd w:val="clear" w:color="000000" w:fill="DBE5F1"/>
            <w:noWrap/>
            <w:vAlign w:val="bottom"/>
            <w:hideMark/>
          </w:tcPr>
          <w:p w:rsidR="000430A4" w:rsidRPr="0075485C" w:rsidRDefault="000430A4" w:rsidP="002F32F0">
            <w:pPr>
              <w:spacing w:after="0" w:line="240" w:lineRule="auto"/>
              <w:jc w:val="center"/>
              <w:rPr>
                <w:rFonts w:ascii="Calibri" w:eastAsia="Times New Roman" w:hAnsi="Calibri" w:cs="Times New Roman"/>
                <w:color w:val="000000"/>
              </w:rPr>
            </w:pPr>
            <w:r w:rsidRPr="0075485C">
              <w:rPr>
                <w:rFonts w:ascii="Calibri" w:eastAsia="Times New Roman" w:hAnsi="Calibri" w:cs="Times New Roman"/>
                <w:color w:val="000000"/>
              </w:rPr>
              <w:t>2.1</w:t>
            </w:r>
            <w:r>
              <w:rPr>
                <w:rFonts w:ascii="Calibri" w:eastAsia="Times New Roman" w:hAnsi="Calibri" w:cs="Times New Roman"/>
                <w:color w:val="000000"/>
              </w:rPr>
              <w:t>1</w:t>
            </w:r>
          </w:p>
        </w:tc>
        <w:tc>
          <w:tcPr>
            <w:tcW w:w="1354" w:type="dxa"/>
            <w:tcBorders>
              <w:top w:val="nil"/>
              <w:left w:val="nil"/>
              <w:bottom w:val="single" w:sz="8" w:space="0" w:color="auto"/>
              <w:right w:val="nil"/>
            </w:tcBorders>
            <w:shd w:val="clear" w:color="000000" w:fill="DBE5F1"/>
            <w:noWrap/>
            <w:vAlign w:val="bottom"/>
            <w:hideMark/>
          </w:tcPr>
          <w:p w:rsidR="000430A4" w:rsidRPr="0075485C" w:rsidRDefault="000430A4" w:rsidP="002F32F0">
            <w:pPr>
              <w:spacing w:after="0" w:line="240" w:lineRule="auto"/>
              <w:jc w:val="center"/>
              <w:rPr>
                <w:rFonts w:ascii="Calibri" w:eastAsia="Times New Roman" w:hAnsi="Calibri" w:cs="Times New Roman"/>
                <w:color w:val="000000"/>
              </w:rPr>
            </w:pPr>
            <w:r w:rsidRPr="0075485C">
              <w:rPr>
                <w:rFonts w:ascii="Calibri" w:eastAsia="Times New Roman" w:hAnsi="Calibri" w:cs="Times New Roman"/>
                <w:color w:val="000000"/>
              </w:rPr>
              <w:t>2.</w:t>
            </w:r>
            <w:r>
              <w:rPr>
                <w:rFonts w:ascii="Calibri" w:eastAsia="Times New Roman" w:hAnsi="Calibri" w:cs="Times New Roman"/>
                <w:color w:val="000000"/>
              </w:rPr>
              <w:t>46</w:t>
            </w:r>
          </w:p>
        </w:tc>
        <w:tc>
          <w:tcPr>
            <w:tcW w:w="1354" w:type="dxa"/>
            <w:tcBorders>
              <w:top w:val="nil"/>
              <w:left w:val="nil"/>
              <w:bottom w:val="single" w:sz="8" w:space="0" w:color="auto"/>
              <w:right w:val="single" w:sz="8" w:space="0" w:color="auto"/>
            </w:tcBorders>
            <w:shd w:val="clear" w:color="000000" w:fill="DBE5F1"/>
            <w:noWrap/>
            <w:vAlign w:val="bottom"/>
            <w:hideMark/>
          </w:tcPr>
          <w:p w:rsidR="000430A4" w:rsidRPr="0075485C" w:rsidRDefault="000430A4" w:rsidP="002F32F0">
            <w:pPr>
              <w:spacing w:after="0" w:line="240" w:lineRule="auto"/>
              <w:jc w:val="center"/>
              <w:rPr>
                <w:rFonts w:ascii="Calibri" w:eastAsia="Times New Roman" w:hAnsi="Calibri" w:cs="Times New Roman"/>
                <w:color w:val="000000"/>
              </w:rPr>
            </w:pPr>
            <w:r w:rsidRPr="0075485C">
              <w:rPr>
                <w:rFonts w:ascii="Calibri" w:eastAsia="Times New Roman" w:hAnsi="Calibri" w:cs="Times New Roman"/>
                <w:color w:val="000000"/>
              </w:rPr>
              <w:t>2.</w:t>
            </w:r>
            <w:r>
              <w:rPr>
                <w:rFonts w:ascii="Calibri" w:eastAsia="Times New Roman" w:hAnsi="Calibri" w:cs="Times New Roman"/>
                <w:color w:val="000000"/>
              </w:rPr>
              <w:t>77</w:t>
            </w:r>
          </w:p>
        </w:tc>
      </w:tr>
    </w:tbl>
    <w:p w:rsidR="000430A4" w:rsidRPr="00087F35" w:rsidRDefault="000430A4" w:rsidP="000430A4">
      <w:pPr>
        <w:pStyle w:val="Heading2"/>
        <w:spacing w:before="240"/>
      </w:pPr>
      <w:r w:rsidRPr="00087F35">
        <w:t>Complaints at the OIC</w:t>
      </w:r>
    </w:p>
    <w:p w:rsidR="000430A4" w:rsidRDefault="000430A4" w:rsidP="000430A4">
      <w:pPr>
        <w:jc w:val="both"/>
      </w:pPr>
      <w:r w:rsidRPr="007D380D">
        <w:t xml:space="preserve">Since 2012, the OIC received a gradual increase in </w:t>
      </w:r>
      <w:r>
        <w:t xml:space="preserve">the number of </w:t>
      </w:r>
      <w:r w:rsidRPr="007D380D">
        <w:t>complaints</w:t>
      </w:r>
      <w:r>
        <w:t>, increasing (5 in 2012-2013 to</w:t>
      </w:r>
      <w:r w:rsidRPr="007D380D">
        <w:t xml:space="preserve"> 14 in 2013-2014, and</w:t>
      </w:r>
      <w:r>
        <w:t xml:space="preserve"> then to</w:t>
      </w:r>
      <w:r w:rsidRPr="007D380D">
        <w:t xml:space="preserve"> 25 in 2014-2015</w:t>
      </w:r>
      <w:r>
        <w:t>)</w:t>
      </w:r>
      <w:r w:rsidRPr="007D380D">
        <w:t>.</w:t>
      </w:r>
    </w:p>
    <w:p w:rsidR="000430A4" w:rsidRPr="00343357" w:rsidRDefault="000430A4" w:rsidP="000430A4">
      <w:pPr>
        <w:jc w:val="both"/>
        <w:rPr>
          <w:sz w:val="24"/>
          <w:szCs w:val="24"/>
        </w:rPr>
      </w:pPr>
      <w:r w:rsidRPr="007D380D">
        <w:t>In 2014-2015, all 2</w:t>
      </w:r>
      <w:r>
        <w:t>5</w:t>
      </w:r>
      <w:r w:rsidRPr="007D380D">
        <w:t xml:space="preserve"> complaint</w:t>
      </w:r>
      <w:r>
        <w:t>s</w:t>
      </w:r>
      <w:r w:rsidRPr="007D380D">
        <w:t xml:space="preserve"> were refusal</w:t>
      </w:r>
      <w:r>
        <w:t>s</w:t>
      </w:r>
      <w:r w:rsidRPr="007D380D">
        <w:t>, with 7 well-founded and resolved, 7 not well founded, 2 discontinued, and 9 pending resolution</w:t>
      </w:r>
      <w:r>
        <w:rPr>
          <w:sz w:val="24"/>
          <w:szCs w:val="24"/>
        </w:rPr>
        <w:t>.</w:t>
      </w:r>
    </w:p>
    <w:p w:rsidR="000430A4" w:rsidRDefault="000430A4" w:rsidP="000430A4">
      <w:pPr>
        <w:jc w:val="both"/>
      </w:pPr>
    </w:p>
    <w:sectPr w:rsidR="000430A4" w:rsidSect="002F32F0">
      <w:footerReference w:type="default" r:id="rId98"/>
      <w:headerReference w:type="first" r:id="rId9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F8" w:rsidRDefault="00F257F8" w:rsidP="000430A4">
      <w:pPr>
        <w:spacing w:after="0" w:line="240" w:lineRule="auto"/>
      </w:pPr>
      <w:r>
        <w:separator/>
      </w:r>
    </w:p>
  </w:endnote>
  <w:endnote w:type="continuationSeparator" w:id="0">
    <w:p w:rsidR="00F257F8" w:rsidRDefault="00F257F8" w:rsidP="00043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01663"/>
      <w:docPartObj>
        <w:docPartGallery w:val="Page Numbers (Bottom of Page)"/>
        <w:docPartUnique/>
      </w:docPartObj>
    </w:sdtPr>
    <w:sdtContent>
      <w:p w:rsidR="00F257F8" w:rsidRDefault="001B352D">
        <w:pPr>
          <w:pStyle w:val="Footer"/>
          <w:jc w:val="right"/>
        </w:pPr>
        <w:r>
          <w:fldChar w:fldCharType="begin"/>
        </w:r>
        <w:r w:rsidR="00F257F8">
          <w:instrText xml:space="preserve"> PAGE   \* MERGEFORMAT </w:instrText>
        </w:r>
        <w:r>
          <w:fldChar w:fldCharType="separate"/>
        </w:r>
        <w:r w:rsidR="006977E8">
          <w:rPr>
            <w:noProof/>
          </w:rPr>
          <w:t>60</w:t>
        </w:r>
        <w:r>
          <w:rPr>
            <w:noProof/>
          </w:rPr>
          <w:fldChar w:fldCharType="end"/>
        </w:r>
      </w:p>
    </w:sdtContent>
  </w:sdt>
  <w:p w:rsidR="00F257F8" w:rsidRDefault="00F25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F8" w:rsidRDefault="00F257F8" w:rsidP="000430A4">
      <w:pPr>
        <w:spacing w:after="0" w:line="240" w:lineRule="auto"/>
      </w:pPr>
      <w:r>
        <w:separator/>
      </w:r>
    </w:p>
  </w:footnote>
  <w:footnote w:type="continuationSeparator" w:id="0">
    <w:p w:rsidR="00F257F8" w:rsidRDefault="00F257F8" w:rsidP="000430A4">
      <w:pPr>
        <w:spacing w:after="0" w:line="240" w:lineRule="auto"/>
      </w:pPr>
      <w:r>
        <w:continuationSeparator/>
      </w:r>
    </w:p>
  </w:footnote>
  <w:footnote w:id="1">
    <w:p w:rsidR="00F257F8" w:rsidRPr="0073648E" w:rsidRDefault="00F257F8" w:rsidP="000430A4">
      <w:pPr>
        <w:pStyle w:val="FootnoteText"/>
      </w:pPr>
      <w:r>
        <w:rPr>
          <w:rStyle w:val="FootnoteReference"/>
        </w:rPr>
        <w:footnoteRef/>
      </w:r>
      <w:r>
        <w:t xml:space="preserve"> </w:t>
      </w:r>
      <w:r w:rsidRPr="00C76D7A">
        <w:t>Overall performance is based on two primary indicators: % of requests completed within 30 days</w:t>
      </w:r>
      <w:r>
        <w:t xml:space="preserve"> and</w:t>
      </w:r>
      <w:r w:rsidRPr="00C76D7A">
        <w:t xml:space="preserve"> % of requests that were fully disclosed.</w:t>
      </w:r>
    </w:p>
  </w:footnote>
  <w:footnote w:id="2">
    <w:p w:rsidR="00F257F8" w:rsidRPr="00F023F4" w:rsidRDefault="00F257F8" w:rsidP="000430A4">
      <w:pPr>
        <w:pStyle w:val="FootnoteText"/>
      </w:pPr>
      <w:r>
        <w:rPr>
          <w:rStyle w:val="FootnoteReference"/>
        </w:rPr>
        <w:footnoteRef/>
      </w:r>
      <w:r>
        <w:t xml:space="preserve"> The name of Citizenship and Immigration Canada was changed to Immigration, Refugee and Citizenship Canada.</w:t>
      </w:r>
    </w:p>
  </w:footnote>
  <w:footnote w:id="3">
    <w:p w:rsidR="00F257F8" w:rsidRDefault="00F257F8" w:rsidP="000430A4">
      <w:pPr>
        <w:pStyle w:val="FootnoteText"/>
      </w:pPr>
      <w:r>
        <w:rPr>
          <w:rStyle w:val="FootnoteReference"/>
        </w:rPr>
        <w:footnoteRef/>
      </w:r>
      <w:r>
        <w:t xml:space="preserve"> </w:t>
      </w:r>
      <w:bookmarkStart w:id="0" w:name="OLE_LINK1"/>
      <w:bookmarkStart w:id="1" w:name="OLE_LINK2"/>
      <w:r>
        <w:t>The completion rate was calculated using the number of received requests during the reporting period as well as outstanding requests from the previous period.</w:t>
      </w:r>
      <w:bookmarkEnd w:id="0"/>
      <w:bookmarkEnd w:id="1"/>
    </w:p>
  </w:footnote>
  <w:footnote w:id="4">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5">
    <w:p w:rsidR="00F257F8" w:rsidRDefault="00F257F8" w:rsidP="000430A4">
      <w:pPr>
        <w:pStyle w:val="FootnoteText"/>
      </w:pPr>
      <w:r>
        <w:rPr>
          <w:rStyle w:val="FootnoteReference"/>
        </w:rPr>
        <w:footnoteRef/>
      </w:r>
      <w:r>
        <w:t xml:space="preserve"> </w:t>
      </w:r>
      <w:r w:rsidRPr="002723D9">
        <w:t>The numbers reported in this section are based on the OIC’s statistics. The information may not reflect the statistics reported by institutions due to the discrepancies in the methodology used.</w:t>
      </w:r>
    </w:p>
  </w:footnote>
  <w:footnote w:id="6">
    <w:p w:rsidR="00F257F8" w:rsidRPr="007E2898" w:rsidRDefault="00F257F8" w:rsidP="000430A4">
      <w:pPr>
        <w:pStyle w:val="FootnoteText"/>
      </w:pPr>
      <w:r>
        <w:rPr>
          <w:rStyle w:val="FootnoteReference"/>
        </w:rPr>
        <w:footnoteRef/>
      </w:r>
      <w:r>
        <w:t xml:space="preserve"> </w:t>
      </w:r>
      <w:r w:rsidRPr="00384A5C">
        <w:t>Overall performance is based on two primary indicators: % of requests completed within 30 days, % of requests that were fully disclosed.</w:t>
      </w:r>
    </w:p>
  </w:footnote>
  <w:footnote w:id="7">
    <w:p w:rsidR="00F257F8" w:rsidRPr="00C81157" w:rsidRDefault="00F257F8" w:rsidP="000430A4">
      <w:pPr>
        <w:pStyle w:val="FootnoteText"/>
      </w:pPr>
      <w:r>
        <w:rPr>
          <w:rStyle w:val="FootnoteReference"/>
        </w:rPr>
        <w:footnoteRef/>
      </w:r>
      <w:r>
        <w:t xml:space="preserve"> According to CSBA’s annual report on the administration of the Act, 60.4% of all requests came from individuals seeking their Traveller History Report.</w:t>
      </w:r>
    </w:p>
  </w:footnote>
  <w:footnote w:id="8">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 The completion rate differs from the one reported by CBSA as they used the number of requests received in 2014-2015 only.</w:t>
      </w:r>
    </w:p>
  </w:footnote>
  <w:footnote w:id="9">
    <w:p w:rsidR="00F257F8" w:rsidRPr="00D46414" w:rsidRDefault="00F257F8" w:rsidP="000430A4">
      <w:pPr>
        <w:pStyle w:val="FootnoteText"/>
      </w:pPr>
      <w:r>
        <w:rPr>
          <w:rStyle w:val="FootnoteReference"/>
        </w:rPr>
        <w:footnoteRef/>
      </w:r>
      <w:r>
        <w:t xml:space="preserve"> The Annual Report on the Administration of the Act states that, although the electronic delivery of records represents only 17.5% of release packages, they account for 86.3% of all pages disclosed.</w:t>
      </w:r>
    </w:p>
  </w:footnote>
  <w:footnote w:id="10">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11">
    <w:p w:rsidR="00F257F8" w:rsidRDefault="00F257F8" w:rsidP="000430A4">
      <w:pPr>
        <w:pStyle w:val="FootnoteText"/>
      </w:pPr>
      <w:r>
        <w:rPr>
          <w:rStyle w:val="FootnoteReference"/>
        </w:rPr>
        <w:footnoteRef/>
      </w:r>
      <w:r>
        <w:t xml:space="preserve"> </w:t>
      </w:r>
      <w:r w:rsidRPr="002723D9">
        <w:t>The numbers reported in this section are based on the OIC’s statistics. The information may not reflect the statistics reported by institutions due to the discrepancies in the methodology used.</w:t>
      </w:r>
    </w:p>
  </w:footnote>
  <w:footnote w:id="12">
    <w:p w:rsidR="00F257F8" w:rsidRPr="00FF246C" w:rsidRDefault="00F257F8" w:rsidP="000430A4">
      <w:pPr>
        <w:pStyle w:val="FootnoteText"/>
      </w:pPr>
      <w:r>
        <w:rPr>
          <w:rStyle w:val="FootnoteReference"/>
        </w:rPr>
        <w:footnoteRef/>
      </w:r>
      <w:r>
        <w:t xml:space="preserve"> </w:t>
      </w:r>
      <w:r w:rsidRPr="00EA6FC0">
        <w:t>Overall performance is based on two primary indicators: % of requests completed within 30 days, % of requests that were fully disclosed.</w:t>
      </w:r>
    </w:p>
  </w:footnote>
  <w:footnote w:id="13">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14">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15">
    <w:p w:rsidR="00F257F8" w:rsidRDefault="00F257F8" w:rsidP="000430A4">
      <w:pPr>
        <w:pStyle w:val="FootnoteText"/>
      </w:pPr>
      <w:r>
        <w:rPr>
          <w:rStyle w:val="FootnoteReference"/>
        </w:rPr>
        <w:footnoteRef/>
      </w:r>
      <w:r>
        <w:t xml:space="preserve"> </w:t>
      </w:r>
      <w:r w:rsidRPr="002723D9">
        <w:t>The numbers reported in this section are based on the OIC’s statistics. The information may not reflect the statistics reported by institutions due to the discrepancies in the methodology used.</w:t>
      </w:r>
    </w:p>
  </w:footnote>
  <w:footnote w:id="16">
    <w:p w:rsidR="00F257F8" w:rsidRPr="005552F7" w:rsidRDefault="00F257F8" w:rsidP="000430A4">
      <w:pPr>
        <w:pStyle w:val="FootnoteText"/>
      </w:pPr>
      <w:r w:rsidRPr="005552F7">
        <w:rPr>
          <w:rStyle w:val="FootnoteReference"/>
        </w:rPr>
        <w:footnoteRef/>
      </w:r>
      <w:r w:rsidRPr="005552F7">
        <w:t xml:space="preserve"> Overall performance is based on two primary indicators: % of requests completed within 30 days, % of requests that were fully disclosed.</w:t>
      </w:r>
    </w:p>
  </w:footnote>
  <w:footnote w:id="17">
    <w:p w:rsidR="00F257F8" w:rsidRDefault="00F257F8" w:rsidP="000430A4">
      <w:pPr>
        <w:pStyle w:val="FootnoteText"/>
      </w:pPr>
      <w:r w:rsidRPr="005552F7">
        <w:rPr>
          <w:rStyle w:val="FootnoteReference"/>
        </w:rPr>
        <w:footnoteRef/>
      </w:r>
      <w:r w:rsidRPr="005552F7">
        <w:t xml:space="preserve"> The completion rate was</w:t>
      </w:r>
      <w:r>
        <w:t xml:space="preserve"> calculated using the number of received requests during the reporting period as well as outstanding requests from the previous period.</w:t>
      </w:r>
    </w:p>
  </w:footnote>
  <w:footnote w:id="18">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19">
    <w:p w:rsidR="00F257F8" w:rsidRDefault="00F257F8" w:rsidP="000430A4">
      <w:pPr>
        <w:pStyle w:val="FootnoteText"/>
      </w:pPr>
      <w:r>
        <w:rPr>
          <w:rStyle w:val="FootnoteReference"/>
        </w:rPr>
        <w:footnoteRef/>
      </w:r>
      <w:r>
        <w:t xml:space="preserve"> </w:t>
      </w:r>
      <w:r w:rsidRPr="002723D9">
        <w:t>The numbers reported in this section are based on the OIC’s statistics. The information may not reflect the statistics reported by institutions due to the discrepancies in the methodology used.</w:t>
      </w:r>
    </w:p>
  </w:footnote>
  <w:footnote w:id="20">
    <w:p w:rsidR="00F257F8" w:rsidRPr="007259AB" w:rsidRDefault="00F257F8" w:rsidP="000430A4">
      <w:pPr>
        <w:pStyle w:val="FootnoteText"/>
      </w:pPr>
      <w:r>
        <w:rPr>
          <w:rStyle w:val="FootnoteReference"/>
        </w:rPr>
        <w:footnoteRef/>
      </w:r>
      <w:r>
        <w:t xml:space="preserve"> </w:t>
      </w:r>
      <w:r w:rsidRPr="00F41AF5">
        <w:t>Overall performance is based on two primary indicators: % of requests completed within 30 days, % of requests that were fully disclosed.</w:t>
      </w:r>
    </w:p>
  </w:footnote>
  <w:footnote w:id="21">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22">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23">
    <w:p w:rsidR="00F257F8" w:rsidRDefault="00F257F8" w:rsidP="000430A4">
      <w:pPr>
        <w:pStyle w:val="FootnoteText"/>
      </w:pPr>
      <w:r>
        <w:rPr>
          <w:rStyle w:val="FootnoteReference"/>
        </w:rPr>
        <w:footnoteRef/>
      </w:r>
      <w:r>
        <w:t xml:space="preserve"> </w:t>
      </w:r>
      <w:r w:rsidRPr="002723D9">
        <w:t>The numbers reported in this section are based on the OIC’s statistics. The information may not reflect the statistics reported by institutions due to the discrepancies in the methodology used.</w:t>
      </w:r>
    </w:p>
  </w:footnote>
  <w:footnote w:id="24">
    <w:p w:rsidR="00F257F8" w:rsidRPr="00C82CD4" w:rsidRDefault="00F257F8" w:rsidP="000430A4">
      <w:pPr>
        <w:pStyle w:val="FootnoteText"/>
      </w:pPr>
      <w:r w:rsidRPr="00AF1787">
        <w:rPr>
          <w:rStyle w:val="FootnoteReference"/>
        </w:rPr>
        <w:footnoteRef/>
      </w:r>
      <w:r w:rsidRPr="00AF1787">
        <w:t xml:space="preserve"> Overall performance is based on two primary indicators: % of requests completed within 30 days, % of requests that were fully disclosed.</w:t>
      </w:r>
    </w:p>
  </w:footnote>
  <w:footnote w:id="25">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26">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27">
    <w:p w:rsidR="00F257F8" w:rsidRDefault="00F257F8" w:rsidP="000430A4">
      <w:pPr>
        <w:pStyle w:val="FootnoteText"/>
      </w:pPr>
      <w:r>
        <w:rPr>
          <w:rStyle w:val="FootnoteReference"/>
        </w:rPr>
        <w:footnoteRef/>
      </w:r>
      <w:r>
        <w:t xml:space="preserve"> In its annual report on the administration of the Act, HC explained that a significant number of requests require several complex third party consultations to identify confidential business information requiring protection. These records often involve large volumes of technical and scientific information, which can take additional time to review.</w:t>
      </w:r>
    </w:p>
  </w:footnote>
  <w:footnote w:id="28">
    <w:p w:rsidR="00F257F8" w:rsidRDefault="00F257F8" w:rsidP="000430A4">
      <w:pPr>
        <w:pStyle w:val="FootnoteText"/>
      </w:pPr>
      <w:r>
        <w:rPr>
          <w:rStyle w:val="FootnoteReference"/>
        </w:rPr>
        <w:footnoteRef/>
      </w:r>
      <w:r>
        <w:t xml:space="preserve"> </w:t>
      </w:r>
      <w:r w:rsidRPr="002723D9">
        <w:t>The numbers reported in this section are based on the OIC’s statistics. The information may not reflect the statistics reported by institutions due to the discrepancies in the methodology used.</w:t>
      </w:r>
    </w:p>
  </w:footnote>
  <w:footnote w:id="29">
    <w:p w:rsidR="00F257F8" w:rsidRPr="00212031" w:rsidRDefault="00F257F8" w:rsidP="000430A4">
      <w:pPr>
        <w:pStyle w:val="FootnoteText"/>
      </w:pPr>
      <w:r w:rsidRPr="007C0BBF">
        <w:rPr>
          <w:rStyle w:val="FootnoteReference"/>
        </w:rPr>
        <w:footnoteRef/>
      </w:r>
      <w:r w:rsidRPr="007C0BBF">
        <w:t xml:space="preserve"> Overall performance is based on two primary indicators: % of requests completed within 30 days, % of requests that were fully disclosed.</w:t>
      </w:r>
    </w:p>
  </w:footnote>
  <w:footnote w:id="30">
    <w:p w:rsidR="00F257F8" w:rsidRPr="00E80566" w:rsidRDefault="00F257F8" w:rsidP="000430A4">
      <w:pPr>
        <w:pStyle w:val="FootnoteText"/>
      </w:pPr>
      <w:r>
        <w:rPr>
          <w:rStyle w:val="FootnoteReference"/>
        </w:rPr>
        <w:footnoteRef/>
      </w:r>
      <w:r>
        <w:t xml:space="preserve"> The name of Environment Canada was changed to Environment and Climate Change Canada.</w:t>
      </w:r>
    </w:p>
  </w:footnote>
  <w:footnote w:id="31">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32">
    <w:p w:rsidR="00F257F8" w:rsidRDefault="00F257F8" w:rsidP="000430A4">
      <w:pPr>
        <w:pStyle w:val="FootnoteText"/>
      </w:pPr>
      <w:r>
        <w:rPr>
          <w:rStyle w:val="FootnoteReference"/>
        </w:rPr>
        <w:footnoteRef/>
      </w:r>
      <w:r>
        <w:t xml:space="preserve"> According to ECCC’s annual report, a total of 74 informal requests were received in 2014-2015.</w:t>
      </w:r>
    </w:p>
  </w:footnote>
  <w:footnote w:id="33">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34">
    <w:p w:rsidR="00F257F8" w:rsidRDefault="00F257F8" w:rsidP="000430A4">
      <w:pPr>
        <w:pStyle w:val="FootnoteText"/>
      </w:pPr>
      <w:r>
        <w:rPr>
          <w:rStyle w:val="FootnoteReference"/>
        </w:rPr>
        <w:footnoteRef/>
      </w:r>
      <w:r>
        <w:t xml:space="preserve"> </w:t>
      </w:r>
      <w:r w:rsidRPr="002723D9">
        <w:t>The numbers reported in this section are based on the OIC’s statistics. The information may not reflect the statistics reported by institutions due to the discrepancies in the methodology used.</w:t>
      </w:r>
    </w:p>
  </w:footnote>
  <w:footnote w:id="35">
    <w:p w:rsidR="00F257F8" w:rsidRPr="00744704" w:rsidRDefault="00F257F8" w:rsidP="000430A4">
      <w:pPr>
        <w:pStyle w:val="FootnoteText"/>
      </w:pPr>
      <w:r>
        <w:rPr>
          <w:rStyle w:val="FootnoteReference"/>
        </w:rPr>
        <w:footnoteRef/>
      </w:r>
      <w:r>
        <w:t xml:space="preserve"> Overall performance is based on the 2 primary indicators: </w:t>
      </w:r>
      <w:r w:rsidRPr="00A80CEC">
        <w:t>Overall performance is based on two primary indicators: % of requests completed within 30 days, % of requests that were fully disclosed.</w:t>
      </w:r>
    </w:p>
  </w:footnote>
  <w:footnote w:id="36">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37">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38">
    <w:p w:rsidR="00F257F8" w:rsidRDefault="00F257F8" w:rsidP="000430A4">
      <w:pPr>
        <w:pStyle w:val="FootnoteText"/>
      </w:pPr>
      <w:r>
        <w:rPr>
          <w:rStyle w:val="FootnoteReference"/>
        </w:rPr>
        <w:footnoteRef/>
      </w:r>
      <w:r>
        <w:t xml:space="preserve"> </w:t>
      </w:r>
      <w:r w:rsidRPr="002723D9">
        <w:t>The numbers reported in this section are based on the OIC’s statistics. The information may not reflect the statistics reported by institutions due to the discrepancies in the methodology used.</w:t>
      </w:r>
    </w:p>
  </w:footnote>
  <w:footnote w:id="39">
    <w:p w:rsidR="00F257F8" w:rsidRPr="004369D2" w:rsidRDefault="00F257F8" w:rsidP="000430A4">
      <w:pPr>
        <w:pStyle w:val="FootnoteText"/>
      </w:pPr>
      <w:r>
        <w:rPr>
          <w:rStyle w:val="FootnoteReference"/>
        </w:rPr>
        <w:footnoteRef/>
      </w:r>
      <w:r>
        <w:t xml:space="preserve"> </w:t>
      </w:r>
      <w:r w:rsidRPr="00316794">
        <w:t>Overall performance is based on two primary indicators: % of requests completed within 30 days, % of requests that were fully disclosed.</w:t>
      </w:r>
    </w:p>
  </w:footnote>
  <w:footnote w:id="40">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41">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42">
    <w:p w:rsidR="00F257F8" w:rsidRDefault="00F257F8" w:rsidP="000430A4">
      <w:pPr>
        <w:pStyle w:val="FootnoteText"/>
      </w:pPr>
      <w:r>
        <w:rPr>
          <w:rStyle w:val="FootnoteReference"/>
        </w:rPr>
        <w:footnoteRef/>
      </w:r>
      <w:r>
        <w:t xml:space="preserve"> </w:t>
      </w:r>
      <w:r w:rsidRPr="002723D9">
        <w:t>The numbers reported in this section are based on the OIC’s statistics. The information may not reflect the statistics reported by institutions due to the discrepancies in the methodology used.</w:t>
      </w:r>
    </w:p>
  </w:footnote>
  <w:footnote w:id="43">
    <w:p w:rsidR="00F257F8" w:rsidRPr="00040C2C"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44">
    <w:p w:rsidR="00F257F8" w:rsidRDefault="00F257F8" w:rsidP="000430A4">
      <w:pPr>
        <w:pStyle w:val="FootnoteText"/>
      </w:pPr>
      <w:r>
        <w:rPr>
          <w:rStyle w:val="FootnoteReference"/>
        </w:rPr>
        <w:footnoteRef/>
      </w:r>
      <w:r>
        <w:t xml:space="preserve"> A review of completed ATI requests available online shows that a large amount of requests were related to events and circumstances surrounding the construction of the new Champlain Bridge.</w:t>
      </w:r>
    </w:p>
  </w:footnote>
  <w:footnote w:id="45">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46">
    <w:p w:rsidR="00F257F8" w:rsidRDefault="00F257F8" w:rsidP="000430A4">
      <w:pPr>
        <w:pStyle w:val="FootnoteText"/>
      </w:pPr>
      <w:r>
        <w:rPr>
          <w:rStyle w:val="FootnoteReference"/>
        </w:rPr>
        <w:footnoteRef/>
      </w:r>
      <w:r>
        <w:t xml:space="preserve"> The indicator “Lateness of Overdue Requests” is not being measured for institutions with less than 15 late requests.</w:t>
      </w:r>
    </w:p>
  </w:footnote>
  <w:footnote w:id="47">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48">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49">
    <w:p w:rsidR="00F257F8" w:rsidRPr="00FE5285" w:rsidRDefault="00F257F8" w:rsidP="000430A4">
      <w:pPr>
        <w:spacing w:after="0"/>
        <w:rPr>
          <w:sz w:val="20"/>
          <w:szCs w:val="20"/>
        </w:rPr>
      </w:pPr>
      <w:r w:rsidRPr="00FE5285">
        <w:rPr>
          <w:rStyle w:val="FootnoteReference"/>
        </w:rPr>
        <w:footnoteRef/>
      </w:r>
      <w:r w:rsidRPr="00FE5285">
        <w:rPr>
          <w:sz w:val="20"/>
          <w:szCs w:val="20"/>
        </w:rPr>
        <w:t xml:space="preserve"> This report amalgamates the data </w:t>
      </w:r>
      <w:r>
        <w:rPr>
          <w:sz w:val="20"/>
          <w:szCs w:val="20"/>
        </w:rPr>
        <w:t>for the</w:t>
      </w:r>
      <w:r w:rsidRPr="00FE5285">
        <w:rPr>
          <w:sz w:val="20"/>
          <w:szCs w:val="20"/>
        </w:rPr>
        <w:t xml:space="preserve"> Canadian International Development Agency</w:t>
      </w:r>
      <w:r>
        <w:rPr>
          <w:sz w:val="20"/>
          <w:szCs w:val="20"/>
        </w:rPr>
        <w:t xml:space="preserve">, the Department of </w:t>
      </w:r>
      <w:r w:rsidRPr="00FE5285">
        <w:rPr>
          <w:sz w:val="20"/>
          <w:szCs w:val="20"/>
        </w:rPr>
        <w:t>Foreign Affairs and International Trade</w:t>
      </w:r>
      <w:r>
        <w:rPr>
          <w:sz w:val="20"/>
          <w:szCs w:val="20"/>
        </w:rPr>
        <w:t>, and the Department of Foreign Affairs, Trade and Development for 2013-2014.</w:t>
      </w:r>
    </w:p>
  </w:footnote>
  <w:footnote w:id="50">
    <w:p w:rsidR="00F257F8" w:rsidRPr="004433A1"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51">
    <w:p w:rsidR="00F257F8" w:rsidRDefault="00F257F8" w:rsidP="000430A4">
      <w:pPr>
        <w:pStyle w:val="FootnoteText"/>
      </w:pPr>
      <w:r>
        <w:rPr>
          <w:rStyle w:val="FootnoteReference"/>
        </w:rPr>
        <w:footnoteRef/>
      </w:r>
      <w:r>
        <w:t xml:space="preserve"> The title of Foreign Affairs, Trade and Development Canada was changed to Global Affairs Canada </w:t>
      </w:r>
    </w:p>
  </w:footnote>
  <w:footnote w:id="52">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53">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54">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55">
    <w:p w:rsidR="00F257F8" w:rsidRPr="00852C42"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56">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57">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58">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59">
    <w:p w:rsidR="00F257F8" w:rsidRDefault="00F257F8" w:rsidP="000430A4">
      <w:pPr>
        <w:pStyle w:val="FootnoteText"/>
      </w:pPr>
      <w:r>
        <w:rPr>
          <w:rStyle w:val="FootnoteReference"/>
        </w:rPr>
        <w:footnoteRef/>
      </w:r>
      <w:r>
        <w:t xml:space="preserve"> Industry Canada was changed to Innovation, Science and Economic Development.</w:t>
      </w:r>
    </w:p>
  </w:footnote>
  <w:footnote w:id="60">
    <w:p w:rsidR="00F257F8" w:rsidRPr="00C93B7C"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61">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62">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63">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64">
    <w:p w:rsidR="00F257F8" w:rsidRDefault="00F257F8" w:rsidP="000430A4">
      <w:pPr>
        <w:pStyle w:val="FootnoteText"/>
      </w:pPr>
      <w:r>
        <w:rPr>
          <w:rStyle w:val="FootnoteReference"/>
        </w:rPr>
        <w:footnoteRef/>
      </w:r>
      <w:r>
        <w:t xml:space="preserve"> PWGSC was changed to Public Services and Procurement Canada</w:t>
      </w:r>
    </w:p>
  </w:footnote>
  <w:footnote w:id="65">
    <w:p w:rsidR="00F257F8" w:rsidRPr="00446BD8"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66">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67">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68">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69">
    <w:p w:rsidR="00F257F8" w:rsidRPr="00D036B4"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70">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71">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72">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73">
    <w:p w:rsidR="00F257F8" w:rsidRPr="003325CA" w:rsidRDefault="00F257F8" w:rsidP="000430A4">
      <w:pPr>
        <w:pStyle w:val="FootnoteText"/>
      </w:pPr>
      <w:r>
        <w:rPr>
          <w:rStyle w:val="FootnoteReference"/>
        </w:rPr>
        <w:footnoteRef/>
      </w:r>
      <w:r>
        <w:t xml:space="preserve"> </w:t>
      </w:r>
      <w:r w:rsidRPr="00C76D7A">
        <w:t>Overall performance is based on two primary indicators: % of req</w:t>
      </w:r>
      <w:r>
        <w:t xml:space="preserve">uests completed within 30 days and </w:t>
      </w:r>
      <w:r w:rsidRPr="00C76D7A">
        <w:t>% of requests that were fully disclosed.</w:t>
      </w:r>
    </w:p>
  </w:footnote>
  <w:footnote w:id="74">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75">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76">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77">
    <w:p w:rsidR="00F257F8" w:rsidRPr="009F48C0"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78">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79">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80">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81">
    <w:p w:rsidR="00F257F8" w:rsidRPr="00123BD3"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82">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83">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84">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85">
    <w:p w:rsidR="00F257F8" w:rsidRPr="004D730A"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86">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87">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88">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89">
    <w:p w:rsidR="00F257F8" w:rsidRPr="00196B6B"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90">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91">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92">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93">
    <w:p w:rsidR="00F257F8" w:rsidRPr="00BD0447"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94">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95">
    <w:p w:rsidR="00F257F8" w:rsidRDefault="00F257F8" w:rsidP="000430A4">
      <w:pPr>
        <w:pStyle w:val="FootnoteText"/>
      </w:pPr>
      <w:r>
        <w:rPr>
          <w:rStyle w:val="FootnoteReference"/>
        </w:rPr>
        <w:footnoteRef/>
      </w:r>
      <w:r>
        <w:t xml:space="preserve"> The indicator “Lateness of Overdue Requests” is not being measured for institutions with less than 15 late requests.</w:t>
      </w:r>
    </w:p>
  </w:footnote>
  <w:footnote w:id="96">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97">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98">
    <w:p w:rsidR="00F257F8" w:rsidRPr="00C4508D"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99">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w:t>
      </w:r>
    </w:p>
  </w:footnote>
  <w:footnote w:id="100">
    <w:p w:rsidR="00F257F8" w:rsidRDefault="00F257F8" w:rsidP="000430A4">
      <w:pPr>
        <w:pStyle w:val="CommentText"/>
      </w:pPr>
      <w:r>
        <w:rPr>
          <w:rStyle w:val="FootnoteReference"/>
        </w:rPr>
        <w:footnoteRef/>
      </w:r>
      <w:r>
        <w:t xml:space="preserve"> In its report on the </w:t>
      </w:r>
      <w:r w:rsidRPr="00B27DE0">
        <w:rPr>
          <w:i/>
        </w:rPr>
        <w:t>Access to Information Act</w:t>
      </w:r>
      <w:r>
        <w:t xml:space="preserve">, CPC wrote 19 informal requests. Its </w:t>
      </w:r>
      <w:proofErr w:type="spellStart"/>
      <w:r>
        <w:t>infosource</w:t>
      </w:r>
      <w:proofErr w:type="spellEnd"/>
      <w:r>
        <w:t xml:space="preserve"> statistical statistics mentions 14.  </w:t>
      </w:r>
    </w:p>
    <w:p w:rsidR="00F257F8" w:rsidRPr="00084E4A" w:rsidRDefault="00F257F8" w:rsidP="000430A4">
      <w:pPr>
        <w:pStyle w:val="FootnoteText"/>
      </w:pPr>
    </w:p>
  </w:footnote>
  <w:footnote w:id="101">
    <w:p w:rsidR="00F257F8" w:rsidRDefault="00F257F8" w:rsidP="000430A4">
      <w:pPr>
        <w:pStyle w:val="FootnoteText"/>
      </w:pPr>
      <w:r>
        <w:rPr>
          <w:rStyle w:val="FootnoteReference"/>
        </w:rPr>
        <w:footnoteRef/>
      </w:r>
      <w:r>
        <w:t xml:space="preserve"> The indicator “Lateness of Overdue Requests” is not being measured for institutions with less than 15 late requests.</w:t>
      </w:r>
    </w:p>
  </w:footnote>
  <w:footnote w:id="102">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103">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104">
    <w:p w:rsidR="00F257F8" w:rsidRPr="00DD577C"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105">
    <w:p w:rsidR="00F257F8" w:rsidRDefault="00F257F8" w:rsidP="000430A4">
      <w:pPr>
        <w:pStyle w:val="NoSpacing"/>
      </w:pPr>
      <w:r>
        <w:rPr>
          <w:rStyle w:val="FootnoteReference"/>
        </w:rPr>
        <w:footnoteRef/>
      </w:r>
      <w:r>
        <w:t xml:space="preserve"> </w:t>
      </w:r>
      <w:r w:rsidRPr="00C24EB9">
        <w:rPr>
          <w:sz w:val="20"/>
        </w:rPr>
        <w:t>In 2014-2015, the TBS introduced “informal requests” as a separate category for reporting. Before 2014-2015, informal reque</w:t>
      </w:r>
      <w:r>
        <w:rPr>
          <w:sz w:val="20"/>
        </w:rPr>
        <w:t>sts received and completed by CSIS</w:t>
      </w:r>
      <w:r w:rsidRPr="00C24EB9">
        <w:rPr>
          <w:sz w:val="20"/>
        </w:rPr>
        <w:t xml:space="preserve"> were included in the statistical reporting. With the new changes, the informal requests are now separated from the formal request, which makes the comparison with previous years difficult. Therefore, the following analysis should be used with precaution.</w:t>
      </w:r>
    </w:p>
  </w:footnote>
  <w:footnote w:id="106">
    <w:p w:rsidR="00F257F8" w:rsidRPr="001435F8" w:rsidRDefault="00F257F8" w:rsidP="000430A4">
      <w:pPr>
        <w:pStyle w:val="FootnoteText"/>
      </w:pPr>
      <w:r>
        <w:rPr>
          <w:rStyle w:val="FootnoteReference"/>
        </w:rPr>
        <w:footnoteRef/>
      </w:r>
      <w:r>
        <w:t xml:space="preserve"> The last reporting period’s spike in requests was attributed to a large volume of informal requests for previously released ATI requests that were included in the requests treated formally.</w:t>
      </w:r>
    </w:p>
  </w:footnote>
  <w:footnote w:id="107">
    <w:p w:rsidR="00F257F8" w:rsidRDefault="00F257F8" w:rsidP="000430A4">
      <w:pPr>
        <w:pStyle w:val="FootnoteText"/>
      </w:pPr>
      <w:r>
        <w:rPr>
          <w:rStyle w:val="FootnoteReference"/>
        </w:rPr>
        <w:footnoteRef/>
      </w:r>
      <w:r>
        <w:t xml:space="preserve"> The completion rate was calculated using the number of received requests during the reporting period as well as outstanding requests from the previous period. The completion rate differs from the one reported by CSIS due to difference in the methodology.</w:t>
      </w:r>
    </w:p>
  </w:footnote>
  <w:footnote w:id="108">
    <w:p w:rsidR="00F257F8" w:rsidRDefault="00F257F8" w:rsidP="000430A4">
      <w:pPr>
        <w:pStyle w:val="FootnoteText"/>
      </w:pPr>
      <w:r>
        <w:rPr>
          <w:rStyle w:val="FootnoteReference"/>
        </w:rPr>
        <w:footnoteRef/>
      </w:r>
      <w:r>
        <w:t xml:space="preserve"> The indicator “Lateness of Overdue Requests” is not being measured for institutions with less than 15 late requests.</w:t>
      </w:r>
    </w:p>
  </w:footnote>
  <w:footnote w:id="109">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 w:id="110">
    <w:p w:rsidR="00F257F8" w:rsidRDefault="00F257F8" w:rsidP="000430A4">
      <w:pPr>
        <w:pStyle w:val="FootnoteText"/>
      </w:pPr>
      <w:r>
        <w:rPr>
          <w:rStyle w:val="FootnoteReference"/>
        </w:rPr>
        <w:footnoteRef/>
      </w:r>
      <w:r>
        <w:t xml:space="preserve"> The numbers reported in this section are based on the OIC’s statistics. The information may not reflect the statistics reported by institutions due to the discrepancies in the methodology used.</w:t>
      </w:r>
    </w:p>
  </w:footnote>
  <w:footnote w:id="111">
    <w:p w:rsidR="00F257F8" w:rsidRPr="00415656" w:rsidRDefault="00F257F8" w:rsidP="000430A4">
      <w:pPr>
        <w:pStyle w:val="FootnoteText"/>
      </w:pPr>
      <w:r>
        <w:rPr>
          <w:rStyle w:val="FootnoteReference"/>
        </w:rPr>
        <w:footnoteRef/>
      </w:r>
      <w:r>
        <w:t xml:space="preserve"> </w:t>
      </w:r>
      <w:r w:rsidRPr="00C76D7A">
        <w:t>Overall performance is based on two primary indicators: % of requests completed within 30 days, % of requests that were fully disclosed.</w:t>
      </w:r>
    </w:p>
  </w:footnote>
  <w:footnote w:id="112">
    <w:p w:rsidR="00F257F8" w:rsidRDefault="00F257F8" w:rsidP="000430A4">
      <w:pPr>
        <w:pStyle w:val="NoSpacing"/>
      </w:pPr>
      <w:r>
        <w:rPr>
          <w:rStyle w:val="FootnoteReference"/>
        </w:rPr>
        <w:footnoteRef/>
      </w:r>
      <w:r>
        <w:t xml:space="preserve"> </w:t>
      </w:r>
      <w:r w:rsidRPr="00C24EB9">
        <w:rPr>
          <w:sz w:val="20"/>
        </w:rPr>
        <w:t>In 2014-2015, the TBS introduced “informal requests” as a separate category for reporting. Before 2014-2015, informal requests received and completed by PS were included in the statistical reporting. With the new changes, the informal requests are now separated from the formal request, which makes the comparison with previous years difficult. Therefore, the following analysis should be used with precaution.</w:t>
      </w:r>
    </w:p>
  </w:footnote>
  <w:footnote w:id="113">
    <w:p w:rsidR="00F257F8" w:rsidRDefault="00F257F8" w:rsidP="000430A4">
      <w:pPr>
        <w:pStyle w:val="FootnoteText"/>
      </w:pPr>
      <w:r>
        <w:rPr>
          <w:rStyle w:val="FootnoteReference"/>
        </w:rPr>
        <w:footnoteRef/>
      </w:r>
      <w:r>
        <w:t xml:space="preserve"> The overall completion rate was calculated using the number of received requests during the reporting period as well as outstanding requests from the previous period. This number does not include informal requests.</w:t>
      </w:r>
    </w:p>
  </w:footnote>
  <w:footnote w:id="114">
    <w:p w:rsidR="00F257F8" w:rsidRDefault="00F257F8" w:rsidP="000430A4">
      <w:pPr>
        <w:pStyle w:val="FootnoteText"/>
      </w:pPr>
      <w:r>
        <w:rPr>
          <w:rStyle w:val="FootnoteReference"/>
        </w:rPr>
        <w:footnoteRef/>
      </w:r>
      <w:r>
        <w:t xml:space="preserve"> When including the informal requests, the proportion of requests completed within 30 days in 2014-2015 is 73.9%, which represents an increase of 5.4% compared to the proportion in 2013-2014. </w:t>
      </w:r>
    </w:p>
  </w:footnote>
  <w:footnote w:id="115">
    <w:p w:rsidR="00F257F8" w:rsidRDefault="00F257F8" w:rsidP="000430A4">
      <w:pPr>
        <w:pStyle w:val="FootnoteText"/>
      </w:pPr>
      <w:r>
        <w:rPr>
          <w:rStyle w:val="FootnoteReference"/>
        </w:rPr>
        <w:footnoteRef/>
      </w:r>
      <w:r>
        <w:t xml:space="preserve"> The indicator “Lateness of Overdue Requests” is not being measured for institutions with less than 15 late requests.</w:t>
      </w:r>
    </w:p>
  </w:footnote>
  <w:footnote w:id="116">
    <w:p w:rsidR="00F257F8" w:rsidRDefault="00F257F8" w:rsidP="000430A4">
      <w:pPr>
        <w:pStyle w:val="FootnoteText"/>
        <w:contextualSpacing/>
      </w:pPr>
      <w:r>
        <w:rPr>
          <w:rStyle w:val="FootnoteReference"/>
        </w:rPr>
        <w:footnoteRef/>
      </w:r>
      <w:r>
        <w:t xml:space="preserve"> The 2007-2008 OIC report card grading system was used to estimate the grade A= 0 to 5%; B= 5 to 10%; C=10 to 15%, D= 15 to 20%, F=20% and more.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7F8" w:rsidRPr="002F32F0" w:rsidRDefault="00F257F8">
    <w:pPr>
      <w:pStyle w:val="Header"/>
      <w:rPr>
        <w:b/>
      </w:rPr>
    </w:pPr>
    <w:r w:rsidRPr="002F32F0">
      <w:rPr>
        <w:b/>
      </w:rPr>
      <w:t xml:space="preserve">Office of the Information Commissioner                                    </w:t>
    </w:r>
    <w:r>
      <w:rPr>
        <w:b/>
      </w:rPr>
      <w:t xml:space="preserve"> </w:t>
    </w:r>
    <w:r w:rsidRPr="002F32F0">
      <w:rPr>
        <w:b/>
      </w:rPr>
      <w:t xml:space="preserve">                 St</w:t>
    </w:r>
    <w:r>
      <w:rPr>
        <w:b/>
      </w:rPr>
      <w:t>atistical Analysis of I</w:t>
    </w:r>
    <w:r w:rsidRPr="002F32F0">
      <w:rPr>
        <w:b/>
      </w:rPr>
      <w:t>nstitutions</w:t>
    </w:r>
  </w:p>
  <w:p w:rsidR="00F257F8" w:rsidRPr="002F32F0" w:rsidRDefault="00F257F8">
    <w:pPr>
      <w:pStyle w:val="Header"/>
      <w:rPr>
        <w:b/>
      </w:rPr>
    </w:pPr>
    <w:r w:rsidRPr="002F32F0">
      <w:rPr>
        <w:b/>
      </w:rPr>
      <w:t xml:space="preserve">                                                                                                                                                                        2014-2015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useFELayout/>
  </w:compat>
  <w:rsids>
    <w:rsidRoot w:val="000430A4"/>
    <w:rsid w:val="000430A4"/>
    <w:rsid w:val="0005646E"/>
    <w:rsid w:val="000A6BE0"/>
    <w:rsid w:val="001B352D"/>
    <w:rsid w:val="002F32F0"/>
    <w:rsid w:val="00620117"/>
    <w:rsid w:val="006977E8"/>
    <w:rsid w:val="0088210A"/>
    <w:rsid w:val="008D1C4C"/>
    <w:rsid w:val="00966569"/>
    <w:rsid w:val="00BE49B4"/>
    <w:rsid w:val="00F257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2D"/>
  </w:style>
  <w:style w:type="paragraph" w:styleId="Heading1">
    <w:name w:val="heading 1"/>
    <w:basedOn w:val="Normal"/>
    <w:next w:val="Normal"/>
    <w:link w:val="Heading1Char"/>
    <w:uiPriority w:val="9"/>
    <w:qFormat/>
    <w:rsid w:val="000430A4"/>
    <w:pPr>
      <w:outlineLvl w:val="0"/>
    </w:pPr>
    <w:rPr>
      <w:b/>
      <w:sz w:val="24"/>
      <w:szCs w:val="24"/>
    </w:rPr>
  </w:style>
  <w:style w:type="paragraph" w:styleId="Heading2">
    <w:name w:val="heading 2"/>
    <w:basedOn w:val="Normal"/>
    <w:next w:val="Normal"/>
    <w:link w:val="Heading2Char"/>
    <w:uiPriority w:val="9"/>
    <w:unhideWhenUsed/>
    <w:qFormat/>
    <w:rsid w:val="000430A4"/>
    <w:pPr>
      <w:jc w:val="both"/>
      <w:outlineLvl w:val="1"/>
    </w:pPr>
    <w:rPr>
      <w:b/>
    </w:rPr>
  </w:style>
  <w:style w:type="paragraph" w:styleId="Heading3">
    <w:name w:val="heading 3"/>
    <w:basedOn w:val="NoSpacing"/>
    <w:next w:val="Normal"/>
    <w:link w:val="Heading3Char"/>
    <w:uiPriority w:val="9"/>
    <w:unhideWhenUsed/>
    <w:qFormat/>
    <w:rsid w:val="000430A4"/>
    <w:pPr>
      <w:outlineLvl w:val="2"/>
    </w:pPr>
    <w:rPr>
      <w:b/>
    </w:rPr>
  </w:style>
  <w:style w:type="paragraph" w:styleId="Heading4">
    <w:name w:val="heading 4"/>
    <w:basedOn w:val="ListParagraph"/>
    <w:next w:val="Normal"/>
    <w:link w:val="Heading4Char"/>
    <w:uiPriority w:val="9"/>
    <w:unhideWhenUsed/>
    <w:qFormat/>
    <w:rsid w:val="000430A4"/>
    <w:pPr>
      <w:ind w:left="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0A4"/>
    <w:rPr>
      <w:rFonts w:eastAsiaTheme="minorEastAsia"/>
      <w:b/>
      <w:sz w:val="24"/>
      <w:szCs w:val="24"/>
      <w:lang w:eastAsia="en-CA"/>
    </w:rPr>
  </w:style>
  <w:style w:type="character" w:customStyle="1" w:styleId="Heading2Char">
    <w:name w:val="Heading 2 Char"/>
    <w:basedOn w:val="DefaultParagraphFont"/>
    <w:link w:val="Heading2"/>
    <w:uiPriority w:val="9"/>
    <w:rsid w:val="000430A4"/>
    <w:rPr>
      <w:rFonts w:eastAsiaTheme="minorEastAsia"/>
      <w:b/>
      <w:lang w:eastAsia="en-CA"/>
    </w:rPr>
  </w:style>
  <w:style w:type="character" w:customStyle="1" w:styleId="Heading3Char">
    <w:name w:val="Heading 3 Char"/>
    <w:basedOn w:val="DefaultParagraphFont"/>
    <w:link w:val="Heading3"/>
    <w:uiPriority w:val="9"/>
    <w:rsid w:val="000430A4"/>
    <w:rPr>
      <w:rFonts w:eastAsiaTheme="minorEastAsia"/>
      <w:b/>
      <w:lang w:eastAsia="en-CA"/>
    </w:rPr>
  </w:style>
  <w:style w:type="character" w:customStyle="1" w:styleId="Heading4Char">
    <w:name w:val="Heading 4 Char"/>
    <w:basedOn w:val="DefaultParagraphFont"/>
    <w:link w:val="Heading4"/>
    <w:uiPriority w:val="9"/>
    <w:rsid w:val="000430A4"/>
    <w:rPr>
      <w:rFonts w:eastAsiaTheme="minorEastAsia"/>
      <w:lang w:eastAsia="en-CA"/>
    </w:rPr>
  </w:style>
  <w:style w:type="paragraph" w:styleId="Footer">
    <w:name w:val="footer"/>
    <w:basedOn w:val="Normal"/>
    <w:link w:val="FooterChar"/>
    <w:uiPriority w:val="99"/>
    <w:unhideWhenUsed/>
    <w:rsid w:val="00043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0A4"/>
    <w:rPr>
      <w:rFonts w:eastAsiaTheme="minorEastAsia"/>
      <w:lang w:eastAsia="en-CA"/>
    </w:rPr>
  </w:style>
  <w:style w:type="paragraph" w:styleId="FootnoteText">
    <w:name w:val="footnote text"/>
    <w:basedOn w:val="Normal"/>
    <w:link w:val="FootnoteTextChar"/>
    <w:uiPriority w:val="99"/>
    <w:unhideWhenUsed/>
    <w:rsid w:val="000430A4"/>
    <w:pPr>
      <w:spacing w:after="0" w:line="240" w:lineRule="auto"/>
    </w:pPr>
    <w:rPr>
      <w:sz w:val="20"/>
      <w:szCs w:val="20"/>
    </w:rPr>
  </w:style>
  <w:style w:type="character" w:customStyle="1" w:styleId="FootnoteTextChar">
    <w:name w:val="Footnote Text Char"/>
    <w:basedOn w:val="DefaultParagraphFont"/>
    <w:link w:val="FootnoteText"/>
    <w:uiPriority w:val="99"/>
    <w:rsid w:val="000430A4"/>
    <w:rPr>
      <w:rFonts w:eastAsiaTheme="minorEastAsia"/>
      <w:sz w:val="20"/>
      <w:szCs w:val="20"/>
      <w:lang w:eastAsia="en-CA"/>
    </w:rPr>
  </w:style>
  <w:style w:type="character" w:styleId="FootnoteReference">
    <w:name w:val="footnote reference"/>
    <w:basedOn w:val="DefaultParagraphFont"/>
    <w:uiPriority w:val="99"/>
    <w:semiHidden/>
    <w:unhideWhenUsed/>
    <w:rsid w:val="000430A4"/>
    <w:rPr>
      <w:vertAlign w:val="superscript"/>
    </w:rPr>
  </w:style>
  <w:style w:type="paragraph" w:styleId="NoSpacing">
    <w:name w:val="No Spacing"/>
    <w:uiPriority w:val="1"/>
    <w:qFormat/>
    <w:rsid w:val="000430A4"/>
    <w:pPr>
      <w:spacing w:after="0" w:line="240" w:lineRule="auto"/>
    </w:pPr>
  </w:style>
  <w:style w:type="paragraph" w:styleId="ListParagraph">
    <w:name w:val="List Paragraph"/>
    <w:basedOn w:val="Normal"/>
    <w:uiPriority w:val="34"/>
    <w:qFormat/>
    <w:rsid w:val="000430A4"/>
    <w:pPr>
      <w:ind w:left="720"/>
      <w:contextualSpacing/>
    </w:pPr>
  </w:style>
  <w:style w:type="paragraph" w:styleId="BalloonText">
    <w:name w:val="Balloon Text"/>
    <w:basedOn w:val="Normal"/>
    <w:link w:val="BalloonTextChar"/>
    <w:uiPriority w:val="99"/>
    <w:semiHidden/>
    <w:unhideWhenUsed/>
    <w:rsid w:val="0004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A4"/>
    <w:rPr>
      <w:rFonts w:ascii="Tahoma" w:eastAsiaTheme="minorEastAsia" w:hAnsi="Tahoma" w:cs="Tahoma"/>
      <w:sz w:val="16"/>
      <w:szCs w:val="16"/>
      <w:lang w:eastAsia="en-CA"/>
    </w:rPr>
  </w:style>
  <w:style w:type="table" w:styleId="LightShading-Accent1">
    <w:name w:val="Light Shading Accent 1"/>
    <w:basedOn w:val="TableNormal"/>
    <w:uiPriority w:val="60"/>
    <w:rsid w:val="000430A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Text">
    <w:name w:val="annotation text"/>
    <w:basedOn w:val="Normal"/>
    <w:link w:val="CommentTextChar"/>
    <w:uiPriority w:val="99"/>
    <w:semiHidden/>
    <w:unhideWhenUsed/>
    <w:rsid w:val="000430A4"/>
    <w:pPr>
      <w:spacing w:line="240" w:lineRule="auto"/>
    </w:pPr>
    <w:rPr>
      <w:sz w:val="20"/>
      <w:szCs w:val="20"/>
    </w:rPr>
  </w:style>
  <w:style w:type="character" w:customStyle="1" w:styleId="CommentTextChar">
    <w:name w:val="Comment Text Char"/>
    <w:basedOn w:val="DefaultParagraphFont"/>
    <w:link w:val="CommentText"/>
    <w:uiPriority w:val="99"/>
    <w:semiHidden/>
    <w:rsid w:val="000430A4"/>
    <w:rPr>
      <w:rFonts w:eastAsiaTheme="minorEastAsia"/>
      <w:sz w:val="20"/>
      <w:szCs w:val="20"/>
      <w:lang w:eastAsia="en-CA"/>
    </w:rPr>
  </w:style>
  <w:style w:type="paragraph" w:styleId="Header">
    <w:name w:val="header"/>
    <w:basedOn w:val="Normal"/>
    <w:link w:val="HeaderChar"/>
    <w:uiPriority w:val="99"/>
    <w:unhideWhenUsed/>
    <w:rsid w:val="002F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430A4"/>
    <w:pPr>
      <w:outlineLvl w:val="0"/>
    </w:pPr>
    <w:rPr>
      <w:b/>
      <w:sz w:val="24"/>
      <w:szCs w:val="24"/>
    </w:rPr>
  </w:style>
  <w:style w:type="paragraph" w:styleId="Titre2">
    <w:name w:val="heading 2"/>
    <w:basedOn w:val="Normal"/>
    <w:next w:val="Normal"/>
    <w:link w:val="Titre2Car"/>
    <w:uiPriority w:val="9"/>
    <w:unhideWhenUsed/>
    <w:qFormat/>
    <w:rsid w:val="000430A4"/>
    <w:pPr>
      <w:jc w:val="both"/>
      <w:outlineLvl w:val="1"/>
    </w:pPr>
    <w:rPr>
      <w:b/>
    </w:rPr>
  </w:style>
  <w:style w:type="paragraph" w:styleId="Titre3">
    <w:name w:val="heading 3"/>
    <w:basedOn w:val="Sansinterligne"/>
    <w:next w:val="Normal"/>
    <w:link w:val="Titre3Car"/>
    <w:uiPriority w:val="9"/>
    <w:unhideWhenUsed/>
    <w:qFormat/>
    <w:rsid w:val="000430A4"/>
    <w:pPr>
      <w:outlineLvl w:val="2"/>
    </w:pPr>
    <w:rPr>
      <w:b/>
    </w:rPr>
  </w:style>
  <w:style w:type="paragraph" w:styleId="Titre4">
    <w:name w:val="heading 4"/>
    <w:basedOn w:val="Paragraphedeliste"/>
    <w:next w:val="Normal"/>
    <w:link w:val="Titre4Car"/>
    <w:uiPriority w:val="9"/>
    <w:unhideWhenUsed/>
    <w:qFormat/>
    <w:rsid w:val="000430A4"/>
    <w:pPr>
      <w:ind w:left="0"/>
      <w:jc w:val="both"/>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30A4"/>
    <w:rPr>
      <w:rFonts w:eastAsiaTheme="minorEastAsia"/>
      <w:b/>
      <w:sz w:val="24"/>
      <w:szCs w:val="24"/>
      <w:lang w:eastAsia="en-CA"/>
    </w:rPr>
  </w:style>
  <w:style w:type="character" w:customStyle="1" w:styleId="Titre2Car">
    <w:name w:val="Titre 2 Car"/>
    <w:basedOn w:val="Policepardfaut"/>
    <w:link w:val="Titre2"/>
    <w:uiPriority w:val="9"/>
    <w:rsid w:val="000430A4"/>
    <w:rPr>
      <w:rFonts w:eastAsiaTheme="minorEastAsia"/>
      <w:b/>
      <w:lang w:eastAsia="en-CA"/>
    </w:rPr>
  </w:style>
  <w:style w:type="character" w:customStyle="1" w:styleId="Titre3Car">
    <w:name w:val="Titre 3 Car"/>
    <w:basedOn w:val="Policepardfaut"/>
    <w:link w:val="Titre3"/>
    <w:uiPriority w:val="9"/>
    <w:rsid w:val="000430A4"/>
    <w:rPr>
      <w:rFonts w:eastAsiaTheme="minorEastAsia"/>
      <w:b/>
      <w:lang w:eastAsia="en-CA"/>
    </w:rPr>
  </w:style>
  <w:style w:type="character" w:customStyle="1" w:styleId="Titre4Car">
    <w:name w:val="Titre 4 Car"/>
    <w:basedOn w:val="Policepardfaut"/>
    <w:link w:val="Titre4"/>
    <w:uiPriority w:val="9"/>
    <w:rsid w:val="000430A4"/>
    <w:rPr>
      <w:rFonts w:eastAsiaTheme="minorEastAsia"/>
      <w:lang w:eastAsia="en-CA"/>
    </w:rPr>
  </w:style>
  <w:style w:type="paragraph" w:styleId="Pieddepage">
    <w:name w:val="footer"/>
    <w:basedOn w:val="Normal"/>
    <w:link w:val="PieddepageCar"/>
    <w:uiPriority w:val="99"/>
    <w:unhideWhenUsed/>
    <w:rsid w:val="000430A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430A4"/>
    <w:rPr>
      <w:rFonts w:eastAsiaTheme="minorEastAsia"/>
      <w:lang w:eastAsia="en-CA"/>
    </w:rPr>
  </w:style>
  <w:style w:type="paragraph" w:styleId="Notedebasdepage">
    <w:name w:val="footnote text"/>
    <w:basedOn w:val="Normal"/>
    <w:link w:val="NotedebasdepageCar"/>
    <w:uiPriority w:val="99"/>
    <w:unhideWhenUsed/>
    <w:rsid w:val="000430A4"/>
    <w:pPr>
      <w:spacing w:after="0" w:line="240" w:lineRule="auto"/>
    </w:pPr>
    <w:rPr>
      <w:sz w:val="20"/>
      <w:szCs w:val="20"/>
    </w:rPr>
  </w:style>
  <w:style w:type="character" w:customStyle="1" w:styleId="NotedebasdepageCar">
    <w:name w:val="Note de bas de page Car"/>
    <w:basedOn w:val="Policepardfaut"/>
    <w:link w:val="Notedebasdepage"/>
    <w:uiPriority w:val="99"/>
    <w:rsid w:val="000430A4"/>
    <w:rPr>
      <w:rFonts w:eastAsiaTheme="minorEastAsia"/>
      <w:sz w:val="20"/>
      <w:szCs w:val="20"/>
      <w:lang w:eastAsia="en-CA"/>
    </w:rPr>
  </w:style>
  <w:style w:type="character" w:styleId="Appelnotedebasdep">
    <w:name w:val="footnote reference"/>
    <w:basedOn w:val="Policepardfaut"/>
    <w:uiPriority w:val="99"/>
    <w:semiHidden/>
    <w:unhideWhenUsed/>
    <w:rsid w:val="000430A4"/>
    <w:rPr>
      <w:vertAlign w:val="superscript"/>
    </w:rPr>
  </w:style>
  <w:style w:type="paragraph" w:styleId="Sansinterligne">
    <w:name w:val="No Spacing"/>
    <w:uiPriority w:val="1"/>
    <w:qFormat/>
    <w:rsid w:val="000430A4"/>
    <w:pPr>
      <w:spacing w:after="0" w:line="240" w:lineRule="auto"/>
    </w:pPr>
  </w:style>
  <w:style w:type="paragraph" w:styleId="Paragraphedeliste">
    <w:name w:val="List Paragraph"/>
    <w:basedOn w:val="Normal"/>
    <w:uiPriority w:val="34"/>
    <w:qFormat/>
    <w:rsid w:val="000430A4"/>
    <w:pPr>
      <w:ind w:left="720"/>
      <w:contextualSpacing/>
    </w:pPr>
  </w:style>
  <w:style w:type="paragraph" w:styleId="Textedebulles">
    <w:name w:val="Balloon Text"/>
    <w:basedOn w:val="Normal"/>
    <w:link w:val="TextedebullesCar"/>
    <w:uiPriority w:val="99"/>
    <w:semiHidden/>
    <w:unhideWhenUsed/>
    <w:rsid w:val="000430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0A4"/>
    <w:rPr>
      <w:rFonts w:ascii="Tahoma" w:eastAsiaTheme="minorEastAsia" w:hAnsi="Tahoma" w:cs="Tahoma"/>
      <w:sz w:val="16"/>
      <w:szCs w:val="16"/>
      <w:lang w:eastAsia="en-CA"/>
    </w:rPr>
  </w:style>
  <w:style w:type="table" w:styleId="Trameclaire-Accent1">
    <w:name w:val="Light Shading Accent 1"/>
    <w:basedOn w:val="TableauNormal"/>
    <w:uiPriority w:val="60"/>
    <w:rsid w:val="000430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aire">
    <w:name w:val="annotation text"/>
    <w:basedOn w:val="Normal"/>
    <w:link w:val="CommentaireCar"/>
    <w:uiPriority w:val="99"/>
    <w:semiHidden/>
    <w:unhideWhenUsed/>
    <w:rsid w:val="000430A4"/>
    <w:pPr>
      <w:spacing w:line="240" w:lineRule="auto"/>
    </w:pPr>
    <w:rPr>
      <w:sz w:val="20"/>
      <w:szCs w:val="20"/>
    </w:rPr>
  </w:style>
  <w:style w:type="character" w:customStyle="1" w:styleId="CommentaireCar">
    <w:name w:val="Commentaire Car"/>
    <w:basedOn w:val="Policepardfaut"/>
    <w:link w:val="Commentaire"/>
    <w:uiPriority w:val="99"/>
    <w:semiHidden/>
    <w:rsid w:val="000430A4"/>
    <w:rPr>
      <w:rFonts w:eastAsiaTheme="minorEastAsia"/>
      <w:sz w:val="20"/>
      <w:szCs w:val="20"/>
      <w:lang w:eastAsia="en-CA"/>
    </w:rPr>
  </w:style>
  <w:style w:type="paragraph" w:styleId="En-tte">
    <w:name w:val="header"/>
    <w:basedOn w:val="Normal"/>
    <w:link w:val="En-tteCar"/>
    <w:uiPriority w:val="99"/>
    <w:unhideWhenUsed/>
    <w:rsid w:val="002F32F0"/>
    <w:pPr>
      <w:tabs>
        <w:tab w:val="center" w:pos="4680"/>
        <w:tab w:val="right" w:pos="9360"/>
      </w:tabs>
      <w:spacing w:after="0" w:line="240" w:lineRule="auto"/>
    </w:pPr>
  </w:style>
  <w:style w:type="character" w:customStyle="1" w:styleId="En-tteCar">
    <w:name w:val="En-tête Car"/>
    <w:basedOn w:val="Policepardfaut"/>
    <w:link w:val="En-tte"/>
    <w:uiPriority w:val="99"/>
    <w:rsid w:val="002F32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0.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84" Type="http://schemas.openxmlformats.org/officeDocument/2006/relationships/chart" Target="charts/chart78.xml"/><Relationship Id="rId89" Type="http://schemas.openxmlformats.org/officeDocument/2006/relationships/chart" Target="charts/chart83.xml"/><Relationship Id="rId97" Type="http://schemas.openxmlformats.org/officeDocument/2006/relationships/chart" Target="charts/chart91.xml"/><Relationship Id="rId7" Type="http://schemas.openxmlformats.org/officeDocument/2006/relationships/chart" Target="charts/chart1.xml"/><Relationship Id="rId71" Type="http://schemas.openxmlformats.org/officeDocument/2006/relationships/chart" Target="charts/chart65.xml"/><Relationship Id="rId92" Type="http://schemas.openxmlformats.org/officeDocument/2006/relationships/chart" Target="charts/chart86.xml"/><Relationship Id="rId2" Type="http://schemas.openxmlformats.org/officeDocument/2006/relationships/styles" Target="styles.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87" Type="http://schemas.openxmlformats.org/officeDocument/2006/relationships/chart" Target="charts/chart81.xml"/><Relationship Id="rId102"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chart" Target="charts/chart55.xml"/><Relationship Id="rId82" Type="http://schemas.openxmlformats.org/officeDocument/2006/relationships/chart" Target="charts/chart76.xml"/><Relationship Id="rId90" Type="http://schemas.openxmlformats.org/officeDocument/2006/relationships/chart" Target="charts/chart84.xml"/><Relationship Id="rId95" Type="http://schemas.openxmlformats.org/officeDocument/2006/relationships/chart" Target="charts/chart89.xml"/><Relationship Id="rId19" Type="http://schemas.openxmlformats.org/officeDocument/2006/relationships/chart" Target="charts/chart1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100" Type="http://schemas.openxmlformats.org/officeDocument/2006/relationships/fontTable" Target="fontTable.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85" Type="http://schemas.openxmlformats.org/officeDocument/2006/relationships/chart" Target="charts/chart79.xml"/><Relationship Id="rId93" Type="http://schemas.openxmlformats.org/officeDocument/2006/relationships/chart" Target="charts/chart87.xm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83" Type="http://schemas.openxmlformats.org/officeDocument/2006/relationships/chart" Target="charts/chart77.xml"/><Relationship Id="rId88" Type="http://schemas.openxmlformats.org/officeDocument/2006/relationships/chart" Target="charts/chart82.xml"/><Relationship Id="rId91" Type="http://schemas.openxmlformats.org/officeDocument/2006/relationships/chart" Target="charts/chart85.xml"/><Relationship Id="rId96" Type="http://schemas.openxmlformats.org/officeDocument/2006/relationships/chart" Target="charts/chart90.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 Id="rId10" Type="http://schemas.openxmlformats.org/officeDocument/2006/relationships/chart" Target="charts/chart4.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chart" Target="charts/chart75.xml"/><Relationship Id="rId86" Type="http://schemas.openxmlformats.org/officeDocument/2006/relationships/chart" Target="charts/chart80.xml"/><Relationship Id="rId94" Type="http://schemas.openxmlformats.org/officeDocument/2006/relationships/chart" Target="charts/chart88.xm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3" Type="http://schemas.openxmlformats.org/officeDocument/2006/relationships/chart" Target="charts/chart7.xml"/><Relationship Id="rId18" Type="http://schemas.openxmlformats.org/officeDocument/2006/relationships/chart" Target="charts/chart12.xml"/><Relationship Id="rId39" Type="http://schemas.openxmlformats.org/officeDocument/2006/relationships/chart" Target="charts/chart3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Kbriere\AppData\Roaming\OpenText\DM\Temp\ACCESS-%23357317-v2-2014-2015_Report_Cards_-_Revised_Graphs_(E&amp;F).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Kbriere\AppData\Roaming\OpenText\DM\Temp\ACCESS-%23357317-v2-2014-2015_Report_Cards_-_Revised_Graphs_(E&amp;F).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Kbriere\AppData\Roaming\OpenText\DM\Temp\ACCESS-%23357317-v2-2014-2015_Report_Cards_-_Revised_Graphs_(E&amp;F).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aphillip\AppData\Roaming\OpenText\DM\Temp\ACCESS-%23357317-v2-2014-2015_Report_Cards_-_Revised_Graphs_(E&amp;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IRCC!$B$2</c:f>
              <c:strCache>
                <c:ptCount val="1"/>
                <c:pt idx="0">
                  <c:v>2012-2013</c:v>
                </c:pt>
              </c:strCache>
            </c:strRef>
          </c:tx>
          <c:spPr>
            <a:solidFill>
              <a:schemeClr val="bg1">
                <a:lumMod val="50000"/>
              </a:schemeClr>
            </a:solidFill>
          </c:spPr>
          <c:cat>
            <c:strRef>
              <c:f>IRCC!$A$3:$A$8</c:f>
              <c:strCache>
                <c:ptCount val="6"/>
                <c:pt idx="0">
                  <c:v>30 days or less</c:v>
                </c:pt>
                <c:pt idx="1">
                  <c:v>31-60 days</c:v>
                </c:pt>
                <c:pt idx="2">
                  <c:v>61-120 days</c:v>
                </c:pt>
                <c:pt idx="3">
                  <c:v>121-180 days</c:v>
                </c:pt>
                <c:pt idx="4">
                  <c:v>181-365 days</c:v>
                </c:pt>
                <c:pt idx="5">
                  <c:v>More than 365 days</c:v>
                </c:pt>
              </c:strCache>
            </c:strRef>
          </c:cat>
          <c:val>
            <c:numRef>
              <c:f>IRCC!$B$3:$B$8</c:f>
              <c:numCache>
                <c:formatCode>0.00%</c:formatCode>
                <c:ptCount val="6"/>
                <c:pt idx="0">
                  <c:v>0.74623366641045363</c:v>
                </c:pt>
                <c:pt idx="1">
                  <c:v>0.19761721752498099</c:v>
                </c:pt>
                <c:pt idx="2">
                  <c:v>4.24673328209072E-2</c:v>
                </c:pt>
                <c:pt idx="3">
                  <c:v>9.0315142198309495E-3</c:v>
                </c:pt>
                <c:pt idx="4">
                  <c:v>4.3043812451959906E-3</c:v>
                </c:pt>
                <c:pt idx="5">
                  <c:v>3.4588777863182245E-4</c:v>
                </c:pt>
              </c:numCache>
            </c:numRef>
          </c:val>
        </c:ser>
        <c:ser>
          <c:idx val="1"/>
          <c:order val="1"/>
          <c:tx>
            <c:strRef>
              <c:f>IRCC!$C$2</c:f>
              <c:strCache>
                <c:ptCount val="1"/>
                <c:pt idx="0">
                  <c:v>2013-2014</c:v>
                </c:pt>
              </c:strCache>
            </c:strRef>
          </c:tx>
          <c:spPr>
            <a:solidFill>
              <a:srgbClr val="FFC000"/>
            </a:solidFill>
          </c:spPr>
          <c:cat>
            <c:strRef>
              <c:f>IRCC!$A$3:$A$8</c:f>
              <c:strCache>
                <c:ptCount val="6"/>
                <c:pt idx="0">
                  <c:v>30 days or less</c:v>
                </c:pt>
                <c:pt idx="1">
                  <c:v>31-60 days</c:v>
                </c:pt>
                <c:pt idx="2">
                  <c:v>61-120 days</c:v>
                </c:pt>
                <c:pt idx="3">
                  <c:v>121-180 days</c:v>
                </c:pt>
                <c:pt idx="4">
                  <c:v>181-365 days</c:v>
                </c:pt>
                <c:pt idx="5">
                  <c:v>More than 365 days</c:v>
                </c:pt>
              </c:strCache>
            </c:strRef>
          </c:cat>
          <c:val>
            <c:numRef>
              <c:f>IRCC!$C$3:$C$8</c:f>
              <c:numCache>
                <c:formatCode>0.00%</c:formatCode>
                <c:ptCount val="6"/>
                <c:pt idx="0">
                  <c:v>0.67198161053745709</c:v>
                </c:pt>
                <c:pt idx="1">
                  <c:v>0.23723866165578136</c:v>
                </c:pt>
                <c:pt idx="2">
                  <c:v>6.3998248622614662E-2</c:v>
                </c:pt>
                <c:pt idx="3">
                  <c:v>1.2478563870543974E-2</c:v>
                </c:pt>
                <c:pt idx="4">
                  <c:v>1.3062356332323865E-2</c:v>
                </c:pt>
                <c:pt idx="5">
                  <c:v>1.2405589812821592E-3</c:v>
                </c:pt>
              </c:numCache>
            </c:numRef>
          </c:val>
        </c:ser>
        <c:ser>
          <c:idx val="2"/>
          <c:order val="2"/>
          <c:tx>
            <c:strRef>
              <c:f>IRCC!$D$2</c:f>
              <c:strCache>
                <c:ptCount val="1"/>
                <c:pt idx="0">
                  <c:v>2014-2015</c:v>
                </c:pt>
              </c:strCache>
            </c:strRef>
          </c:tx>
          <c:spPr>
            <a:solidFill>
              <a:schemeClr val="accent5">
                <a:lumMod val="75000"/>
              </a:schemeClr>
            </a:solidFill>
          </c:spPr>
          <c:cat>
            <c:strRef>
              <c:f>IRCC!$A$3:$A$8</c:f>
              <c:strCache>
                <c:ptCount val="6"/>
                <c:pt idx="0">
                  <c:v>30 days or less</c:v>
                </c:pt>
                <c:pt idx="1">
                  <c:v>31-60 days</c:v>
                </c:pt>
                <c:pt idx="2">
                  <c:v>61-120 days</c:v>
                </c:pt>
                <c:pt idx="3">
                  <c:v>121-180 days</c:v>
                </c:pt>
                <c:pt idx="4">
                  <c:v>181-365 days</c:v>
                </c:pt>
                <c:pt idx="5">
                  <c:v>More than 365 days</c:v>
                </c:pt>
              </c:strCache>
            </c:strRef>
          </c:cat>
          <c:val>
            <c:numRef>
              <c:f>IRCC!$D$3:$D$8</c:f>
              <c:numCache>
                <c:formatCode>0.00%</c:formatCode>
                <c:ptCount val="6"/>
                <c:pt idx="0">
                  <c:v>0.69326452690609752</c:v>
                </c:pt>
                <c:pt idx="1">
                  <c:v>0.24510798234100944</c:v>
                </c:pt>
                <c:pt idx="2">
                  <c:v>3.7346378713757442E-2</c:v>
                </c:pt>
                <c:pt idx="3">
                  <c:v>8.3820546474168214E-3</c:v>
                </c:pt>
                <c:pt idx="4">
                  <c:v>1.0828063476912083E-2</c:v>
                </c:pt>
                <c:pt idx="5">
                  <c:v>5.070993914807329E-3</c:v>
                </c:pt>
              </c:numCache>
            </c:numRef>
          </c:val>
        </c:ser>
        <c:dLbls/>
        <c:axId val="217062400"/>
        <c:axId val="217400064"/>
      </c:barChart>
      <c:catAx>
        <c:axId val="217062400"/>
        <c:scaling>
          <c:orientation val="minMax"/>
        </c:scaling>
        <c:axPos val="b"/>
        <c:numFmt formatCode="General" sourceLinked="0"/>
        <c:tickLblPos val="nextTo"/>
        <c:crossAx val="217400064"/>
        <c:crosses val="autoZero"/>
        <c:auto val="1"/>
        <c:lblAlgn val="ctr"/>
        <c:lblOffset val="100"/>
      </c:catAx>
      <c:valAx>
        <c:axId val="217400064"/>
        <c:scaling>
          <c:orientation val="minMax"/>
        </c:scaling>
        <c:axPos val="l"/>
        <c:majorGridlines/>
        <c:numFmt formatCode="0%" sourceLinked="0"/>
        <c:tickLblPos val="nextTo"/>
        <c:crossAx val="217062400"/>
        <c:crosses val="autoZero"/>
        <c:crossBetween val="between"/>
      </c:valAx>
    </c:plotArea>
    <c:legend>
      <c:legendPos val="b"/>
      <c:layout>
        <c:manualLayout>
          <c:xMode val="edge"/>
          <c:yMode val="edge"/>
          <c:x val="0.24394604443129017"/>
          <c:y val="0.88850503062117858"/>
          <c:w val="0.62476013877860004"/>
          <c:h val="8.3717191601050067E-2"/>
        </c:manualLayout>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RCMP!$B$28</c:f>
              <c:strCache>
                <c:ptCount val="1"/>
                <c:pt idx="0">
                  <c:v>2012-2013</c:v>
                </c:pt>
              </c:strCache>
            </c:strRef>
          </c:tx>
          <c:spPr>
            <a:solidFill>
              <a:schemeClr val="bg1">
                <a:lumMod val="65000"/>
              </a:schemeClr>
            </a:solidFill>
          </c:spPr>
          <c:cat>
            <c:strRef>
              <c:f>RCMP!$A$29:$A$34</c:f>
              <c:strCache>
                <c:ptCount val="6"/>
                <c:pt idx="0">
                  <c:v> 30 days or less</c:v>
                </c:pt>
                <c:pt idx="1">
                  <c:v>31-60 days</c:v>
                </c:pt>
                <c:pt idx="2">
                  <c:v>61-120 days </c:v>
                </c:pt>
                <c:pt idx="3">
                  <c:v>121-180 days </c:v>
                </c:pt>
                <c:pt idx="4">
                  <c:v>181-365 days </c:v>
                </c:pt>
                <c:pt idx="5">
                  <c:v>More than 365 days </c:v>
                </c:pt>
              </c:strCache>
            </c:strRef>
          </c:cat>
          <c:val>
            <c:numRef>
              <c:f>RCMP!$B$29:$B$34</c:f>
              <c:numCache>
                <c:formatCode>0.00%</c:formatCode>
                <c:ptCount val="6"/>
                <c:pt idx="0">
                  <c:v>0.36470588235294243</c:v>
                </c:pt>
                <c:pt idx="1">
                  <c:v>0.14117647058823529</c:v>
                </c:pt>
                <c:pt idx="2">
                  <c:v>0.30588235294117688</c:v>
                </c:pt>
                <c:pt idx="3">
                  <c:v>0.12941176470588239</c:v>
                </c:pt>
                <c:pt idx="4">
                  <c:v>3.5294117647058851E-2</c:v>
                </c:pt>
                <c:pt idx="5">
                  <c:v>2.3529411764705879E-2</c:v>
                </c:pt>
              </c:numCache>
            </c:numRef>
          </c:val>
        </c:ser>
        <c:ser>
          <c:idx val="1"/>
          <c:order val="1"/>
          <c:tx>
            <c:strRef>
              <c:f>RCMP!$C$28</c:f>
              <c:strCache>
                <c:ptCount val="1"/>
                <c:pt idx="0">
                  <c:v>2013-2014</c:v>
                </c:pt>
              </c:strCache>
            </c:strRef>
          </c:tx>
          <c:spPr>
            <a:solidFill>
              <a:srgbClr val="FFC000"/>
            </a:solidFill>
          </c:spPr>
          <c:cat>
            <c:strRef>
              <c:f>RCMP!$A$29:$A$34</c:f>
              <c:strCache>
                <c:ptCount val="6"/>
                <c:pt idx="0">
                  <c:v> 30 days or less</c:v>
                </c:pt>
                <c:pt idx="1">
                  <c:v>31-60 days</c:v>
                </c:pt>
                <c:pt idx="2">
                  <c:v>61-120 days </c:v>
                </c:pt>
                <c:pt idx="3">
                  <c:v>121-180 days </c:v>
                </c:pt>
                <c:pt idx="4">
                  <c:v>181-365 days </c:v>
                </c:pt>
                <c:pt idx="5">
                  <c:v>More than 365 days </c:v>
                </c:pt>
              </c:strCache>
            </c:strRef>
          </c:cat>
          <c:val>
            <c:numRef>
              <c:f>RCMP!$C$29:$C$34</c:f>
              <c:numCache>
                <c:formatCode>0.00%</c:formatCode>
                <c:ptCount val="6"/>
                <c:pt idx="0">
                  <c:v>0.23577235772357719</c:v>
                </c:pt>
                <c:pt idx="1">
                  <c:v>0.31707317073170732</c:v>
                </c:pt>
                <c:pt idx="2">
                  <c:v>0.23577235772357719</c:v>
                </c:pt>
                <c:pt idx="3">
                  <c:v>0.17886178861788621</c:v>
                </c:pt>
                <c:pt idx="4">
                  <c:v>3.2520325203252036E-2</c:v>
                </c:pt>
                <c:pt idx="5">
                  <c:v>0</c:v>
                </c:pt>
              </c:numCache>
            </c:numRef>
          </c:val>
        </c:ser>
        <c:ser>
          <c:idx val="2"/>
          <c:order val="2"/>
          <c:tx>
            <c:strRef>
              <c:f>RCMP!$D$28</c:f>
              <c:strCache>
                <c:ptCount val="1"/>
                <c:pt idx="0">
                  <c:v>2014-2015</c:v>
                </c:pt>
              </c:strCache>
            </c:strRef>
          </c:tx>
          <c:spPr>
            <a:solidFill>
              <a:schemeClr val="accent5">
                <a:lumMod val="75000"/>
              </a:schemeClr>
            </a:solidFill>
          </c:spPr>
          <c:cat>
            <c:strRef>
              <c:f>RCMP!$A$29:$A$34</c:f>
              <c:strCache>
                <c:ptCount val="6"/>
                <c:pt idx="0">
                  <c:v> 30 days or less</c:v>
                </c:pt>
                <c:pt idx="1">
                  <c:v>31-60 days</c:v>
                </c:pt>
                <c:pt idx="2">
                  <c:v>61-120 days </c:v>
                </c:pt>
                <c:pt idx="3">
                  <c:v>121-180 days </c:v>
                </c:pt>
                <c:pt idx="4">
                  <c:v>181-365 days </c:v>
                </c:pt>
                <c:pt idx="5">
                  <c:v>More than 365 days </c:v>
                </c:pt>
              </c:strCache>
            </c:strRef>
          </c:cat>
          <c:val>
            <c:numRef>
              <c:f>RCMP!$D$29:$D$34</c:f>
              <c:numCache>
                <c:formatCode>0.00%</c:formatCode>
                <c:ptCount val="6"/>
                <c:pt idx="0">
                  <c:v>0.32313575525812621</c:v>
                </c:pt>
                <c:pt idx="1">
                  <c:v>0.34416826003824191</c:v>
                </c:pt>
                <c:pt idx="2">
                  <c:v>0.15487571701720843</c:v>
                </c:pt>
                <c:pt idx="3">
                  <c:v>0.14531548757170257</c:v>
                </c:pt>
                <c:pt idx="4">
                  <c:v>2.8680688336520075E-2</c:v>
                </c:pt>
                <c:pt idx="5">
                  <c:v>3.8240917782026954E-3</c:v>
                </c:pt>
              </c:numCache>
            </c:numRef>
          </c:val>
        </c:ser>
        <c:dLbls/>
        <c:axId val="217944064"/>
        <c:axId val="217945600"/>
      </c:barChart>
      <c:catAx>
        <c:axId val="217944064"/>
        <c:scaling>
          <c:orientation val="minMax"/>
        </c:scaling>
        <c:axPos val="b"/>
        <c:numFmt formatCode="General" sourceLinked="0"/>
        <c:tickLblPos val="nextTo"/>
        <c:crossAx val="217945600"/>
        <c:crosses val="autoZero"/>
        <c:auto val="1"/>
        <c:lblAlgn val="ctr"/>
        <c:lblOffset val="100"/>
      </c:catAx>
      <c:valAx>
        <c:axId val="217945600"/>
        <c:scaling>
          <c:orientation val="minMax"/>
        </c:scaling>
        <c:axPos val="l"/>
        <c:majorGridlines/>
        <c:numFmt formatCode="0%" sourceLinked="0"/>
        <c:tickLblPos val="nextTo"/>
        <c:crossAx val="217944064"/>
        <c:crosses val="autoZero"/>
        <c:crossBetween val="between"/>
      </c:valAx>
    </c:plotArea>
    <c:legend>
      <c:legendPos val="b"/>
    </c:legend>
    <c:plotVisOnly val="1"/>
    <c:dispBlanksAs val="gap"/>
  </c:chart>
  <c:txPr>
    <a:bodyPr/>
    <a:lstStyle/>
    <a:p>
      <a:pPr>
        <a:defRPr sz="1100"/>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RCMP!$B$56</c:f>
              <c:strCache>
                <c:ptCount val="1"/>
                <c:pt idx="0">
                  <c:v>2014-2015</c:v>
                </c:pt>
              </c:strCache>
            </c:strRef>
          </c:tx>
          <c:dPt>
            <c:idx val="0"/>
            <c:spPr>
              <a:solidFill>
                <a:schemeClr val="accent5">
                  <a:lumMod val="75000"/>
                </a:schemeClr>
              </a:solidFill>
            </c:spPr>
          </c:dPt>
          <c:dPt>
            <c:idx val="1"/>
            <c:spPr>
              <a:solidFill>
                <a:schemeClr val="bg1">
                  <a:lumMod val="50000"/>
                </a:schemeClr>
              </a:solidFill>
            </c:spPr>
          </c:dPt>
          <c:dPt>
            <c:idx val="2"/>
            <c:spPr>
              <a:solidFill>
                <a:schemeClr val="accent5">
                  <a:lumMod val="60000"/>
                  <a:lumOff val="40000"/>
                </a:schemeClr>
              </a:solidFill>
            </c:spPr>
          </c:dPt>
          <c:dPt>
            <c:idx val="3"/>
            <c:spPr>
              <a:solidFill>
                <a:schemeClr val="accent5">
                  <a:lumMod val="50000"/>
                </a:schemeClr>
              </a:solidFill>
            </c:spPr>
          </c:dPt>
          <c:dPt>
            <c:idx val="4"/>
            <c:spPr>
              <a:solidFill>
                <a:schemeClr val="accent6">
                  <a:lumMod val="50000"/>
                </a:schemeClr>
              </a:solidFill>
            </c:spPr>
          </c:dPt>
          <c:dPt>
            <c:idx val="6"/>
            <c:spPr>
              <a:solidFill>
                <a:schemeClr val="accent3">
                  <a:lumMod val="50000"/>
                </a:schemeClr>
              </a:solidFill>
            </c:spPr>
          </c:dPt>
          <c:dLbls>
            <c:dLbl>
              <c:idx val="0"/>
              <c:layout>
                <c:manualLayout>
                  <c:x val="4.8007509567047697E-2"/>
                  <c:y val="7.7981670177206197E-2"/>
                </c:manualLayout>
              </c:layout>
              <c:showPercent val="1"/>
              <c:extLst>
                <c:ext xmlns:c15="http://schemas.microsoft.com/office/drawing/2012/chart" uri="{CE6537A1-D6FC-4f65-9D91-7224C49458BB}">
                  <c15:layout/>
                </c:ext>
              </c:extLst>
            </c:dLbl>
            <c:dLbl>
              <c:idx val="1"/>
              <c:layout>
                <c:manualLayout>
                  <c:x val="2.4989078330197207E-4"/>
                  <c:y val="-1.0008111563243926E-2"/>
                </c:manualLayout>
              </c:layout>
              <c:showPercent val="1"/>
              <c:extLst>
                <c:ext xmlns:c15="http://schemas.microsoft.com/office/drawing/2012/chart" uri="{CE6537A1-D6FC-4f65-9D91-7224C49458BB}">
                  <c15:layout/>
                </c:ext>
              </c:extLst>
            </c:dLbl>
            <c:dLbl>
              <c:idx val="2"/>
              <c:layout>
                <c:manualLayout>
                  <c:x val="-2.1191948323516716E-2"/>
                  <c:y val="-1.8581702295568687E-3"/>
                </c:manualLayout>
              </c:layout>
              <c:showPercent val="1"/>
              <c:extLst>
                <c:ext xmlns:c15="http://schemas.microsoft.com/office/drawing/2012/chart" uri="{CE6537A1-D6FC-4f65-9D91-7224C49458BB}">
                  <c15:layout/>
                </c:ext>
              </c:extLst>
            </c:dLbl>
            <c:dLbl>
              <c:idx val="3"/>
              <c:layout>
                <c:manualLayout>
                  <c:x val="1.6255558324881101E-2"/>
                  <c:y val="-1.0940736404748005E-2"/>
                </c:manualLayout>
              </c:layout>
              <c:showPercent val="1"/>
              <c:extLst>
                <c:ext xmlns:c15="http://schemas.microsoft.com/office/drawing/2012/chart" uri="{CE6537A1-D6FC-4f65-9D91-7224C49458BB}">
                  <c15:layout/>
                </c:ext>
              </c:extLst>
            </c:dLbl>
            <c:dLbl>
              <c:idx val="4"/>
              <c:layout>
                <c:manualLayout>
                  <c:x val="1.7180014619308848E-2"/>
                  <c:y val="1.8913318799339606E-3"/>
                </c:manualLayout>
              </c:layout>
              <c:showPercent val="1"/>
              <c:extLst>
                <c:ext xmlns:c15="http://schemas.microsoft.com/office/drawing/2012/chart" uri="{CE6537A1-D6FC-4f65-9D91-7224C49458BB}">
                  <c15:layout/>
                </c:ext>
              </c:extLst>
            </c:dLbl>
            <c:dLbl>
              <c:idx val="5"/>
              <c:layout>
                <c:manualLayout>
                  <c:x val="5.4667913297484338E-3"/>
                  <c:y val="4.4142255282855836E-3"/>
                </c:manualLayout>
              </c:layout>
              <c:showPercent val="1"/>
              <c:extLst>
                <c:ext xmlns:c15="http://schemas.microsoft.com/office/drawing/2012/chart" uri="{CE6537A1-D6FC-4f65-9D91-7224C49458BB}">
                  <c15:layout/>
                </c:ext>
              </c:extLst>
            </c:dLbl>
            <c:dLbl>
              <c:idx val="6"/>
              <c:layout>
                <c:manualLayout>
                  <c:x val="4.7148853192096486E-3"/>
                  <c:y val="4.0139755863184703E-2"/>
                </c:manualLayout>
              </c:layout>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RCMP!$A$57:$A$63</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RCMP!$B$57:$B$63</c:f>
              <c:numCache>
                <c:formatCode>General</c:formatCode>
                <c:ptCount val="7"/>
                <c:pt idx="0">
                  <c:v>186</c:v>
                </c:pt>
                <c:pt idx="1">
                  <c:v>104</c:v>
                </c:pt>
                <c:pt idx="2">
                  <c:v>138</c:v>
                </c:pt>
                <c:pt idx="3">
                  <c:v>120</c:v>
                </c:pt>
                <c:pt idx="4">
                  <c:v>69</c:v>
                </c:pt>
                <c:pt idx="5">
                  <c:v>209</c:v>
                </c:pt>
                <c:pt idx="6">
                  <c:v>124</c:v>
                </c:pt>
              </c:numCache>
            </c:numRef>
          </c:val>
        </c:ser>
        <c:dLbls/>
        <c:firstSliceAng val="0"/>
      </c:pieChart>
    </c:plotArea>
    <c:legend>
      <c:legendPos val="r"/>
    </c:legend>
    <c:plotVisOnly val="1"/>
    <c:dispBlanksAs val="zero"/>
  </c:chart>
  <c:txPr>
    <a:bodyPr/>
    <a:lstStyle/>
    <a:p>
      <a:pPr>
        <a:defRPr sz="1100"/>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RCMP!$B$85</c:f>
              <c:strCache>
                <c:ptCount val="1"/>
                <c:pt idx="0">
                  <c:v>2012-2013</c:v>
                </c:pt>
              </c:strCache>
            </c:strRef>
          </c:tx>
          <c:spPr>
            <a:solidFill>
              <a:schemeClr val="bg1">
                <a:lumMod val="65000"/>
              </a:schemeClr>
            </a:solidFill>
          </c:spPr>
          <c:cat>
            <c:strRef>
              <c:f>RCMP!$A$86:$A$87</c:f>
              <c:strCache>
                <c:ptCount val="2"/>
                <c:pt idx="0">
                  <c:v>All disclosed </c:v>
                </c:pt>
                <c:pt idx="1">
                  <c:v>Disclosed in part </c:v>
                </c:pt>
              </c:strCache>
            </c:strRef>
          </c:cat>
          <c:val>
            <c:numRef>
              <c:f>RCMP!$B$86:$B$87</c:f>
              <c:numCache>
                <c:formatCode>0.00%</c:formatCode>
                <c:ptCount val="2"/>
                <c:pt idx="0">
                  <c:v>0.1335372069317024</c:v>
                </c:pt>
                <c:pt idx="1">
                  <c:v>0.39755351681957274</c:v>
                </c:pt>
              </c:numCache>
            </c:numRef>
          </c:val>
        </c:ser>
        <c:ser>
          <c:idx val="1"/>
          <c:order val="1"/>
          <c:tx>
            <c:strRef>
              <c:f>RCMP!$C$85</c:f>
              <c:strCache>
                <c:ptCount val="1"/>
                <c:pt idx="0">
                  <c:v>2013-2014</c:v>
                </c:pt>
              </c:strCache>
            </c:strRef>
          </c:tx>
          <c:spPr>
            <a:solidFill>
              <a:srgbClr val="FFC000"/>
            </a:solidFill>
          </c:spPr>
          <c:cat>
            <c:strRef>
              <c:f>RCMP!$A$86:$A$87</c:f>
              <c:strCache>
                <c:ptCount val="2"/>
                <c:pt idx="0">
                  <c:v>All disclosed </c:v>
                </c:pt>
                <c:pt idx="1">
                  <c:v>Disclosed in part </c:v>
                </c:pt>
              </c:strCache>
            </c:strRef>
          </c:cat>
          <c:val>
            <c:numRef>
              <c:f>RCMP!$C$86:$C$87</c:f>
              <c:numCache>
                <c:formatCode>0.00%</c:formatCode>
                <c:ptCount val="2"/>
                <c:pt idx="0">
                  <c:v>0.12016412661195813</c:v>
                </c:pt>
                <c:pt idx="1">
                  <c:v>0.44783118405627176</c:v>
                </c:pt>
              </c:numCache>
            </c:numRef>
          </c:val>
        </c:ser>
        <c:ser>
          <c:idx val="2"/>
          <c:order val="2"/>
          <c:tx>
            <c:strRef>
              <c:f>RCMP!$D$85</c:f>
              <c:strCache>
                <c:ptCount val="1"/>
                <c:pt idx="0">
                  <c:v>2014-2015</c:v>
                </c:pt>
              </c:strCache>
            </c:strRef>
          </c:tx>
          <c:spPr>
            <a:solidFill>
              <a:schemeClr val="accent5">
                <a:lumMod val="75000"/>
              </a:schemeClr>
            </a:solidFill>
          </c:spPr>
          <c:cat>
            <c:strRef>
              <c:f>RCMP!$A$86:$A$87</c:f>
              <c:strCache>
                <c:ptCount val="2"/>
                <c:pt idx="0">
                  <c:v>All disclosed </c:v>
                </c:pt>
                <c:pt idx="1">
                  <c:v>Disclosed in part </c:v>
                </c:pt>
              </c:strCache>
            </c:strRef>
          </c:cat>
          <c:val>
            <c:numRef>
              <c:f>RCMP!$D$86:$D$87</c:f>
              <c:numCache>
                <c:formatCode>0.00%</c:formatCode>
                <c:ptCount val="2"/>
                <c:pt idx="0">
                  <c:v>9.028605482717518E-2</c:v>
                </c:pt>
                <c:pt idx="1">
                  <c:v>0.48688915375447123</c:v>
                </c:pt>
              </c:numCache>
            </c:numRef>
          </c:val>
        </c:ser>
        <c:dLbls/>
        <c:axId val="242208128"/>
        <c:axId val="242209920"/>
      </c:barChart>
      <c:catAx>
        <c:axId val="242208128"/>
        <c:scaling>
          <c:orientation val="minMax"/>
        </c:scaling>
        <c:axPos val="b"/>
        <c:numFmt formatCode="General" sourceLinked="0"/>
        <c:tickLblPos val="nextTo"/>
        <c:crossAx val="242209920"/>
        <c:crosses val="autoZero"/>
        <c:auto val="1"/>
        <c:lblAlgn val="ctr"/>
        <c:lblOffset val="100"/>
      </c:catAx>
      <c:valAx>
        <c:axId val="242209920"/>
        <c:scaling>
          <c:orientation val="minMax"/>
        </c:scaling>
        <c:axPos val="l"/>
        <c:majorGridlines/>
        <c:numFmt formatCode="0%" sourceLinked="0"/>
        <c:tickLblPos val="nextTo"/>
        <c:crossAx val="242208128"/>
        <c:crosses val="autoZero"/>
        <c:crossBetween val="between"/>
      </c:valAx>
    </c:plotArea>
    <c:legend>
      <c:legendPos val="b"/>
    </c:legend>
    <c:plotVisOnly val="1"/>
    <c:dispBlanksAs val="gap"/>
  </c:chart>
  <c:txPr>
    <a:bodyPr/>
    <a:lstStyle/>
    <a:p>
      <a:pPr>
        <a:defRPr sz="1100"/>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CRA!$B$2</c:f>
              <c:strCache>
                <c:ptCount val="1"/>
                <c:pt idx="0">
                  <c:v>2012-2013</c:v>
                </c:pt>
              </c:strCache>
            </c:strRef>
          </c:tx>
          <c:spPr>
            <a:solidFill>
              <a:schemeClr val="bg1">
                <a:lumMod val="65000"/>
              </a:schemeClr>
            </a:solidFill>
          </c:spPr>
          <c:cat>
            <c:strRef>
              <c:f>CRA!$A$3:$A$8</c:f>
              <c:strCache>
                <c:ptCount val="6"/>
                <c:pt idx="0">
                  <c:v>30 days or less</c:v>
                </c:pt>
                <c:pt idx="1">
                  <c:v>31-60 days</c:v>
                </c:pt>
                <c:pt idx="2">
                  <c:v>61-120 days</c:v>
                </c:pt>
                <c:pt idx="3">
                  <c:v>121-180 days</c:v>
                </c:pt>
                <c:pt idx="4">
                  <c:v>181-365 days</c:v>
                </c:pt>
                <c:pt idx="5">
                  <c:v>More than 365 days</c:v>
                </c:pt>
              </c:strCache>
            </c:strRef>
          </c:cat>
          <c:val>
            <c:numRef>
              <c:f>CRA!$B$3:$B$8</c:f>
              <c:numCache>
                <c:formatCode>0.00%</c:formatCode>
                <c:ptCount val="6"/>
                <c:pt idx="0">
                  <c:v>0.48520000000000002</c:v>
                </c:pt>
                <c:pt idx="1">
                  <c:v>0.2601</c:v>
                </c:pt>
                <c:pt idx="2">
                  <c:v>0.13489999999999999</c:v>
                </c:pt>
                <c:pt idx="3">
                  <c:v>3.9200000000000054E-2</c:v>
                </c:pt>
                <c:pt idx="4">
                  <c:v>3.6700000000000052E-2</c:v>
                </c:pt>
                <c:pt idx="5">
                  <c:v>4.3800000000000033E-2</c:v>
                </c:pt>
              </c:numCache>
            </c:numRef>
          </c:val>
        </c:ser>
        <c:ser>
          <c:idx val="1"/>
          <c:order val="1"/>
          <c:tx>
            <c:strRef>
              <c:f>CRA!$C$2</c:f>
              <c:strCache>
                <c:ptCount val="1"/>
                <c:pt idx="0">
                  <c:v>2013-2014</c:v>
                </c:pt>
              </c:strCache>
            </c:strRef>
          </c:tx>
          <c:spPr>
            <a:solidFill>
              <a:srgbClr val="FFC000"/>
            </a:solidFill>
          </c:spPr>
          <c:cat>
            <c:strRef>
              <c:f>CRA!$A$3:$A$8</c:f>
              <c:strCache>
                <c:ptCount val="6"/>
                <c:pt idx="0">
                  <c:v>30 days or less</c:v>
                </c:pt>
                <c:pt idx="1">
                  <c:v>31-60 days</c:v>
                </c:pt>
                <c:pt idx="2">
                  <c:v>61-120 days</c:v>
                </c:pt>
                <c:pt idx="3">
                  <c:v>121-180 days</c:v>
                </c:pt>
                <c:pt idx="4">
                  <c:v>181-365 days</c:v>
                </c:pt>
                <c:pt idx="5">
                  <c:v>More than 365 days</c:v>
                </c:pt>
              </c:strCache>
            </c:strRef>
          </c:cat>
          <c:val>
            <c:numRef>
              <c:f>CRA!$C$3:$C$8</c:f>
              <c:numCache>
                <c:formatCode>0.00%</c:formatCode>
                <c:ptCount val="6"/>
                <c:pt idx="0">
                  <c:v>0.48050000000000032</c:v>
                </c:pt>
                <c:pt idx="1">
                  <c:v>0.22250000000000014</c:v>
                </c:pt>
                <c:pt idx="2">
                  <c:v>0.20569999999999999</c:v>
                </c:pt>
                <c:pt idx="3">
                  <c:v>4.4000000000000122E-2</c:v>
                </c:pt>
                <c:pt idx="4">
                  <c:v>2.8600000000000032E-2</c:v>
                </c:pt>
                <c:pt idx="5">
                  <c:v>1.8599999999999998E-2</c:v>
                </c:pt>
              </c:numCache>
            </c:numRef>
          </c:val>
        </c:ser>
        <c:ser>
          <c:idx val="2"/>
          <c:order val="2"/>
          <c:tx>
            <c:strRef>
              <c:f>CRA!$D$2</c:f>
              <c:strCache>
                <c:ptCount val="1"/>
                <c:pt idx="0">
                  <c:v>2014-2015</c:v>
                </c:pt>
              </c:strCache>
            </c:strRef>
          </c:tx>
          <c:spPr>
            <a:solidFill>
              <a:schemeClr val="accent5">
                <a:lumMod val="75000"/>
              </a:schemeClr>
            </a:solidFill>
          </c:spPr>
          <c:cat>
            <c:strRef>
              <c:f>CRA!$A$3:$A$8</c:f>
              <c:strCache>
                <c:ptCount val="6"/>
                <c:pt idx="0">
                  <c:v>30 days or less</c:v>
                </c:pt>
                <c:pt idx="1">
                  <c:v>31-60 days</c:v>
                </c:pt>
                <c:pt idx="2">
                  <c:v>61-120 days</c:v>
                </c:pt>
                <c:pt idx="3">
                  <c:v>121-180 days</c:v>
                </c:pt>
                <c:pt idx="4">
                  <c:v>181-365 days</c:v>
                </c:pt>
                <c:pt idx="5">
                  <c:v>More than 365 days</c:v>
                </c:pt>
              </c:strCache>
            </c:strRef>
          </c:cat>
          <c:val>
            <c:numRef>
              <c:f>CRA!$D$3:$D$8</c:f>
              <c:numCache>
                <c:formatCode>0.00%</c:formatCode>
                <c:ptCount val="6"/>
                <c:pt idx="0">
                  <c:v>0.52810999999999997</c:v>
                </c:pt>
                <c:pt idx="1">
                  <c:v>0.20727000000000001</c:v>
                </c:pt>
                <c:pt idx="2">
                  <c:v>0.15670000000000048</c:v>
                </c:pt>
                <c:pt idx="3">
                  <c:v>5.9600000000000083E-2</c:v>
                </c:pt>
                <c:pt idx="4">
                  <c:v>3.4900000000000014E-2</c:v>
                </c:pt>
                <c:pt idx="5">
                  <c:v>1.3500000000000045E-2</c:v>
                </c:pt>
              </c:numCache>
            </c:numRef>
          </c:val>
        </c:ser>
        <c:dLbls/>
        <c:axId val="242301184"/>
        <c:axId val="242315264"/>
      </c:barChart>
      <c:catAx>
        <c:axId val="242301184"/>
        <c:scaling>
          <c:orientation val="minMax"/>
        </c:scaling>
        <c:axPos val="b"/>
        <c:numFmt formatCode="General" sourceLinked="0"/>
        <c:tickLblPos val="nextTo"/>
        <c:crossAx val="242315264"/>
        <c:crosses val="autoZero"/>
        <c:auto val="1"/>
        <c:lblAlgn val="ctr"/>
        <c:lblOffset val="100"/>
      </c:catAx>
      <c:valAx>
        <c:axId val="242315264"/>
        <c:scaling>
          <c:orientation val="minMax"/>
        </c:scaling>
        <c:axPos val="l"/>
        <c:majorGridlines/>
        <c:numFmt formatCode="0%" sourceLinked="0"/>
        <c:tickLblPos val="nextTo"/>
        <c:crossAx val="242301184"/>
        <c:crosses val="autoZero"/>
        <c:crossBetween val="between"/>
      </c:valAx>
    </c:plotArea>
    <c:legend>
      <c:legendPos val="b"/>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CRA!$B$29</c:f>
              <c:strCache>
                <c:ptCount val="1"/>
                <c:pt idx="0">
                  <c:v>2012-2013</c:v>
                </c:pt>
              </c:strCache>
            </c:strRef>
          </c:tx>
          <c:spPr>
            <a:solidFill>
              <a:schemeClr val="bg1">
                <a:lumMod val="65000"/>
              </a:schemeClr>
            </a:solidFill>
          </c:spPr>
          <c:cat>
            <c:strRef>
              <c:f>CRA!$A$30:$A$35</c:f>
              <c:strCache>
                <c:ptCount val="6"/>
                <c:pt idx="0">
                  <c:v>30 days or less</c:v>
                </c:pt>
                <c:pt idx="1">
                  <c:v>31-60 days</c:v>
                </c:pt>
                <c:pt idx="2">
                  <c:v>61-120 days</c:v>
                </c:pt>
                <c:pt idx="3">
                  <c:v>121-180 days</c:v>
                </c:pt>
                <c:pt idx="4">
                  <c:v>181-365 days</c:v>
                </c:pt>
                <c:pt idx="5">
                  <c:v>More than 365 days</c:v>
                </c:pt>
              </c:strCache>
            </c:strRef>
          </c:cat>
          <c:val>
            <c:numRef>
              <c:f>CRA!$B$30:$B$35</c:f>
              <c:numCache>
                <c:formatCode>0.00%</c:formatCode>
                <c:ptCount val="6"/>
                <c:pt idx="0">
                  <c:v>0.5948</c:v>
                </c:pt>
                <c:pt idx="1">
                  <c:v>0.21560000000000001</c:v>
                </c:pt>
                <c:pt idx="2">
                  <c:v>0.14850000000000024</c:v>
                </c:pt>
                <c:pt idx="3">
                  <c:v>2.8799999999999999E-2</c:v>
                </c:pt>
                <c:pt idx="4">
                  <c:v>1.1500000000000043E-2</c:v>
                </c:pt>
                <c:pt idx="5">
                  <c:v>7.0000000000000194E-4</c:v>
                </c:pt>
              </c:numCache>
            </c:numRef>
          </c:val>
        </c:ser>
        <c:ser>
          <c:idx val="1"/>
          <c:order val="1"/>
          <c:tx>
            <c:strRef>
              <c:f>CRA!$C$29</c:f>
              <c:strCache>
                <c:ptCount val="1"/>
                <c:pt idx="0">
                  <c:v>2013-2014</c:v>
                </c:pt>
              </c:strCache>
            </c:strRef>
          </c:tx>
          <c:spPr>
            <a:solidFill>
              <a:srgbClr val="FFC000"/>
            </a:solidFill>
          </c:spPr>
          <c:cat>
            <c:strRef>
              <c:f>CRA!$A$30:$A$35</c:f>
              <c:strCache>
                <c:ptCount val="6"/>
                <c:pt idx="0">
                  <c:v>30 days or less</c:v>
                </c:pt>
                <c:pt idx="1">
                  <c:v>31-60 days</c:v>
                </c:pt>
                <c:pt idx="2">
                  <c:v>61-120 days</c:v>
                </c:pt>
                <c:pt idx="3">
                  <c:v>121-180 days</c:v>
                </c:pt>
                <c:pt idx="4">
                  <c:v>181-365 days</c:v>
                </c:pt>
                <c:pt idx="5">
                  <c:v>More than 365 days</c:v>
                </c:pt>
              </c:strCache>
            </c:strRef>
          </c:cat>
          <c:val>
            <c:numRef>
              <c:f>CRA!$C$30:$C$35</c:f>
              <c:numCache>
                <c:formatCode>0.00%</c:formatCode>
                <c:ptCount val="6"/>
                <c:pt idx="0">
                  <c:v>0.39870000000000078</c:v>
                </c:pt>
                <c:pt idx="1">
                  <c:v>0.34660000000000002</c:v>
                </c:pt>
                <c:pt idx="2">
                  <c:v>0.20419999999999999</c:v>
                </c:pt>
                <c:pt idx="3">
                  <c:v>3.6600000000000042E-2</c:v>
                </c:pt>
                <c:pt idx="4">
                  <c:v>1.2200000000000001E-2</c:v>
                </c:pt>
                <c:pt idx="5">
                  <c:v>1.6000000000000053E-3</c:v>
                </c:pt>
              </c:numCache>
            </c:numRef>
          </c:val>
        </c:ser>
        <c:ser>
          <c:idx val="2"/>
          <c:order val="2"/>
          <c:tx>
            <c:strRef>
              <c:f>CRA!$D$29</c:f>
              <c:strCache>
                <c:ptCount val="1"/>
                <c:pt idx="0">
                  <c:v>2014-2015</c:v>
                </c:pt>
              </c:strCache>
            </c:strRef>
          </c:tx>
          <c:spPr>
            <a:solidFill>
              <a:schemeClr val="accent5">
                <a:lumMod val="75000"/>
              </a:schemeClr>
            </a:solidFill>
          </c:spPr>
          <c:cat>
            <c:strRef>
              <c:f>CRA!$A$30:$A$35</c:f>
              <c:strCache>
                <c:ptCount val="6"/>
                <c:pt idx="0">
                  <c:v>30 days or less</c:v>
                </c:pt>
                <c:pt idx="1">
                  <c:v>31-60 days</c:v>
                </c:pt>
                <c:pt idx="2">
                  <c:v>61-120 days</c:v>
                </c:pt>
                <c:pt idx="3">
                  <c:v>121-180 days</c:v>
                </c:pt>
                <c:pt idx="4">
                  <c:v>181-365 days</c:v>
                </c:pt>
                <c:pt idx="5">
                  <c:v>More than 365 days</c:v>
                </c:pt>
              </c:strCache>
            </c:strRef>
          </c:cat>
          <c:val>
            <c:numRef>
              <c:f>CRA!$D$30:$D$35</c:f>
              <c:numCache>
                <c:formatCode>0.00%</c:formatCode>
                <c:ptCount val="6"/>
                <c:pt idx="0">
                  <c:v>0.50139999999999996</c:v>
                </c:pt>
                <c:pt idx="1">
                  <c:v>0.26929999999999998</c:v>
                </c:pt>
                <c:pt idx="2">
                  <c:v>0.17680000000000001</c:v>
                </c:pt>
                <c:pt idx="3">
                  <c:v>3.5400000000000001E-2</c:v>
                </c:pt>
                <c:pt idx="4">
                  <c:v>1.72E-2</c:v>
                </c:pt>
                <c:pt idx="5">
                  <c:v>9.0000000000000247E-4</c:v>
                </c:pt>
              </c:numCache>
            </c:numRef>
          </c:val>
        </c:ser>
        <c:dLbls/>
        <c:axId val="242349952"/>
        <c:axId val="242351488"/>
      </c:barChart>
      <c:catAx>
        <c:axId val="242349952"/>
        <c:scaling>
          <c:orientation val="minMax"/>
        </c:scaling>
        <c:axPos val="b"/>
        <c:numFmt formatCode="General" sourceLinked="0"/>
        <c:tickLblPos val="nextTo"/>
        <c:crossAx val="242351488"/>
        <c:crosses val="autoZero"/>
        <c:auto val="1"/>
        <c:lblAlgn val="ctr"/>
        <c:lblOffset val="100"/>
      </c:catAx>
      <c:valAx>
        <c:axId val="242351488"/>
        <c:scaling>
          <c:orientation val="minMax"/>
        </c:scaling>
        <c:axPos val="l"/>
        <c:majorGridlines/>
        <c:numFmt formatCode="0%" sourceLinked="0"/>
        <c:tickLblPos val="nextTo"/>
        <c:crossAx val="242349952"/>
        <c:crosses val="autoZero"/>
        <c:crossBetween val="between"/>
      </c:valAx>
    </c:plotArea>
    <c:legend>
      <c:legendPos val="b"/>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CRA!$B$56</c:f>
              <c:strCache>
                <c:ptCount val="1"/>
                <c:pt idx="0">
                  <c:v>2014-2015</c:v>
                </c:pt>
              </c:strCache>
            </c:strRef>
          </c:tx>
          <c:dPt>
            <c:idx val="0"/>
            <c:spPr>
              <a:solidFill>
                <a:schemeClr val="accent5">
                  <a:lumMod val="75000"/>
                </a:schemeClr>
              </a:solidFill>
            </c:spPr>
          </c:dPt>
          <c:dPt>
            <c:idx val="1"/>
            <c:spPr>
              <a:solidFill>
                <a:schemeClr val="accent5">
                  <a:lumMod val="50000"/>
                </a:schemeClr>
              </a:solidFill>
            </c:spPr>
          </c:dPt>
          <c:dPt>
            <c:idx val="3"/>
            <c:spPr>
              <a:solidFill>
                <a:schemeClr val="tx1">
                  <a:lumMod val="75000"/>
                  <a:lumOff val="25000"/>
                </a:schemeClr>
              </a:solidFill>
            </c:spPr>
          </c:dPt>
          <c:dPt>
            <c:idx val="4"/>
            <c:spPr>
              <a:solidFill>
                <a:schemeClr val="accent6">
                  <a:lumMod val="50000"/>
                </a:schemeClr>
              </a:solidFill>
            </c:spPr>
          </c:dPt>
          <c:dPt>
            <c:idx val="6"/>
            <c:spPr>
              <a:solidFill>
                <a:schemeClr val="accent5">
                  <a:lumMod val="60000"/>
                  <a:lumOff val="40000"/>
                </a:schemeClr>
              </a:solidFill>
            </c:spPr>
          </c:dPt>
          <c:dLbls>
            <c:dLbl>
              <c:idx val="0"/>
              <c:layout>
                <c:manualLayout>
                  <c:x val="3.1628978465649576E-2"/>
                  <c:y val="0.12855311690689827"/>
                </c:manualLayout>
              </c:layout>
              <c:numFmt formatCode="0.00%" sourceLinked="0"/>
              <c:spPr/>
              <c:txPr>
                <a:bodyPr/>
                <a:lstStyle/>
                <a:p>
                  <a:pPr>
                    <a:defRPr/>
                  </a:pPr>
                  <a:endParaRPr lang="en-US"/>
                </a:p>
              </c:txPr>
              <c:showPercent val="1"/>
              <c:extLst>
                <c:ext xmlns:c15="http://schemas.microsoft.com/office/drawing/2012/chart" uri="{CE6537A1-D6FC-4f65-9D91-7224C49458BB}"/>
              </c:extLst>
            </c:dLbl>
            <c:dLbl>
              <c:idx val="1"/>
              <c:layout>
                <c:manualLayout>
                  <c:x val="7.9804103776059485E-3"/>
                  <c:y val="-3.0175879177893477E-2"/>
                </c:manualLayout>
              </c:layout>
              <c:showPercent val="1"/>
              <c:extLst>
                <c:ext xmlns:c15="http://schemas.microsoft.com/office/drawing/2012/chart" uri="{CE6537A1-D6FC-4f65-9D91-7224C49458BB}"/>
              </c:extLst>
            </c:dLbl>
            <c:dLbl>
              <c:idx val="2"/>
              <c:layout>
                <c:manualLayout>
                  <c:x val="1.9112520181918844E-3"/>
                  <c:y val="-1.7108326575457141E-3"/>
                </c:manualLayout>
              </c:layout>
              <c:showPercent val="1"/>
              <c:extLst>
                <c:ext xmlns:c15="http://schemas.microsoft.com/office/drawing/2012/chart" uri="{CE6537A1-D6FC-4f65-9D91-7224C49458BB}"/>
              </c:extLst>
            </c:dLbl>
            <c:dLbl>
              <c:idx val="3"/>
              <c:layout>
                <c:manualLayout>
                  <c:x val="-1.3968309113807869E-2"/>
                  <c:y val="-5.6831733242647023E-2"/>
                </c:manualLayout>
              </c:layout>
              <c:showPercent val="1"/>
              <c:extLst>
                <c:ext xmlns:c15="http://schemas.microsoft.com/office/drawing/2012/chart" uri="{CE6537A1-D6FC-4f65-9D91-7224C49458BB}"/>
              </c:extLst>
            </c:dLbl>
            <c:dLbl>
              <c:idx val="4"/>
              <c:layout>
                <c:manualLayout>
                  <c:x val="7.3656437247943888E-4"/>
                  <c:y val="5.5231468159503338E-3"/>
                </c:manualLayout>
              </c:layout>
              <c:showPercent val="1"/>
              <c:extLst>
                <c:ext xmlns:c15="http://schemas.microsoft.com/office/drawing/2012/chart" uri="{CE6537A1-D6FC-4f65-9D91-7224C49458BB}"/>
              </c:extLst>
            </c:dLbl>
            <c:dLbl>
              <c:idx val="5"/>
              <c:layout>
                <c:manualLayout>
                  <c:x val="9.1157522238172542E-3"/>
                  <c:y val="1.8565935072069481E-2"/>
                </c:manualLayout>
              </c:layout>
              <c:showPercent val="1"/>
              <c:extLst>
                <c:ext xmlns:c15="http://schemas.microsoft.com/office/drawing/2012/chart" uri="{CE6537A1-D6FC-4f65-9D91-7224C49458BB}"/>
              </c:extLst>
            </c:dLbl>
            <c:dLbl>
              <c:idx val="6"/>
              <c:layout>
                <c:manualLayout>
                  <c:x val="2.2651624403713967E-2"/>
                  <c:y val="-6.1014466214978939E-3"/>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CRA!$A$57:$A$63</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CRA!$B$57:$B$63</c:f>
              <c:numCache>
                <c:formatCode>General</c:formatCode>
                <c:ptCount val="7"/>
                <c:pt idx="0">
                  <c:v>95</c:v>
                </c:pt>
                <c:pt idx="1">
                  <c:v>58</c:v>
                </c:pt>
                <c:pt idx="2">
                  <c:v>44</c:v>
                </c:pt>
                <c:pt idx="3">
                  <c:v>64</c:v>
                </c:pt>
                <c:pt idx="4">
                  <c:v>39</c:v>
                </c:pt>
                <c:pt idx="5">
                  <c:v>28</c:v>
                </c:pt>
                <c:pt idx="6">
                  <c:v>20</c:v>
                </c:pt>
              </c:numCache>
            </c:numRef>
          </c:val>
        </c:ser>
        <c:dLbls/>
        <c:firstSliceAng val="0"/>
      </c:pieChart>
    </c:plotArea>
    <c:legend>
      <c:legendPos val="r"/>
    </c:legend>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CRA!$B$84</c:f>
              <c:strCache>
                <c:ptCount val="1"/>
                <c:pt idx="0">
                  <c:v>2012-2013</c:v>
                </c:pt>
              </c:strCache>
            </c:strRef>
          </c:tx>
          <c:spPr>
            <a:solidFill>
              <a:schemeClr val="bg1">
                <a:lumMod val="65000"/>
              </a:schemeClr>
            </a:solidFill>
          </c:spPr>
          <c:cat>
            <c:strRef>
              <c:f>CRA!$A$85:$A$86</c:f>
              <c:strCache>
                <c:ptCount val="2"/>
                <c:pt idx="0">
                  <c:v>All disclosed </c:v>
                </c:pt>
                <c:pt idx="1">
                  <c:v>Disclosed in part </c:v>
                </c:pt>
              </c:strCache>
            </c:strRef>
          </c:cat>
          <c:val>
            <c:numRef>
              <c:f>CRA!$B$85:$B$86</c:f>
              <c:numCache>
                <c:formatCode>0.00%</c:formatCode>
                <c:ptCount val="2"/>
                <c:pt idx="0">
                  <c:v>0.1401</c:v>
                </c:pt>
                <c:pt idx="1">
                  <c:v>0.53490000000000004</c:v>
                </c:pt>
              </c:numCache>
            </c:numRef>
          </c:val>
        </c:ser>
        <c:ser>
          <c:idx val="1"/>
          <c:order val="1"/>
          <c:tx>
            <c:strRef>
              <c:f>CRA!$C$84</c:f>
              <c:strCache>
                <c:ptCount val="1"/>
                <c:pt idx="0">
                  <c:v>2013-2014</c:v>
                </c:pt>
              </c:strCache>
            </c:strRef>
          </c:tx>
          <c:spPr>
            <a:solidFill>
              <a:srgbClr val="FFC000"/>
            </a:solidFill>
          </c:spPr>
          <c:cat>
            <c:strRef>
              <c:f>CRA!$A$85:$A$86</c:f>
              <c:strCache>
                <c:ptCount val="2"/>
                <c:pt idx="0">
                  <c:v>All disclosed </c:v>
                </c:pt>
                <c:pt idx="1">
                  <c:v>Disclosed in part </c:v>
                </c:pt>
              </c:strCache>
            </c:strRef>
          </c:cat>
          <c:val>
            <c:numRef>
              <c:f>CRA!$C$85:$C$86</c:f>
              <c:numCache>
                <c:formatCode>0.00%</c:formatCode>
                <c:ptCount val="2"/>
                <c:pt idx="0">
                  <c:v>0.17069999999999999</c:v>
                </c:pt>
                <c:pt idx="1">
                  <c:v>0.52159999999999951</c:v>
                </c:pt>
              </c:numCache>
            </c:numRef>
          </c:val>
        </c:ser>
        <c:ser>
          <c:idx val="2"/>
          <c:order val="2"/>
          <c:tx>
            <c:strRef>
              <c:f>CRA!$D$84</c:f>
              <c:strCache>
                <c:ptCount val="1"/>
                <c:pt idx="0">
                  <c:v>2014-2015</c:v>
                </c:pt>
              </c:strCache>
            </c:strRef>
          </c:tx>
          <c:spPr>
            <a:solidFill>
              <a:schemeClr val="accent5">
                <a:lumMod val="75000"/>
              </a:schemeClr>
            </a:solidFill>
          </c:spPr>
          <c:cat>
            <c:strRef>
              <c:f>CRA!$A$85:$A$86</c:f>
              <c:strCache>
                <c:ptCount val="2"/>
                <c:pt idx="0">
                  <c:v>All disclosed </c:v>
                </c:pt>
                <c:pt idx="1">
                  <c:v>Disclosed in part </c:v>
                </c:pt>
              </c:strCache>
            </c:strRef>
          </c:cat>
          <c:val>
            <c:numRef>
              <c:f>CRA!$D$85:$D$86</c:f>
              <c:numCache>
                <c:formatCode>0.00%</c:formatCode>
                <c:ptCount val="2"/>
                <c:pt idx="0">
                  <c:v>0.20800000000000021</c:v>
                </c:pt>
                <c:pt idx="1">
                  <c:v>0.51239999999999997</c:v>
                </c:pt>
              </c:numCache>
            </c:numRef>
          </c:val>
        </c:ser>
        <c:dLbls/>
        <c:axId val="243619328"/>
        <c:axId val="243620864"/>
      </c:barChart>
      <c:catAx>
        <c:axId val="243619328"/>
        <c:scaling>
          <c:orientation val="minMax"/>
        </c:scaling>
        <c:axPos val="b"/>
        <c:numFmt formatCode="General" sourceLinked="0"/>
        <c:tickLblPos val="nextTo"/>
        <c:crossAx val="243620864"/>
        <c:crosses val="autoZero"/>
        <c:auto val="1"/>
        <c:lblAlgn val="ctr"/>
        <c:lblOffset val="100"/>
      </c:catAx>
      <c:valAx>
        <c:axId val="243620864"/>
        <c:scaling>
          <c:orientation val="minMax"/>
        </c:scaling>
        <c:axPos val="l"/>
        <c:majorGridlines/>
        <c:numFmt formatCode="0%" sourceLinked="0"/>
        <c:tickLblPos val="nextTo"/>
        <c:crossAx val="243619328"/>
        <c:crosses val="autoZero"/>
        <c:crossBetween val="between"/>
      </c:valAx>
    </c:plotArea>
    <c:legend>
      <c:legendPos val="b"/>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ND!$B$2</c:f>
              <c:strCache>
                <c:ptCount val="1"/>
                <c:pt idx="0">
                  <c:v>2012-2013</c:v>
                </c:pt>
              </c:strCache>
            </c:strRef>
          </c:tx>
          <c:spPr>
            <a:solidFill>
              <a:schemeClr val="bg1">
                <a:lumMod val="65000"/>
              </a:schemeClr>
            </a:solidFill>
          </c:spPr>
          <c:cat>
            <c:strRef>
              <c:f>ND!$A$3:$A$8</c:f>
              <c:strCache>
                <c:ptCount val="6"/>
                <c:pt idx="0">
                  <c:v>30 days or less</c:v>
                </c:pt>
                <c:pt idx="1">
                  <c:v>31-60 days</c:v>
                </c:pt>
                <c:pt idx="2">
                  <c:v>61-120 days</c:v>
                </c:pt>
                <c:pt idx="3">
                  <c:v>121-180 days</c:v>
                </c:pt>
                <c:pt idx="4">
                  <c:v>181-365 days</c:v>
                </c:pt>
                <c:pt idx="5">
                  <c:v>More than 365 days</c:v>
                </c:pt>
              </c:strCache>
            </c:strRef>
          </c:cat>
          <c:val>
            <c:numRef>
              <c:f>ND!$B$3:$B$8</c:f>
              <c:numCache>
                <c:formatCode>0.00%</c:formatCode>
                <c:ptCount val="6"/>
                <c:pt idx="0">
                  <c:v>0.48287112561174617</c:v>
                </c:pt>
                <c:pt idx="1">
                  <c:v>0.19684611201740138</c:v>
                </c:pt>
                <c:pt idx="2">
                  <c:v>0.18705818379554154</c:v>
                </c:pt>
                <c:pt idx="3">
                  <c:v>7.177814029363784E-2</c:v>
                </c:pt>
                <c:pt idx="4">
                  <c:v>5.0027188689505155E-2</c:v>
                </c:pt>
                <c:pt idx="5">
                  <c:v>1.141924959216966E-2</c:v>
                </c:pt>
              </c:numCache>
            </c:numRef>
          </c:val>
        </c:ser>
        <c:ser>
          <c:idx val="1"/>
          <c:order val="1"/>
          <c:tx>
            <c:strRef>
              <c:f>ND!$C$2</c:f>
              <c:strCache>
                <c:ptCount val="1"/>
                <c:pt idx="0">
                  <c:v>2013-2014</c:v>
                </c:pt>
              </c:strCache>
            </c:strRef>
          </c:tx>
          <c:spPr>
            <a:solidFill>
              <a:srgbClr val="FFC000"/>
            </a:solidFill>
          </c:spPr>
          <c:cat>
            <c:strRef>
              <c:f>ND!$A$3:$A$8</c:f>
              <c:strCache>
                <c:ptCount val="6"/>
                <c:pt idx="0">
                  <c:v>30 days or less</c:v>
                </c:pt>
                <c:pt idx="1">
                  <c:v>31-60 days</c:v>
                </c:pt>
                <c:pt idx="2">
                  <c:v>61-120 days</c:v>
                </c:pt>
                <c:pt idx="3">
                  <c:v>121-180 days</c:v>
                </c:pt>
                <c:pt idx="4">
                  <c:v>181-365 days</c:v>
                </c:pt>
                <c:pt idx="5">
                  <c:v>More than 365 days</c:v>
                </c:pt>
              </c:strCache>
            </c:strRef>
          </c:cat>
          <c:val>
            <c:numRef>
              <c:f>ND!$C$3:$C$8</c:f>
              <c:numCache>
                <c:formatCode>0.00%</c:formatCode>
                <c:ptCount val="6"/>
                <c:pt idx="0">
                  <c:v>0.41550247859396189</c:v>
                </c:pt>
                <c:pt idx="1">
                  <c:v>0.22262280306444338</c:v>
                </c:pt>
                <c:pt idx="2">
                  <c:v>0.14556106354213674</c:v>
                </c:pt>
                <c:pt idx="3">
                  <c:v>9.5989184317260029E-2</c:v>
                </c:pt>
                <c:pt idx="4">
                  <c:v>0.10274898602974296</c:v>
                </c:pt>
                <c:pt idx="5">
                  <c:v>1.7575484452456082E-2</c:v>
                </c:pt>
              </c:numCache>
            </c:numRef>
          </c:val>
        </c:ser>
        <c:ser>
          <c:idx val="2"/>
          <c:order val="2"/>
          <c:tx>
            <c:strRef>
              <c:f>ND!$D$2</c:f>
              <c:strCache>
                <c:ptCount val="1"/>
                <c:pt idx="0">
                  <c:v>2014-2015</c:v>
                </c:pt>
              </c:strCache>
            </c:strRef>
          </c:tx>
          <c:spPr>
            <a:solidFill>
              <a:schemeClr val="accent5">
                <a:lumMod val="75000"/>
              </a:schemeClr>
            </a:solidFill>
          </c:spPr>
          <c:cat>
            <c:strRef>
              <c:f>ND!$A$3:$A$8</c:f>
              <c:strCache>
                <c:ptCount val="6"/>
                <c:pt idx="0">
                  <c:v>30 days or less</c:v>
                </c:pt>
                <c:pt idx="1">
                  <c:v>31-60 days</c:v>
                </c:pt>
                <c:pt idx="2">
                  <c:v>61-120 days</c:v>
                </c:pt>
                <c:pt idx="3">
                  <c:v>121-180 days</c:v>
                </c:pt>
                <c:pt idx="4">
                  <c:v>181-365 days</c:v>
                </c:pt>
                <c:pt idx="5">
                  <c:v>More than 365 days</c:v>
                </c:pt>
              </c:strCache>
            </c:strRef>
          </c:cat>
          <c:val>
            <c:numRef>
              <c:f>ND!$D$3:$D$8</c:f>
              <c:numCache>
                <c:formatCode>0.00%</c:formatCode>
                <c:ptCount val="6"/>
                <c:pt idx="0">
                  <c:v>0.49330024813895856</c:v>
                </c:pt>
                <c:pt idx="1">
                  <c:v>0.16823821339950393</c:v>
                </c:pt>
                <c:pt idx="2">
                  <c:v>0.17518610421836228</c:v>
                </c:pt>
                <c:pt idx="3">
                  <c:v>6.9478908188585681E-2</c:v>
                </c:pt>
                <c:pt idx="4">
                  <c:v>6.6501240694788979E-2</c:v>
                </c:pt>
                <c:pt idx="5">
                  <c:v>2.7295285359801556E-2</c:v>
                </c:pt>
              </c:numCache>
            </c:numRef>
          </c:val>
        </c:ser>
        <c:dLbls/>
        <c:axId val="243659904"/>
        <c:axId val="243661440"/>
      </c:barChart>
      <c:catAx>
        <c:axId val="243659904"/>
        <c:scaling>
          <c:orientation val="minMax"/>
        </c:scaling>
        <c:axPos val="b"/>
        <c:numFmt formatCode="General" sourceLinked="0"/>
        <c:tickLblPos val="nextTo"/>
        <c:crossAx val="243661440"/>
        <c:crosses val="autoZero"/>
        <c:auto val="1"/>
        <c:lblAlgn val="ctr"/>
        <c:lblOffset val="100"/>
      </c:catAx>
      <c:valAx>
        <c:axId val="243661440"/>
        <c:scaling>
          <c:orientation val="minMax"/>
        </c:scaling>
        <c:axPos val="l"/>
        <c:majorGridlines/>
        <c:numFmt formatCode="0%" sourceLinked="0"/>
        <c:tickLblPos val="nextTo"/>
        <c:crossAx val="243659904"/>
        <c:crosses val="autoZero"/>
        <c:crossBetween val="between"/>
      </c:valAx>
    </c:plotArea>
    <c:legend>
      <c:legendPos val="b"/>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ND!$B$32</c:f>
              <c:strCache>
                <c:ptCount val="1"/>
                <c:pt idx="0">
                  <c:v>2012-2013</c:v>
                </c:pt>
              </c:strCache>
            </c:strRef>
          </c:tx>
          <c:spPr>
            <a:solidFill>
              <a:schemeClr val="bg1">
                <a:lumMod val="65000"/>
              </a:schemeClr>
            </a:solidFill>
          </c:spPr>
          <c:cat>
            <c:strRef>
              <c:f>ND!$A$33:$A$38</c:f>
              <c:strCache>
                <c:ptCount val="6"/>
                <c:pt idx="0">
                  <c:v> 30 days or less</c:v>
                </c:pt>
                <c:pt idx="1">
                  <c:v>31-60 days</c:v>
                </c:pt>
                <c:pt idx="2">
                  <c:v>61-120 days </c:v>
                </c:pt>
                <c:pt idx="3">
                  <c:v>121-180 days </c:v>
                </c:pt>
                <c:pt idx="4">
                  <c:v>181-365 days </c:v>
                </c:pt>
                <c:pt idx="5">
                  <c:v>More than 365 days </c:v>
                </c:pt>
              </c:strCache>
            </c:strRef>
          </c:cat>
          <c:val>
            <c:numRef>
              <c:f>ND!$B$33:$B$38</c:f>
              <c:numCache>
                <c:formatCode>0.00%</c:formatCode>
                <c:ptCount val="6"/>
                <c:pt idx="0">
                  <c:v>0.32974316487158245</c:v>
                </c:pt>
                <c:pt idx="1">
                  <c:v>0.21209610604805301</c:v>
                </c:pt>
                <c:pt idx="2">
                  <c:v>0.19304059652029862</c:v>
                </c:pt>
                <c:pt idx="3">
                  <c:v>0.18558409279204693</c:v>
                </c:pt>
                <c:pt idx="4">
                  <c:v>7.95360397680199E-2</c:v>
                </c:pt>
                <c:pt idx="5">
                  <c:v>0</c:v>
                </c:pt>
              </c:numCache>
            </c:numRef>
          </c:val>
        </c:ser>
        <c:ser>
          <c:idx val="1"/>
          <c:order val="1"/>
          <c:tx>
            <c:strRef>
              <c:f>ND!$C$32</c:f>
              <c:strCache>
                <c:ptCount val="1"/>
                <c:pt idx="0">
                  <c:v>2013-2014</c:v>
                </c:pt>
              </c:strCache>
            </c:strRef>
          </c:tx>
          <c:spPr>
            <a:solidFill>
              <a:srgbClr val="FFC000"/>
            </a:solidFill>
          </c:spPr>
          <c:cat>
            <c:strRef>
              <c:f>ND!$A$33:$A$38</c:f>
              <c:strCache>
                <c:ptCount val="6"/>
                <c:pt idx="0">
                  <c:v> 30 days or less</c:v>
                </c:pt>
                <c:pt idx="1">
                  <c:v>31-60 days</c:v>
                </c:pt>
                <c:pt idx="2">
                  <c:v>61-120 days </c:v>
                </c:pt>
                <c:pt idx="3">
                  <c:v>121-180 days </c:v>
                </c:pt>
                <c:pt idx="4">
                  <c:v>181-365 days </c:v>
                </c:pt>
                <c:pt idx="5">
                  <c:v>More than 365 days </c:v>
                </c:pt>
              </c:strCache>
            </c:strRef>
          </c:cat>
          <c:val>
            <c:numRef>
              <c:f>ND!$C$33:$C$38</c:f>
              <c:numCache>
                <c:formatCode>0.00%</c:formatCode>
                <c:ptCount val="6"/>
                <c:pt idx="0">
                  <c:v>0.39945280437756647</c:v>
                </c:pt>
                <c:pt idx="1">
                  <c:v>0.22708618331053351</c:v>
                </c:pt>
                <c:pt idx="2">
                  <c:v>0.16279069767441864</c:v>
                </c:pt>
                <c:pt idx="3">
                  <c:v>0.18946648426812665</c:v>
                </c:pt>
                <c:pt idx="4">
                  <c:v>2.0519835841313325E-2</c:v>
                </c:pt>
                <c:pt idx="5">
                  <c:v>6.8399452804377748E-4</c:v>
                </c:pt>
              </c:numCache>
            </c:numRef>
          </c:val>
        </c:ser>
        <c:ser>
          <c:idx val="2"/>
          <c:order val="2"/>
          <c:tx>
            <c:strRef>
              <c:f>ND!$D$32</c:f>
              <c:strCache>
                <c:ptCount val="1"/>
                <c:pt idx="0">
                  <c:v>2014-2015</c:v>
                </c:pt>
              </c:strCache>
            </c:strRef>
          </c:tx>
          <c:spPr>
            <a:solidFill>
              <a:schemeClr val="accent5">
                <a:lumMod val="75000"/>
              </a:schemeClr>
            </a:solidFill>
          </c:spPr>
          <c:cat>
            <c:strRef>
              <c:f>ND!$A$33:$A$38</c:f>
              <c:strCache>
                <c:ptCount val="6"/>
                <c:pt idx="0">
                  <c:v> 30 days or less</c:v>
                </c:pt>
                <c:pt idx="1">
                  <c:v>31-60 days</c:v>
                </c:pt>
                <c:pt idx="2">
                  <c:v>61-120 days </c:v>
                </c:pt>
                <c:pt idx="3">
                  <c:v>121-180 days </c:v>
                </c:pt>
                <c:pt idx="4">
                  <c:v>181-365 days </c:v>
                </c:pt>
                <c:pt idx="5">
                  <c:v>More than 365 days </c:v>
                </c:pt>
              </c:strCache>
            </c:strRef>
          </c:cat>
          <c:val>
            <c:numRef>
              <c:f>ND!$D$33:$D$38</c:f>
              <c:numCache>
                <c:formatCode>0.00%</c:formatCode>
                <c:ptCount val="6"/>
                <c:pt idx="0">
                  <c:v>0.37915234822451332</c:v>
                </c:pt>
                <c:pt idx="1">
                  <c:v>0.24513172966781213</c:v>
                </c:pt>
                <c:pt idx="2">
                  <c:v>0.2554410080183267</c:v>
                </c:pt>
                <c:pt idx="3">
                  <c:v>0.10996563573883195</c:v>
                </c:pt>
                <c:pt idx="4">
                  <c:v>1.0309278350515465E-2</c:v>
                </c:pt>
                <c:pt idx="5">
                  <c:v>0</c:v>
                </c:pt>
              </c:numCache>
            </c:numRef>
          </c:val>
        </c:ser>
        <c:dLbls/>
        <c:axId val="243704192"/>
        <c:axId val="243705728"/>
      </c:barChart>
      <c:catAx>
        <c:axId val="243704192"/>
        <c:scaling>
          <c:orientation val="minMax"/>
        </c:scaling>
        <c:axPos val="b"/>
        <c:numFmt formatCode="General" sourceLinked="0"/>
        <c:tickLblPos val="nextTo"/>
        <c:crossAx val="243705728"/>
        <c:crosses val="autoZero"/>
        <c:auto val="1"/>
        <c:lblAlgn val="ctr"/>
        <c:lblOffset val="100"/>
      </c:catAx>
      <c:valAx>
        <c:axId val="243705728"/>
        <c:scaling>
          <c:orientation val="minMax"/>
        </c:scaling>
        <c:axPos val="l"/>
        <c:majorGridlines/>
        <c:numFmt formatCode="0%" sourceLinked="0"/>
        <c:tickLblPos val="nextTo"/>
        <c:crossAx val="243704192"/>
        <c:crosses val="autoZero"/>
        <c:crossBetween val="between"/>
      </c:valAx>
    </c:plotArea>
    <c:legend>
      <c:legendPos val="b"/>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ND!$B$63</c:f>
              <c:strCache>
                <c:ptCount val="1"/>
                <c:pt idx="0">
                  <c:v>2014-2015</c:v>
                </c:pt>
              </c:strCache>
            </c:strRef>
          </c:tx>
          <c:dPt>
            <c:idx val="0"/>
            <c:spPr>
              <a:solidFill>
                <a:schemeClr val="accent5">
                  <a:lumMod val="50000"/>
                </a:schemeClr>
              </a:solidFill>
            </c:spPr>
          </c:dPt>
          <c:dPt>
            <c:idx val="1"/>
            <c:spPr>
              <a:solidFill>
                <a:schemeClr val="tx1">
                  <a:lumMod val="65000"/>
                  <a:lumOff val="35000"/>
                </a:schemeClr>
              </a:solidFill>
            </c:spPr>
          </c:dPt>
          <c:dPt>
            <c:idx val="2"/>
            <c:spPr>
              <a:solidFill>
                <a:schemeClr val="tx2">
                  <a:lumMod val="50000"/>
                </a:schemeClr>
              </a:solidFill>
            </c:spPr>
          </c:dPt>
          <c:dPt>
            <c:idx val="3"/>
            <c:spPr>
              <a:solidFill>
                <a:schemeClr val="accent5">
                  <a:lumMod val="60000"/>
                  <a:lumOff val="40000"/>
                </a:schemeClr>
              </a:solidFill>
            </c:spPr>
          </c:dPt>
          <c:dPt>
            <c:idx val="4"/>
            <c:spPr>
              <a:solidFill>
                <a:schemeClr val="accent3">
                  <a:lumMod val="60000"/>
                  <a:lumOff val="40000"/>
                </a:schemeClr>
              </a:solidFill>
            </c:spPr>
          </c:dPt>
          <c:dPt>
            <c:idx val="5"/>
            <c:spPr>
              <a:solidFill>
                <a:schemeClr val="accent6">
                  <a:lumMod val="50000"/>
                </a:schemeClr>
              </a:solidFill>
            </c:spPr>
          </c:dPt>
          <c:dPt>
            <c:idx val="6"/>
            <c:spPr>
              <a:solidFill>
                <a:schemeClr val="accent6">
                  <a:lumMod val="75000"/>
                </a:schemeClr>
              </a:solidFill>
            </c:spPr>
          </c:dPt>
          <c:dLbls>
            <c:dLbl>
              <c:idx val="0"/>
              <c:layout>
                <c:manualLayout>
                  <c:x val="1.9685375866478238E-2"/>
                  <c:y val="8.0772480720633727E-2"/>
                </c:manualLayout>
              </c:layout>
              <c:showPercent val="1"/>
              <c:extLst>
                <c:ext xmlns:c15="http://schemas.microsoft.com/office/drawing/2012/chart" uri="{CE6537A1-D6FC-4f65-9D91-7224C49458BB}"/>
              </c:extLst>
            </c:dLbl>
            <c:dLbl>
              <c:idx val="1"/>
              <c:layout>
                <c:manualLayout>
                  <c:x val="-1.212960158826301E-2"/>
                  <c:y val="1.4667555849311256E-2"/>
                </c:manualLayout>
              </c:layout>
              <c:showPercent val="1"/>
              <c:extLst>
                <c:ext xmlns:c15="http://schemas.microsoft.com/office/drawing/2012/chart" uri="{CE6537A1-D6FC-4f65-9D91-7224C49458BB}"/>
              </c:extLst>
            </c:dLbl>
            <c:dLbl>
              <c:idx val="2"/>
              <c:layout>
                <c:manualLayout>
                  <c:x val="3.8785584494245913E-2"/>
                  <c:y val="1.1858319167756707E-2"/>
                </c:manualLayout>
              </c:layout>
              <c:showPercent val="1"/>
              <c:extLst>
                <c:ext xmlns:c15="http://schemas.microsoft.com/office/drawing/2012/chart" uri="{CE6537A1-D6FC-4f65-9D91-7224C49458BB}"/>
              </c:extLst>
            </c:dLbl>
            <c:dLbl>
              <c:idx val="3"/>
              <c:layout>
                <c:manualLayout>
                  <c:x val="6.109512753213542E-3"/>
                  <c:y val="-1.0268872209018617E-2"/>
                </c:manualLayout>
              </c:layout>
              <c:showPercent val="1"/>
              <c:extLst>
                <c:ext xmlns:c15="http://schemas.microsoft.com/office/drawing/2012/chart" uri="{CE6537A1-D6FC-4f65-9D91-7224C49458BB}"/>
              </c:extLst>
            </c:dLbl>
            <c:dLbl>
              <c:idx val="4"/>
              <c:layout>
                <c:manualLayout>
                  <c:x val="8.6794198802072897E-3"/>
                  <c:y val="-2.5268090546233871E-2"/>
                </c:manualLayout>
              </c:layout>
              <c:showPercent val="1"/>
              <c:extLst>
                <c:ext xmlns:c15="http://schemas.microsoft.com/office/drawing/2012/chart" uri="{CE6537A1-D6FC-4f65-9D91-7224C49458BB}"/>
              </c:extLst>
            </c:dLbl>
            <c:dLbl>
              <c:idx val="5"/>
              <c:layout>
                <c:manualLayout>
                  <c:x val="2.0348610269870112E-2"/>
                  <c:y val="9.9079221028509946E-3"/>
                </c:manualLayout>
              </c:layout>
              <c:showPercent val="1"/>
              <c:extLst>
                <c:ext xmlns:c15="http://schemas.microsoft.com/office/drawing/2012/chart" uri="{CE6537A1-D6FC-4f65-9D91-7224C49458BB}"/>
              </c:extLst>
            </c:dLbl>
            <c:dLbl>
              <c:idx val="6"/>
              <c:layout>
                <c:manualLayout>
                  <c:x val="1.8462154114143807E-2"/>
                  <c:y val="-3.9756150952908473E-3"/>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ND!$A$64:$A$70</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ND!$B$64:$B$70</c:f>
              <c:numCache>
                <c:formatCode>General</c:formatCode>
                <c:ptCount val="7"/>
                <c:pt idx="0">
                  <c:v>147</c:v>
                </c:pt>
                <c:pt idx="1">
                  <c:v>101</c:v>
                </c:pt>
                <c:pt idx="2">
                  <c:v>118</c:v>
                </c:pt>
                <c:pt idx="3">
                  <c:v>91</c:v>
                </c:pt>
                <c:pt idx="4">
                  <c:v>43</c:v>
                </c:pt>
                <c:pt idx="5">
                  <c:v>43</c:v>
                </c:pt>
                <c:pt idx="6">
                  <c:v>24</c:v>
                </c:pt>
              </c:numCache>
            </c:numRef>
          </c:val>
        </c:ser>
        <c:dLbls/>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IRCC!$B$29</c:f>
              <c:strCache>
                <c:ptCount val="1"/>
                <c:pt idx="0">
                  <c:v>2012-2013</c:v>
                </c:pt>
              </c:strCache>
            </c:strRef>
          </c:tx>
          <c:spPr>
            <a:solidFill>
              <a:schemeClr val="bg1">
                <a:lumMod val="50000"/>
              </a:schemeClr>
            </a:solidFill>
          </c:spPr>
          <c:cat>
            <c:strRef>
              <c:f>IRCC!$A$30:$A$35</c:f>
              <c:strCache>
                <c:ptCount val="6"/>
                <c:pt idx="0">
                  <c:v> 30 days or less</c:v>
                </c:pt>
                <c:pt idx="1">
                  <c:v>31-60 days</c:v>
                </c:pt>
                <c:pt idx="2">
                  <c:v>61-120 days </c:v>
                </c:pt>
                <c:pt idx="3">
                  <c:v>121-180 days </c:v>
                </c:pt>
                <c:pt idx="4">
                  <c:v>181-365 days </c:v>
                </c:pt>
                <c:pt idx="5">
                  <c:v>More than 365 days </c:v>
                </c:pt>
              </c:strCache>
            </c:strRef>
          </c:cat>
          <c:val>
            <c:numRef>
              <c:f>IRCC!$B$30:$B$35</c:f>
              <c:numCache>
                <c:formatCode>0.00%</c:formatCode>
                <c:ptCount val="6"/>
                <c:pt idx="0">
                  <c:v>0.71616640337019666</c:v>
                </c:pt>
                <c:pt idx="1">
                  <c:v>0.21748288572933208</c:v>
                </c:pt>
                <c:pt idx="2">
                  <c:v>5.6872037914692149E-2</c:v>
                </c:pt>
                <c:pt idx="3">
                  <c:v>7.8988941548183422E-3</c:v>
                </c:pt>
                <c:pt idx="4">
                  <c:v>1.5797788309636705E-3</c:v>
                </c:pt>
                <c:pt idx="5">
                  <c:v>0</c:v>
                </c:pt>
              </c:numCache>
            </c:numRef>
          </c:val>
        </c:ser>
        <c:ser>
          <c:idx val="1"/>
          <c:order val="1"/>
          <c:tx>
            <c:strRef>
              <c:f>IRCC!$C$29</c:f>
              <c:strCache>
                <c:ptCount val="1"/>
                <c:pt idx="0">
                  <c:v>2013-2014</c:v>
                </c:pt>
              </c:strCache>
            </c:strRef>
          </c:tx>
          <c:spPr>
            <a:solidFill>
              <a:srgbClr val="FFC000"/>
            </a:solidFill>
          </c:spPr>
          <c:cat>
            <c:strRef>
              <c:f>IRCC!$A$30:$A$35</c:f>
              <c:strCache>
                <c:ptCount val="6"/>
                <c:pt idx="0">
                  <c:v> 30 days or less</c:v>
                </c:pt>
                <c:pt idx="1">
                  <c:v>31-60 days</c:v>
                </c:pt>
                <c:pt idx="2">
                  <c:v>61-120 days </c:v>
                </c:pt>
                <c:pt idx="3">
                  <c:v>121-180 days </c:v>
                </c:pt>
                <c:pt idx="4">
                  <c:v>181-365 days </c:v>
                </c:pt>
                <c:pt idx="5">
                  <c:v>More than 365 days </c:v>
                </c:pt>
              </c:strCache>
            </c:strRef>
          </c:cat>
          <c:val>
            <c:numRef>
              <c:f>IRCC!$C$30:$C$35</c:f>
              <c:numCache>
                <c:formatCode>0.00%</c:formatCode>
                <c:ptCount val="6"/>
                <c:pt idx="0">
                  <c:v>6.5969954278249504E-2</c:v>
                </c:pt>
                <c:pt idx="1">
                  <c:v>0.86414108425865621</c:v>
                </c:pt>
                <c:pt idx="2">
                  <c:v>3.8536903984324092E-2</c:v>
                </c:pt>
                <c:pt idx="3">
                  <c:v>2.3514043109079032E-2</c:v>
                </c:pt>
                <c:pt idx="4">
                  <c:v>7.8380143696930114E-3</c:v>
                </c:pt>
                <c:pt idx="5">
                  <c:v>0</c:v>
                </c:pt>
              </c:numCache>
            </c:numRef>
          </c:val>
        </c:ser>
        <c:ser>
          <c:idx val="2"/>
          <c:order val="2"/>
          <c:tx>
            <c:strRef>
              <c:f>IRCC!$D$29</c:f>
              <c:strCache>
                <c:ptCount val="1"/>
                <c:pt idx="0">
                  <c:v>2014-2015</c:v>
                </c:pt>
              </c:strCache>
            </c:strRef>
          </c:tx>
          <c:spPr>
            <a:solidFill>
              <a:schemeClr val="accent5">
                <a:lumMod val="75000"/>
              </a:schemeClr>
            </a:solidFill>
          </c:spPr>
          <c:cat>
            <c:strRef>
              <c:f>IRCC!$A$30:$A$35</c:f>
              <c:strCache>
                <c:ptCount val="6"/>
                <c:pt idx="0">
                  <c:v> 30 days or less</c:v>
                </c:pt>
                <c:pt idx="1">
                  <c:v>31-60 days</c:v>
                </c:pt>
                <c:pt idx="2">
                  <c:v>61-120 days </c:v>
                </c:pt>
                <c:pt idx="3">
                  <c:v>121-180 days </c:v>
                </c:pt>
                <c:pt idx="4">
                  <c:v>181-365 days </c:v>
                </c:pt>
                <c:pt idx="5">
                  <c:v>More than 365 days </c:v>
                </c:pt>
              </c:strCache>
            </c:strRef>
          </c:cat>
          <c:val>
            <c:numRef>
              <c:f>IRCC!$D$30:$D$35</c:f>
              <c:numCache>
                <c:formatCode>0.00%</c:formatCode>
                <c:ptCount val="6"/>
                <c:pt idx="0">
                  <c:v>0.19600000000000001</c:v>
                </c:pt>
                <c:pt idx="1">
                  <c:v>0.606800000000002</c:v>
                </c:pt>
                <c:pt idx="2">
                  <c:v>0.13039999999999999</c:v>
                </c:pt>
                <c:pt idx="3">
                  <c:v>4.5699999999999998E-2</c:v>
                </c:pt>
                <c:pt idx="4">
                  <c:v>2.1200000000000042E-2</c:v>
                </c:pt>
                <c:pt idx="5">
                  <c:v>0</c:v>
                </c:pt>
              </c:numCache>
            </c:numRef>
          </c:val>
        </c:ser>
        <c:dLbls/>
        <c:axId val="217418752"/>
        <c:axId val="217428736"/>
      </c:barChart>
      <c:catAx>
        <c:axId val="217418752"/>
        <c:scaling>
          <c:orientation val="minMax"/>
        </c:scaling>
        <c:axPos val="b"/>
        <c:numFmt formatCode="General" sourceLinked="0"/>
        <c:tickLblPos val="nextTo"/>
        <c:crossAx val="217428736"/>
        <c:crosses val="autoZero"/>
        <c:auto val="1"/>
        <c:lblAlgn val="ctr"/>
        <c:lblOffset val="100"/>
      </c:catAx>
      <c:valAx>
        <c:axId val="217428736"/>
        <c:scaling>
          <c:orientation val="minMax"/>
          <c:max val="0.9"/>
        </c:scaling>
        <c:axPos val="l"/>
        <c:majorGridlines/>
        <c:numFmt formatCode="0%" sourceLinked="0"/>
        <c:tickLblPos val="nextTo"/>
        <c:crossAx val="217418752"/>
        <c:crosses val="autoZero"/>
        <c:crossBetween val="between"/>
      </c:valAx>
    </c:plotArea>
    <c:legend>
      <c:legendPos val="b"/>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ND!$B$96</c:f>
              <c:strCache>
                <c:ptCount val="1"/>
                <c:pt idx="0">
                  <c:v>2012-2013</c:v>
                </c:pt>
              </c:strCache>
            </c:strRef>
          </c:tx>
          <c:spPr>
            <a:solidFill>
              <a:schemeClr val="bg1">
                <a:lumMod val="65000"/>
              </a:schemeClr>
            </a:solidFill>
          </c:spPr>
          <c:cat>
            <c:strRef>
              <c:f>ND!$A$97:$A$98</c:f>
              <c:strCache>
                <c:ptCount val="2"/>
                <c:pt idx="0">
                  <c:v>All disclosed </c:v>
                </c:pt>
                <c:pt idx="1">
                  <c:v>Disclosed in part </c:v>
                </c:pt>
              </c:strCache>
            </c:strRef>
          </c:cat>
          <c:val>
            <c:numRef>
              <c:f>ND!$B$97:$B$98</c:f>
              <c:numCache>
                <c:formatCode>0.00%</c:formatCode>
                <c:ptCount val="2"/>
                <c:pt idx="0">
                  <c:v>0.19249592169657423</c:v>
                </c:pt>
                <c:pt idx="1">
                  <c:v>0.46982055464926692</c:v>
                </c:pt>
              </c:numCache>
            </c:numRef>
          </c:val>
        </c:ser>
        <c:ser>
          <c:idx val="1"/>
          <c:order val="1"/>
          <c:tx>
            <c:strRef>
              <c:f>ND!$C$96</c:f>
              <c:strCache>
                <c:ptCount val="1"/>
                <c:pt idx="0">
                  <c:v>2013-2014</c:v>
                </c:pt>
              </c:strCache>
            </c:strRef>
          </c:tx>
          <c:spPr>
            <a:solidFill>
              <a:srgbClr val="FFC000"/>
            </a:solidFill>
          </c:spPr>
          <c:cat>
            <c:strRef>
              <c:f>ND!$A$97:$A$98</c:f>
              <c:strCache>
                <c:ptCount val="2"/>
                <c:pt idx="0">
                  <c:v>All disclosed </c:v>
                </c:pt>
                <c:pt idx="1">
                  <c:v>Disclosed in part </c:v>
                </c:pt>
              </c:strCache>
            </c:strRef>
          </c:cat>
          <c:val>
            <c:numRef>
              <c:f>ND!$C$97:$C$98</c:f>
              <c:numCache>
                <c:formatCode>0.00%</c:formatCode>
                <c:ptCount val="2"/>
                <c:pt idx="0">
                  <c:v>0.24290220820189318</c:v>
                </c:pt>
                <c:pt idx="1">
                  <c:v>0.47589004055881035</c:v>
                </c:pt>
              </c:numCache>
            </c:numRef>
          </c:val>
        </c:ser>
        <c:ser>
          <c:idx val="2"/>
          <c:order val="2"/>
          <c:tx>
            <c:strRef>
              <c:f>ND!$D$96</c:f>
              <c:strCache>
                <c:ptCount val="1"/>
                <c:pt idx="0">
                  <c:v>2014-2015</c:v>
                </c:pt>
              </c:strCache>
            </c:strRef>
          </c:tx>
          <c:spPr>
            <a:solidFill>
              <a:schemeClr val="accent5">
                <a:lumMod val="75000"/>
              </a:schemeClr>
            </a:solidFill>
          </c:spPr>
          <c:cat>
            <c:strRef>
              <c:f>ND!$A$97:$A$98</c:f>
              <c:strCache>
                <c:ptCount val="2"/>
                <c:pt idx="0">
                  <c:v>All disclosed </c:v>
                </c:pt>
                <c:pt idx="1">
                  <c:v>Disclosed in part </c:v>
                </c:pt>
              </c:strCache>
            </c:strRef>
          </c:cat>
          <c:val>
            <c:numRef>
              <c:f>ND!$D$97:$D$98</c:f>
              <c:numCache>
                <c:formatCode>0.00%</c:formatCode>
                <c:ptCount val="2"/>
                <c:pt idx="0">
                  <c:v>0.18461538461538507</c:v>
                </c:pt>
                <c:pt idx="1">
                  <c:v>0.40347394540942932</c:v>
                </c:pt>
              </c:numCache>
            </c:numRef>
          </c:val>
        </c:ser>
        <c:dLbls/>
        <c:axId val="243806592"/>
        <c:axId val="243808128"/>
      </c:barChart>
      <c:catAx>
        <c:axId val="243806592"/>
        <c:scaling>
          <c:orientation val="minMax"/>
        </c:scaling>
        <c:axPos val="b"/>
        <c:numFmt formatCode="General" sourceLinked="0"/>
        <c:tickLblPos val="nextTo"/>
        <c:crossAx val="243808128"/>
        <c:crosses val="autoZero"/>
        <c:auto val="1"/>
        <c:lblAlgn val="ctr"/>
        <c:lblOffset val="100"/>
      </c:catAx>
      <c:valAx>
        <c:axId val="243808128"/>
        <c:scaling>
          <c:orientation val="minMax"/>
        </c:scaling>
        <c:axPos val="l"/>
        <c:majorGridlines/>
        <c:numFmt formatCode="0%" sourceLinked="0"/>
        <c:tickLblPos val="nextTo"/>
        <c:crossAx val="243806592"/>
        <c:crosses val="autoZero"/>
        <c:crossBetween val="between"/>
      </c:valAx>
    </c:plotArea>
    <c:legend>
      <c:legendPos val="b"/>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HC!$B$2</c:f>
              <c:strCache>
                <c:ptCount val="1"/>
                <c:pt idx="0">
                  <c:v>2012-2013</c:v>
                </c:pt>
              </c:strCache>
            </c:strRef>
          </c:tx>
          <c:spPr>
            <a:solidFill>
              <a:schemeClr val="bg1">
                <a:lumMod val="65000"/>
              </a:schemeClr>
            </a:solidFill>
          </c:spPr>
          <c:cat>
            <c:strRef>
              <c:f>HC!$A$3:$A$8</c:f>
              <c:strCache>
                <c:ptCount val="6"/>
                <c:pt idx="0">
                  <c:v>30 days or less</c:v>
                </c:pt>
                <c:pt idx="1">
                  <c:v>31-60 days</c:v>
                </c:pt>
                <c:pt idx="2">
                  <c:v>61-120 days</c:v>
                </c:pt>
                <c:pt idx="3">
                  <c:v>121-180 days</c:v>
                </c:pt>
                <c:pt idx="4">
                  <c:v>181-365 days</c:v>
                </c:pt>
                <c:pt idx="5">
                  <c:v>More than 365 days</c:v>
                </c:pt>
              </c:strCache>
            </c:strRef>
          </c:cat>
          <c:val>
            <c:numRef>
              <c:f>HC!$B$3:$B$8</c:f>
              <c:numCache>
                <c:formatCode>0.00%</c:formatCode>
                <c:ptCount val="6"/>
                <c:pt idx="0">
                  <c:v>0.48190000000000038</c:v>
                </c:pt>
                <c:pt idx="1">
                  <c:v>0.1338</c:v>
                </c:pt>
                <c:pt idx="2">
                  <c:v>0.17700000000000021</c:v>
                </c:pt>
                <c:pt idx="3">
                  <c:v>6.9300000000000181E-2</c:v>
                </c:pt>
                <c:pt idx="4">
                  <c:v>7.4000000000000121E-2</c:v>
                </c:pt>
                <c:pt idx="5">
                  <c:v>6.3900000000000012E-2</c:v>
                </c:pt>
              </c:numCache>
            </c:numRef>
          </c:val>
        </c:ser>
        <c:ser>
          <c:idx val="1"/>
          <c:order val="1"/>
          <c:tx>
            <c:strRef>
              <c:f>HC!$C$2</c:f>
              <c:strCache>
                <c:ptCount val="1"/>
                <c:pt idx="0">
                  <c:v>2013-2014</c:v>
                </c:pt>
              </c:strCache>
            </c:strRef>
          </c:tx>
          <c:spPr>
            <a:solidFill>
              <a:srgbClr val="FFC000"/>
            </a:solidFill>
          </c:spPr>
          <c:cat>
            <c:strRef>
              <c:f>HC!$A$3:$A$8</c:f>
              <c:strCache>
                <c:ptCount val="6"/>
                <c:pt idx="0">
                  <c:v>30 days or less</c:v>
                </c:pt>
                <c:pt idx="1">
                  <c:v>31-60 days</c:v>
                </c:pt>
                <c:pt idx="2">
                  <c:v>61-120 days</c:v>
                </c:pt>
                <c:pt idx="3">
                  <c:v>121-180 days</c:v>
                </c:pt>
                <c:pt idx="4">
                  <c:v>181-365 days</c:v>
                </c:pt>
                <c:pt idx="5">
                  <c:v>More than 365 days</c:v>
                </c:pt>
              </c:strCache>
            </c:strRef>
          </c:cat>
          <c:val>
            <c:numRef>
              <c:f>HC!$C$3:$C$8</c:f>
              <c:numCache>
                <c:formatCode>0.00%</c:formatCode>
                <c:ptCount val="6"/>
                <c:pt idx="0">
                  <c:v>0.48480000000000073</c:v>
                </c:pt>
                <c:pt idx="1">
                  <c:v>0.11409999999999998</c:v>
                </c:pt>
                <c:pt idx="2">
                  <c:v>0.17840000000000036</c:v>
                </c:pt>
                <c:pt idx="3">
                  <c:v>4.7700000000000124E-2</c:v>
                </c:pt>
                <c:pt idx="4">
                  <c:v>4.5000000000000033E-2</c:v>
                </c:pt>
                <c:pt idx="5">
                  <c:v>0.13</c:v>
                </c:pt>
              </c:numCache>
            </c:numRef>
          </c:val>
        </c:ser>
        <c:ser>
          <c:idx val="2"/>
          <c:order val="2"/>
          <c:tx>
            <c:strRef>
              <c:f>HC!$D$2</c:f>
              <c:strCache>
                <c:ptCount val="1"/>
                <c:pt idx="0">
                  <c:v>2014-2015</c:v>
                </c:pt>
              </c:strCache>
            </c:strRef>
          </c:tx>
          <c:spPr>
            <a:solidFill>
              <a:schemeClr val="accent5">
                <a:lumMod val="75000"/>
              </a:schemeClr>
            </a:solidFill>
          </c:spPr>
          <c:cat>
            <c:strRef>
              <c:f>HC!$A$3:$A$8</c:f>
              <c:strCache>
                <c:ptCount val="6"/>
                <c:pt idx="0">
                  <c:v>30 days or less</c:v>
                </c:pt>
                <c:pt idx="1">
                  <c:v>31-60 days</c:v>
                </c:pt>
                <c:pt idx="2">
                  <c:v>61-120 days</c:v>
                </c:pt>
                <c:pt idx="3">
                  <c:v>121-180 days</c:v>
                </c:pt>
                <c:pt idx="4">
                  <c:v>181-365 days</c:v>
                </c:pt>
                <c:pt idx="5">
                  <c:v>More than 365 days</c:v>
                </c:pt>
              </c:strCache>
            </c:strRef>
          </c:cat>
          <c:val>
            <c:numRef>
              <c:f>HC!$D$3:$D$8</c:f>
              <c:numCache>
                <c:formatCode>0.00%</c:formatCode>
                <c:ptCount val="6"/>
                <c:pt idx="0">
                  <c:v>0.52039999999999997</c:v>
                </c:pt>
                <c:pt idx="1">
                  <c:v>0.11899999999999998</c:v>
                </c:pt>
                <c:pt idx="2">
                  <c:v>0.20920000000000033</c:v>
                </c:pt>
                <c:pt idx="3">
                  <c:v>4.5100000000000022E-2</c:v>
                </c:pt>
                <c:pt idx="4">
                  <c:v>3.5200000000000051E-2</c:v>
                </c:pt>
                <c:pt idx="5">
                  <c:v>7.110000000000001E-2</c:v>
                </c:pt>
              </c:numCache>
            </c:numRef>
          </c:val>
        </c:ser>
        <c:dLbls/>
        <c:axId val="243843456"/>
        <c:axId val="243844992"/>
      </c:barChart>
      <c:catAx>
        <c:axId val="243843456"/>
        <c:scaling>
          <c:orientation val="minMax"/>
        </c:scaling>
        <c:axPos val="b"/>
        <c:numFmt formatCode="General" sourceLinked="0"/>
        <c:tickLblPos val="nextTo"/>
        <c:crossAx val="243844992"/>
        <c:crosses val="autoZero"/>
        <c:auto val="1"/>
        <c:lblAlgn val="ctr"/>
        <c:lblOffset val="100"/>
      </c:catAx>
      <c:valAx>
        <c:axId val="243844992"/>
        <c:scaling>
          <c:orientation val="minMax"/>
        </c:scaling>
        <c:axPos val="l"/>
        <c:majorGridlines/>
        <c:numFmt formatCode="0%" sourceLinked="0"/>
        <c:tickLblPos val="nextTo"/>
        <c:crossAx val="243843456"/>
        <c:crosses val="autoZero"/>
        <c:crossBetween val="between"/>
      </c:valAx>
    </c:plotArea>
    <c:legend>
      <c:legendPos val="b"/>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HC!$B$30</c:f>
              <c:strCache>
                <c:ptCount val="1"/>
                <c:pt idx="0">
                  <c:v>2012-2013</c:v>
                </c:pt>
              </c:strCache>
            </c:strRef>
          </c:tx>
          <c:spPr>
            <a:solidFill>
              <a:schemeClr val="bg1">
                <a:lumMod val="65000"/>
              </a:schemeClr>
            </a:solidFill>
          </c:spPr>
          <c:cat>
            <c:strRef>
              <c:f>HC!$A$31:$A$36</c:f>
              <c:strCache>
                <c:ptCount val="6"/>
                <c:pt idx="0">
                  <c:v> 30 days or less</c:v>
                </c:pt>
                <c:pt idx="1">
                  <c:v>31-60 days</c:v>
                </c:pt>
                <c:pt idx="2">
                  <c:v>61-120 days </c:v>
                </c:pt>
                <c:pt idx="3">
                  <c:v>121-180 days </c:v>
                </c:pt>
                <c:pt idx="4">
                  <c:v>181-365 days </c:v>
                </c:pt>
                <c:pt idx="5">
                  <c:v>More than 365 days </c:v>
                </c:pt>
              </c:strCache>
            </c:strRef>
          </c:cat>
          <c:val>
            <c:numRef>
              <c:f>HC!$B$31:$B$36</c:f>
              <c:numCache>
                <c:formatCode>0.00%</c:formatCode>
                <c:ptCount val="6"/>
                <c:pt idx="0">
                  <c:v>0.12549537648612999</c:v>
                </c:pt>
                <c:pt idx="1">
                  <c:v>0.42404227212681705</c:v>
                </c:pt>
                <c:pt idx="2">
                  <c:v>0.31043593130779462</c:v>
                </c:pt>
                <c:pt idx="3">
                  <c:v>4.3593130779392336E-2</c:v>
                </c:pt>
                <c:pt idx="4">
                  <c:v>6.4729194187582564E-2</c:v>
                </c:pt>
                <c:pt idx="5">
                  <c:v>3.1704095112285342E-2</c:v>
                </c:pt>
              </c:numCache>
            </c:numRef>
          </c:val>
        </c:ser>
        <c:ser>
          <c:idx val="1"/>
          <c:order val="1"/>
          <c:tx>
            <c:strRef>
              <c:f>HC!$C$30</c:f>
              <c:strCache>
                <c:ptCount val="1"/>
                <c:pt idx="0">
                  <c:v>2013-2014</c:v>
                </c:pt>
              </c:strCache>
            </c:strRef>
          </c:tx>
          <c:spPr>
            <a:solidFill>
              <a:srgbClr val="FFC000"/>
            </a:solidFill>
          </c:spPr>
          <c:cat>
            <c:strRef>
              <c:f>HC!$A$31:$A$36</c:f>
              <c:strCache>
                <c:ptCount val="6"/>
                <c:pt idx="0">
                  <c:v> 30 days or less</c:v>
                </c:pt>
                <c:pt idx="1">
                  <c:v>31-60 days</c:v>
                </c:pt>
                <c:pt idx="2">
                  <c:v>61-120 days </c:v>
                </c:pt>
                <c:pt idx="3">
                  <c:v>121-180 days </c:v>
                </c:pt>
                <c:pt idx="4">
                  <c:v>181-365 days </c:v>
                </c:pt>
                <c:pt idx="5">
                  <c:v>More than 365 days </c:v>
                </c:pt>
              </c:strCache>
            </c:strRef>
          </c:cat>
          <c:val>
            <c:numRef>
              <c:f>HC!$C$31:$C$36</c:f>
              <c:numCache>
                <c:formatCode>0.00%</c:formatCode>
                <c:ptCount val="6"/>
                <c:pt idx="0">
                  <c:v>0.13908205841446489</c:v>
                </c:pt>
                <c:pt idx="1">
                  <c:v>0.53824756606397772</c:v>
                </c:pt>
                <c:pt idx="2">
                  <c:v>0.23087621696801078</c:v>
                </c:pt>
                <c:pt idx="3">
                  <c:v>4.3115438108484005E-2</c:v>
                </c:pt>
                <c:pt idx="4">
                  <c:v>2.6425591098748237E-2</c:v>
                </c:pt>
                <c:pt idx="5">
                  <c:v>2.2253129346314352E-2</c:v>
                </c:pt>
              </c:numCache>
            </c:numRef>
          </c:val>
        </c:ser>
        <c:ser>
          <c:idx val="2"/>
          <c:order val="2"/>
          <c:tx>
            <c:strRef>
              <c:f>HC!$D$30</c:f>
              <c:strCache>
                <c:ptCount val="1"/>
                <c:pt idx="0">
                  <c:v>2014-2015</c:v>
                </c:pt>
              </c:strCache>
            </c:strRef>
          </c:tx>
          <c:spPr>
            <a:solidFill>
              <a:schemeClr val="accent5">
                <a:lumMod val="75000"/>
              </a:schemeClr>
            </a:solidFill>
          </c:spPr>
          <c:cat>
            <c:strRef>
              <c:f>HC!$A$31:$A$36</c:f>
              <c:strCache>
                <c:ptCount val="6"/>
                <c:pt idx="0">
                  <c:v> 30 days or less</c:v>
                </c:pt>
                <c:pt idx="1">
                  <c:v>31-60 days</c:v>
                </c:pt>
                <c:pt idx="2">
                  <c:v>61-120 days </c:v>
                </c:pt>
                <c:pt idx="3">
                  <c:v>121-180 days </c:v>
                </c:pt>
                <c:pt idx="4">
                  <c:v>181-365 days </c:v>
                </c:pt>
                <c:pt idx="5">
                  <c:v>More than 365 days </c:v>
                </c:pt>
              </c:strCache>
            </c:strRef>
          </c:cat>
          <c:val>
            <c:numRef>
              <c:f>HC!$D$31:$D$36</c:f>
              <c:numCache>
                <c:formatCode>0.00%</c:formatCode>
                <c:ptCount val="6"/>
                <c:pt idx="0">
                  <c:v>0.13256484149855907</c:v>
                </c:pt>
                <c:pt idx="1">
                  <c:v>0.62391930835734866</c:v>
                </c:pt>
                <c:pt idx="2">
                  <c:v>0.17723342939481271</c:v>
                </c:pt>
                <c:pt idx="3">
                  <c:v>3.1700288184438041E-2</c:v>
                </c:pt>
                <c:pt idx="4">
                  <c:v>2.3054755043227664E-2</c:v>
                </c:pt>
                <c:pt idx="5">
                  <c:v>1.1527377521613841E-2</c:v>
                </c:pt>
              </c:numCache>
            </c:numRef>
          </c:val>
        </c:ser>
        <c:dLbls/>
        <c:axId val="243896320"/>
        <c:axId val="243897856"/>
      </c:barChart>
      <c:catAx>
        <c:axId val="243896320"/>
        <c:scaling>
          <c:orientation val="minMax"/>
        </c:scaling>
        <c:axPos val="b"/>
        <c:numFmt formatCode="General" sourceLinked="0"/>
        <c:tickLblPos val="nextTo"/>
        <c:crossAx val="243897856"/>
        <c:crosses val="autoZero"/>
        <c:auto val="1"/>
        <c:lblAlgn val="ctr"/>
        <c:lblOffset val="100"/>
      </c:catAx>
      <c:valAx>
        <c:axId val="243897856"/>
        <c:scaling>
          <c:orientation val="minMax"/>
        </c:scaling>
        <c:axPos val="l"/>
        <c:majorGridlines/>
        <c:numFmt formatCode="0%" sourceLinked="0"/>
        <c:tickLblPos val="nextTo"/>
        <c:crossAx val="243896320"/>
        <c:crosses val="autoZero"/>
        <c:crossBetween val="between"/>
      </c:valAx>
    </c:plotArea>
    <c:legend>
      <c:legendPos val="b"/>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HC!$B$58</c:f>
              <c:strCache>
                <c:ptCount val="1"/>
                <c:pt idx="0">
                  <c:v>2014-2015</c:v>
                </c:pt>
              </c:strCache>
            </c:strRef>
          </c:tx>
          <c:dPt>
            <c:idx val="0"/>
            <c:spPr>
              <a:solidFill>
                <a:schemeClr val="accent5">
                  <a:lumMod val="75000"/>
                </a:schemeClr>
              </a:solidFill>
            </c:spPr>
          </c:dPt>
          <c:dPt>
            <c:idx val="1"/>
            <c:spPr>
              <a:solidFill>
                <a:schemeClr val="accent6">
                  <a:lumMod val="50000"/>
                </a:schemeClr>
              </a:solidFill>
            </c:spPr>
          </c:dPt>
          <c:dPt>
            <c:idx val="2"/>
            <c:spPr>
              <a:solidFill>
                <a:schemeClr val="accent5">
                  <a:lumMod val="60000"/>
                  <a:lumOff val="40000"/>
                </a:schemeClr>
              </a:solidFill>
            </c:spPr>
          </c:dPt>
          <c:dPt>
            <c:idx val="3"/>
            <c:spPr>
              <a:solidFill>
                <a:schemeClr val="tx2">
                  <a:lumMod val="75000"/>
                </a:schemeClr>
              </a:solidFill>
            </c:spPr>
          </c:dPt>
          <c:dPt>
            <c:idx val="4"/>
            <c:spPr>
              <a:solidFill>
                <a:schemeClr val="bg1">
                  <a:lumMod val="50000"/>
                </a:schemeClr>
              </a:solidFill>
            </c:spPr>
          </c:dPt>
          <c:dPt>
            <c:idx val="6"/>
            <c:spPr>
              <a:solidFill>
                <a:srgbClr val="FFC000"/>
              </a:solidFill>
            </c:spPr>
          </c:dPt>
          <c:dLbls>
            <c:dLbl>
              <c:idx val="0"/>
              <c:layout>
                <c:manualLayout>
                  <c:x val="3.4922318818163336E-2"/>
                  <c:y val="4.271666856618675E-2"/>
                </c:manualLayout>
              </c:layout>
              <c:showPercent val="1"/>
              <c:extLst>
                <c:ext xmlns:c15="http://schemas.microsoft.com/office/drawing/2012/chart" uri="{CE6537A1-D6FC-4f65-9D91-7224C49458BB}"/>
              </c:extLst>
            </c:dLbl>
            <c:dLbl>
              <c:idx val="1"/>
              <c:layout>
                <c:manualLayout>
                  <c:x val="1.3565079530533642E-2"/>
                  <c:y val="3.420866919188538E-2"/>
                </c:manualLayout>
              </c:layout>
              <c:showPercent val="1"/>
              <c:extLst>
                <c:ext xmlns:c15="http://schemas.microsoft.com/office/drawing/2012/chart" uri="{CE6537A1-D6FC-4f65-9D91-7224C49458BB}"/>
              </c:extLst>
            </c:dLbl>
            <c:dLbl>
              <c:idx val="2"/>
              <c:layout>
                <c:manualLayout>
                  <c:x val="-3.0934611963961186E-3"/>
                  <c:y val="-1.7770364025332309E-2"/>
                </c:manualLayout>
              </c:layout>
              <c:showPercent val="1"/>
              <c:extLst>
                <c:ext xmlns:c15="http://schemas.microsoft.com/office/drawing/2012/chart" uri="{CE6537A1-D6FC-4f65-9D91-7224C49458BB}"/>
              </c:extLst>
            </c:dLbl>
            <c:dLbl>
              <c:idx val="3"/>
              <c:layout>
                <c:manualLayout>
                  <c:x val="4.9170061348042977E-3"/>
                  <c:y val="2.3228572352284008E-3"/>
                </c:manualLayout>
              </c:layout>
              <c:showPercent val="1"/>
              <c:extLst>
                <c:ext xmlns:c15="http://schemas.microsoft.com/office/drawing/2012/chart" uri="{CE6537A1-D6FC-4f65-9D91-7224C49458BB}"/>
              </c:extLst>
            </c:dLbl>
            <c:dLbl>
              <c:idx val="4"/>
              <c:layout>
                <c:manualLayout>
                  <c:x val="-6.4145569247790225E-4"/>
                  <c:y val="5.0006951787757454E-3"/>
                </c:manualLayout>
              </c:layout>
              <c:showPercent val="1"/>
              <c:extLst>
                <c:ext xmlns:c15="http://schemas.microsoft.com/office/drawing/2012/chart" uri="{CE6537A1-D6FC-4f65-9D91-7224C49458BB}"/>
              </c:extLst>
            </c:dLbl>
            <c:dLbl>
              <c:idx val="5"/>
              <c:layout>
                <c:manualLayout>
                  <c:x val="8.3176278532556183E-3"/>
                  <c:y val="-6.1136243920583318E-3"/>
                </c:manualLayout>
              </c:layout>
              <c:showPercent val="1"/>
              <c:extLst>
                <c:ext xmlns:c15="http://schemas.microsoft.com/office/drawing/2012/chart" uri="{CE6537A1-D6FC-4f65-9D91-7224C49458BB}"/>
              </c:extLst>
            </c:dLbl>
            <c:dLbl>
              <c:idx val="6"/>
              <c:layout>
                <c:manualLayout>
                  <c:x val="-7.4428844508181713E-3"/>
                  <c:y val="2.6568353168350489E-2"/>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HC!$A$59:$A$65</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HC!$B$59:$B$65</c:f>
              <c:numCache>
                <c:formatCode>General</c:formatCode>
                <c:ptCount val="7"/>
                <c:pt idx="0">
                  <c:v>29</c:v>
                </c:pt>
                <c:pt idx="1">
                  <c:v>18</c:v>
                </c:pt>
                <c:pt idx="2">
                  <c:v>15</c:v>
                </c:pt>
                <c:pt idx="3">
                  <c:v>18</c:v>
                </c:pt>
                <c:pt idx="4">
                  <c:v>9</c:v>
                </c:pt>
                <c:pt idx="5">
                  <c:v>32</c:v>
                </c:pt>
                <c:pt idx="6">
                  <c:v>86</c:v>
                </c:pt>
              </c:numCache>
            </c:numRef>
          </c:val>
        </c:ser>
        <c:dLbls/>
        <c:firstSliceAng val="0"/>
      </c:pieChart>
    </c:plotArea>
    <c:legend>
      <c:legendPos val="r"/>
    </c:legend>
    <c:plotVisOnly val="1"/>
    <c:dispBlanksAs val="zero"/>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HC!$B$88</c:f>
              <c:strCache>
                <c:ptCount val="1"/>
                <c:pt idx="0">
                  <c:v>2012-2013</c:v>
                </c:pt>
              </c:strCache>
            </c:strRef>
          </c:tx>
          <c:spPr>
            <a:solidFill>
              <a:schemeClr val="bg1">
                <a:lumMod val="50000"/>
              </a:schemeClr>
            </a:solidFill>
          </c:spPr>
          <c:cat>
            <c:strRef>
              <c:f>HC!$A$89:$A$90</c:f>
              <c:strCache>
                <c:ptCount val="2"/>
                <c:pt idx="0">
                  <c:v>All disclosed </c:v>
                </c:pt>
                <c:pt idx="1">
                  <c:v>Disclosed in part </c:v>
                </c:pt>
              </c:strCache>
            </c:strRef>
          </c:cat>
          <c:val>
            <c:numRef>
              <c:f>HC!$B$89:$B$90</c:f>
              <c:numCache>
                <c:formatCode>0.00%</c:formatCode>
                <c:ptCount val="2"/>
                <c:pt idx="0">
                  <c:v>0.13558318531675548</c:v>
                </c:pt>
                <c:pt idx="1">
                  <c:v>0.53641207815275116</c:v>
                </c:pt>
              </c:numCache>
            </c:numRef>
          </c:val>
        </c:ser>
        <c:ser>
          <c:idx val="1"/>
          <c:order val="1"/>
          <c:tx>
            <c:strRef>
              <c:f>HC!$C$88</c:f>
              <c:strCache>
                <c:ptCount val="1"/>
                <c:pt idx="0">
                  <c:v>2013-2014</c:v>
                </c:pt>
              </c:strCache>
            </c:strRef>
          </c:tx>
          <c:spPr>
            <a:solidFill>
              <a:srgbClr val="FFC000"/>
            </a:solidFill>
          </c:spPr>
          <c:cat>
            <c:strRef>
              <c:f>HC!$A$89:$A$90</c:f>
              <c:strCache>
                <c:ptCount val="2"/>
                <c:pt idx="0">
                  <c:v>All disclosed </c:v>
                </c:pt>
                <c:pt idx="1">
                  <c:v>Disclosed in part </c:v>
                </c:pt>
              </c:strCache>
            </c:strRef>
          </c:cat>
          <c:val>
            <c:numRef>
              <c:f>HC!$C$89:$C$90</c:f>
              <c:numCache>
                <c:formatCode>0.00%</c:formatCode>
                <c:ptCount val="2"/>
                <c:pt idx="0">
                  <c:v>0.13485477178423236</c:v>
                </c:pt>
                <c:pt idx="1">
                  <c:v>0.54149377593360959</c:v>
                </c:pt>
              </c:numCache>
            </c:numRef>
          </c:val>
        </c:ser>
        <c:ser>
          <c:idx val="2"/>
          <c:order val="2"/>
          <c:tx>
            <c:strRef>
              <c:f>HC!$D$88</c:f>
              <c:strCache>
                <c:ptCount val="1"/>
                <c:pt idx="0">
                  <c:v>2014-2015</c:v>
                </c:pt>
              </c:strCache>
            </c:strRef>
          </c:tx>
          <c:spPr>
            <a:solidFill>
              <a:schemeClr val="accent5">
                <a:lumMod val="75000"/>
              </a:schemeClr>
            </a:solidFill>
          </c:spPr>
          <c:cat>
            <c:strRef>
              <c:f>HC!$A$89:$A$90</c:f>
              <c:strCache>
                <c:ptCount val="2"/>
                <c:pt idx="0">
                  <c:v>All disclosed </c:v>
                </c:pt>
                <c:pt idx="1">
                  <c:v>Disclosed in part </c:v>
                </c:pt>
              </c:strCache>
            </c:strRef>
          </c:cat>
          <c:val>
            <c:numRef>
              <c:f>HC!$D$89:$D$90</c:f>
              <c:numCache>
                <c:formatCode>0.00%</c:formatCode>
                <c:ptCount val="2"/>
                <c:pt idx="0">
                  <c:v>0.11338028169014085</c:v>
                </c:pt>
                <c:pt idx="1">
                  <c:v>0.50281690140845059</c:v>
                </c:pt>
              </c:numCache>
            </c:numRef>
          </c:val>
        </c:ser>
        <c:dLbls/>
        <c:axId val="244022656"/>
        <c:axId val="244032640"/>
      </c:barChart>
      <c:catAx>
        <c:axId val="244022656"/>
        <c:scaling>
          <c:orientation val="minMax"/>
        </c:scaling>
        <c:axPos val="b"/>
        <c:numFmt formatCode="General" sourceLinked="0"/>
        <c:tickLblPos val="nextTo"/>
        <c:crossAx val="244032640"/>
        <c:crosses val="autoZero"/>
        <c:auto val="1"/>
        <c:lblAlgn val="ctr"/>
        <c:lblOffset val="100"/>
      </c:catAx>
      <c:valAx>
        <c:axId val="244032640"/>
        <c:scaling>
          <c:orientation val="minMax"/>
        </c:scaling>
        <c:axPos val="l"/>
        <c:majorGridlines/>
        <c:numFmt formatCode="0%" sourceLinked="0"/>
        <c:tickLblPos val="nextTo"/>
        <c:crossAx val="244022656"/>
        <c:crosses val="autoZero"/>
        <c:crossBetween val="between"/>
      </c:valAx>
    </c:plotArea>
    <c:legend>
      <c:legendPos val="b"/>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ECCC!$B$2</c:f>
              <c:strCache>
                <c:ptCount val="1"/>
                <c:pt idx="0">
                  <c:v>2012-2013</c:v>
                </c:pt>
              </c:strCache>
            </c:strRef>
          </c:tx>
          <c:spPr>
            <a:solidFill>
              <a:schemeClr val="bg1">
                <a:lumMod val="65000"/>
              </a:schemeClr>
            </a:solidFill>
          </c:spPr>
          <c:cat>
            <c:strRef>
              <c:f>ECCC!$A$3:$A$8</c:f>
              <c:strCache>
                <c:ptCount val="6"/>
                <c:pt idx="0">
                  <c:v>30 days or less</c:v>
                </c:pt>
                <c:pt idx="1">
                  <c:v>31-60 days</c:v>
                </c:pt>
                <c:pt idx="2">
                  <c:v>61-120 days</c:v>
                </c:pt>
                <c:pt idx="3">
                  <c:v>121-180 days</c:v>
                </c:pt>
                <c:pt idx="4">
                  <c:v>181-365 days</c:v>
                </c:pt>
                <c:pt idx="5">
                  <c:v>More than 365 days</c:v>
                </c:pt>
              </c:strCache>
            </c:strRef>
          </c:cat>
          <c:val>
            <c:numRef>
              <c:f>ECCC!$B$3:$B$8</c:f>
              <c:numCache>
                <c:formatCode>0.00%</c:formatCode>
                <c:ptCount val="6"/>
                <c:pt idx="0">
                  <c:v>0.65911602209944764</c:v>
                </c:pt>
                <c:pt idx="1">
                  <c:v>0.10718232044198948</c:v>
                </c:pt>
                <c:pt idx="2">
                  <c:v>0.14751381215469644</c:v>
                </c:pt>
                <c:pt idx="3">
                  <c:v>4.3646408839779015E-2</c:v>
                </c:pt>
                <c:pt idx="4">
                  <c:v>2.9281767955801199E-2</c:v>
                </c:pt>
                <c:pt idx="5">
                  <c:v>1.3259668508287303E-2</c:v>
                </c:pt>
              </c:numCache>
            </c:numRef>
          </c:val>
        </c:ser>
        <c:ser>
          <c:idx val="1"/>
          <c:order val="1"/>
          <c:tx>
            <c:strRef>
              <c:f>ECCC!$C$2</c:f>
              <c:strCache>
                <c:ptCount val="1"/>
                <c:pt idx="0">
                  <c:v>2013-2014</c:v>
                </c:pt>
              </c:strCache>
            </c:strRef>
          </c:tx>
          <c:spPr>
            <a:solidFill>
              <a:srgbClr val="FFC000"/>
            </a:solidFill>
          </c:spPr>
          <c:cat>
            <c:strRef>
              <c:f>ECCC!$A$3:$A$8</c:f>
              <c:strCache>
                <c:ptCount val="6"/>
                <c:pt idx="0">
                  <c:v>30 days or less</c:v>
                </c:pt>
                <c:pt idx="1">
                  <c:v>31-60 days</c:v>
                </c:pt>
                <c:pt idx="2">
                  <c:v>61-120 days</c:v>
                </c:pt>
                <c:pt idx="3">
                  <c:v>121-180 days</c:v>
                </c:pt>
                <c:pt idx="4">
                  <c:v>181-365 days</c:v>
                </c:pt>
                <c:pt idx="5">
                  <c:v>More than 365 days</c:v>
                </c:pt>
              </c:strCache>
            </c:strRef>
          </c:cat>
          <c:val>
            <c:numRef>
              <c:f>ECCC!$C$3:$C$8</c:f>
              <c:numCache>
                <c:formatCode>0.00%</c:formatCode>
                <c:ptCount val="6"/>
                <c:pt idx="0">
                  <c:v>0.7542134831460674</c:v>
                </c:pt>
                <c:pt idx="1">
                  <c:v>5.0561797752809112E-2</c:v>
                </c:pt>
                <c:pt idx="2">
                  <c:v>7.3033707865168759E-2</c:v>
                </c:pt>
                <c:pt idx="3">
                  <c:v>4.4943820224719107E-2</c:v>
                </c:pt>
                <c:pt idx="4">
                  <c:v>5.5477528089887693E-2</c:v>
                </c:pt>
                <c:pt idx="5">
                  <c:v>2.1769662921348316E-2</c:v>
                </c:pt>
              </c:numCache>
            </c:numRef>
          </c:val>
        </c:ser>
        <c:ser>
          <c:idx val="2"/>
          <c:order val="2"/>
          <c:tx>
            <c:strRef>
              <c:f>ECCC!$D$2</c:f>
              <c:strCache>
                <c:ptCount val="1"/>
                <c:pt idx="0">
                  <c:v>2014-2015</c:v>
                </c:pt>
              </c:strCache>
            </c:strRef>
          </c:tx>
          <c:spPr>
            <a:solidFill>
              <a:schemeClr val="accent5">
                <a:lumMod val="75000"/>
              </a:schemeClr>
            </a:solidFill>
          </c:spPr>
          <c:cat>
            <c:strRef>
              <c:f>ECCC!$A$3:$A$8</c:f>
              <c:strCache>
                <c:ptCount val="6"/>
                <c:pt idx="0">
                  <c:v>30 days or less</c:v>
                </c:pt>
                <c:pt idx="1">
                  <c:v>31-60 days</c:v>
                </c:pt>
                <c:pt idx="2">
                  <c:v>61-120 days</c:v>
                </c:pt>
                <c:pt idx="3">
                  <c:v>121-180 days</c:v>
                </c:pt>
                <c:pt idx="4">
                  <c:v>181-365 days</c:v>
                </c:pt>
                <c:pt idx="5">
                  <c:v>More than 365 days</c:v>
                </c:pt>
              </c:strCache>
            </c:strRef>
          </c:cat>
          <c:val>
            <c:numRef>
              <c:f>ECCC!$D$3:$D$8</c:f>
              <c:numCache>
                <c:formatCode>0.00%</c:formatCode>
                <c:ptCount val="6"/>
                <c:pt idx="0">
                  <c:v>0.72107438016528924</c:v>
                </c:pt>
                <c:pt idx="1">
                  <c:v>9.2286501377410513E-2</c:v>
                </c:pt>
                <c:pt idx="2">
                  <c:v>9.4352617079890025E-2</c:v>
                </c:pt>
                <c:pt idx="3">
                  <c:v>3.4435261707989065E-2</c:v>
                </c:pt>
                <c:pt idx="4">
                  <c:v>4.063360881542713E-2</c:v>
                </c:pt>
                <c:pt idx="5">
                  <c:v>1.7217630853994467E-2</c:v>
                </c:pt>
              </c:numCache>
            </c:numRef>
          </c:val>
        </c:ser>
        <c:dLbls/>
        <c:axId val="243944448"/>
        <c:axId val="243958528"/>
      </c:barChart>
      <c:catAx>
        <c:axId val="243944448"/>
        <c:scaling>
          <c:orientation val="minMax"/>
        </c:scaling>
        <c:axPos val="b"/>
        <c:numFmt formatCode="General" sourceLinked="0"/>
        <c:tickLblPos val="nextTo"/>
        <c:crossAx val="243958528"/>
        <c:crosses val="autoZero"/>
        <c:auto val="1"/>
        <c:lblAlgn val="ctr"/>
        <c:lblOffset val="100"/>
      </c:catAx>
      <c:valAx>
        <c:axId val="243958528"/>
        <c:scaling>
          <c:orientation val="minMax"/>
        </c:scaling>
        <c:axPos val="l"/>
        <c:majorGridlines/>
        <c:numFmt formatCode="0%" sourceLinked="0"/>
        <c:tickLblPos val="nextTo"/>
        <c:crossAx val="243944448"/>
        <c:crosses val="autoZero"/>
        <c:crossBetween val="between"/>
      </c:valAx>
    </c:plotArea>
    <c:legend>
      <c:legendPos val="b"/>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ECCC!$B$36</c:f>
              <c:strCache>
                <c:ptCount val="1"/>
                <c:pt idx="0">
                  <c:v>2012-2013</c:v>
                </c:pt>
              </c:strCache>
            </c:strRef>
          </c:tx>
          <c:spPr>
            <a:solidFill>
              <a:schemeClr val="bg1">
                <a:lumMod val="65000"/>
              </a:schemeClr>
            </a:solidFill>
          </c:spPr>
          <c:cat>
            <c:strRef>
              <c:f>ECCC!$A$37:$A$42</c:f>
              <c:strCache>
                <c:ptCount val="6"/>
                <c:pt idx="0">
                  <c:v> 30 days or less</c:v>
                </c:pt>
                <c:pt idx="1">
                  <c:v>31-60 days</c:v>
                </c:pt>
                <c:pt idx="2">
                  <c:v>61-120 days </c:v>
                </c:pt>
                <c:pt idx="3">
                  <c:v>121-180 days </c:v>
                </c:pt>
                <c:pt idx="4">
                  <c:v>181-365 days </c:v>
                </c:pt>
                <c:pt idx="5">
                  <c:v>More than 365 days </c:v>
                </c:pt>
              </c:strCache>
            </c:strRef>
          </c:cat>
          <c:val>
            <c:numRef>
              <c:f>ECCC!$B$37:$B$42</c:f>
              <c:numCache>
                <c:formatCode>0.00%</c:formatCode>
                <c:ptCount val="6"/>
                <c:pt idx="0">
                  <c:v>0.37569832402234637</c:v>
                </c:pt>
                <c:pt idx="1">
                  <c:v>0.40502793296089468</c:v>
                </c:pt>
                <c:pt idx="2">
                  <c:v>0.21787709497206745</c:v>
                </c:pt>
                <c:pt idx="3">
                  <c:v>0</c:v>
                </c:pt>
                <c:pt idx="4">
                  <c:v>1.3966480446927451E-3</c:v>
                </c:pt>
                <c:pt idx="5">
                  <c:v>0</c:v>
                </c:pt>
              </c:numCache>
            </c:numRef>
          </c:val>
        </c:ser>
        <c:ser>
          <c:idx val="1"/>
          <c:order val="1"/>
          <c:tx>
            <c:strRef>
              <c:f>ECCC!$C$36</c:f>
              <c:strCache>
                <c:ptCount val="1"/>
                <c:pt idx="0">
                  <c:v>2013-2014</c:v>
                </c:pt>
              </c:strCache>
            </c:strRef>
          </c:tx>
          <c:spPr>
            <a:solidFill>
              <a:srgbClr val="FFC000"/>
            </a:solidFill>
          </c:spPr>
          <c:cat>
            <c:strRef>
              <c:f>ECCC!$A$37:$A$42</c:f>
              <c:strCache>
                <c:ptCount val="6"/>
                <c:pt idx="0">
                  <c:v> 30 days or less</c:v>
                </c:pt>
                <c:pt idx="1">
                  <c:v>31-60 days</c:v>
                </c:pt>
                <c:pt idx="2">
                  <c:v>61-120 days </c:v>
                </c:pt>
                <c:pt idx="3">
                  <c:v>121-180 days </c:v>
                </c:pt>
                <c:pt idx="4">
                  <c:v>181-365 days </c:v>
                </c:pt>
                <c:pt idx="5">
                  <c:v>More than 365 days </c:v>
                </c:pt>
              </c:strCache>
            </c:strRef>
          </c:cat>
          <c:val>
            <c:numRef>
              <c:f>ECCC!$C$37:$C$42</c:f>
              <c:numCache>
                <c:formatCode>0.00%</c:formatCode>
                <c:ptCount val="6"/>
                <c:pt idx="0">
                  <c:v>0.38865546218487568</c:v>
                </c:pt>
                <c:pt idx="1">
                  <c:v>0.4033613445378153</c:v>
                </c:pt>
                <c:pt idx="2">
                  <c:v>0.19747899159663909</c:v>
                </c:pt>
                <c:pt idx="3">
                  <c:v>1.0504201680672285E-2</c:v>
                </c:pt>
                <c:pt idx="4">
                  <c:v>0</c:v>
                </c:pt>
                <c:pt idx="5">
                  <c:v>0</c:v>
                </c:pt>
              </c:numCache>
            </c:numRef>
          </c:val>
        </c:ser>
        <c:ser>
          <c:idx val="2"/>
          <c:order val="2"/>
          <c:tx>
            <c:strRef>
              <c:f>ECCC!$D$36</c:f>
              <c:strCache>
                <c:ptCount val="1"/>
                <c:pt idx="0">
                  <c:v>2014-2015</c:v>
                </c:pt>
              </c:strCache>
            </c:strRef>
          </c:tx>
          <c:spPr>
            <a:solidFill>
              <a:schemeClr val="accent5">
                <a:lumMod val="75000"/>
              </a:schemeClr>
            </a:solidFill>
          </c:spPr>
          <c:cat>
            <c:strRef>
              <c:f>ECCC!$A$37:$A$42</c:f>
              <c:strCache>
                <c:ptCount val="6"/>
                <c:pt idx="0">
                  <c:v> 30 days or less</c:v>
                </c:pt>
                <c:pt idx="1">
                  <c:v>31-60 days</c:v>
                </c:pt>
                <c:pt idx="2">
                  <c:v>61-120 days </c:v>
                </c:pt>
                <c:pt idx="3">
                  <c:v>121-180 days </c:v>
                </c:pt>
                <c:pt idx="4">
                  <c:v>181-365 days </c:v>
                </c:pt>
                <c:pt idx="5">
                  <c:v>More than 365 days </c:v>
                </c:pt>
              </c:strCache>
            </c:strRef>
          </c:cat>
          <c:val>
            <c:numRef>
              <c:f>ECCC!$D$37:$D$42</c:f>
              <c:numCache>
                <c:formatCode>0.00%</c:formatCode>
                <c:ptCount val="6"/>
                <c:pt idx="0">
                  <c:v>0.3734000000000009</c:v>
                </c:pt>
                <c:pt idx="1">
                  <c:v>0.52129999999999999</c:v>
                </c:pt>
                <c:pt idx="2">
                  <c:v>0.10170000000000012</c:v>
                </c:pt>
                <c:pt idx="3">
                  <c:v>0</c:v>
                </c:pt>
                <c:pt idx="4">
                  <c:v>3.7000000000000123E-3</c:v>
                </c:pt>
                <c:pt idx="5">
                  <c:v>0</c:v>
                </c:pt>
              </c:numCache>
            </c:numRef>
          </c:val>
        </c:ser>
        <c:dLbls/>
        <c:axId val="244066944"/>
        <c:axId val="244081024"/>
      </c:barChart>
      <c:catAx>
        <c:axId val="244066944"/>
        <c:scaling>
          <c:orientation val="minMax"/>
        </c:scaling>
        <c:axPos val="b"/>
        <c:numFmt formatCode="General" sourceLinked="0"/>
        <c:tickLblPos val="nextTo"/>
        <c:crossAx val="244081024"/>
        <c:crosses val="autoZero"/>
        <c:auto val="1"/>
        <c:lblAlgn val="ctr"/>
        <c:lblOffset val="100"/>
      </c:catAx>
      <c:valAx>
        <c:axId val="244081024"/>
        <c:scaling>
          <c:orientation val="minMax"/>
        </c:scaling>
        <c:axPos val="l"/>
        <c:majorGridlines/>
        <c:numFmt formatCode="0%" sourceLinked="0"/>
        <c:tickLblPos val="nextTo"/>
        <c:crossAx val="244066944"/>
        <c:crosses val="autoZero"/>
        <c:crossBetween val="between"/>
      </c:valAx>
    </c:plotArea>
    <c:legend>
      <c:legendPos val="b"/>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ECCC!$B$69</c:f>
              <c:strCache>
                <c:ptCount val="1"/>
                <c:pt idx="0">
                  <c:v>2014-2015</c:v>
                </c:pt>
              </c:strCache>
            </c:strRef>
          </c:tx>
          <c:dPt>
            <c:idx val="0"/>
            <c:spPr>
              <a:solidFill>
                <a:schemeClr val="accent5">
                  <a:lumMod val="75000"/>
                </a:schemeClr>
              </a:solidFill>
            </c:spPr>
          </c:dPt>
          <c:dPt>
            <c:idx val="2"/>
            <c:spPr>
              <a:solidFill>
                <a:srgbClr val="FFC000"/>
              </a:solidFill>
            </c:spPr>
          </c:dPt>
          <c:dPt>
            <c:idx val="3"/>
            <c:spPr>
              <a:solidFill>
                <a:schemeClr val="tx2">
                  <a:lumMod val="50000"/>
                </a:schemeClr>
              </a:solidFill>
            </c:spPr>
          </c:dPt>
          <c:dPt>
            <c:idx val="4"/>
            <c:spPr>
              <a:solidFill>
                <a:schemeClr val="tx1">
                  <a:lumMod val="75000"/>
                  <a:lumOff val="25000"/>
                </a:schemeClr>
              </a:solidFill>
            </c:spPr>
          </c:dPt>
          <c:dPt>
            <c:idx val="6"/>
            <c:spPr>
              <a:solidFill>
                <a:schemeClr val="accent5">
                  <a:lumMod val="60000"/>
                  <a:lumOff val="40000"/>
                </a:schemeClr>
              </a:solidFill>
            </c:spPr>
          </c:dPt>
          <c:dLbls>
            <c:dLbl>
              <c:idx val="0"/>
              <c:layout>
                <c:manualLayout>
                  <c:x val="2.8645272453155297E-2"/>
                  <c:y val="2.3428825644006349E-2"/>
                </c:manualLayout>
              </c:layout>
              <c:showPercent val="1"/>
              <c:extLst>
                <c:ext xmlns:c15="http://schemas.microsoft.com/office/drawing/2012/chart" uri="{CE6537A1-D6FC-4f65-9D91-7224C49458BB}"/>
              </c:extLst>
            </c:dLbl>
            <c:dLbl>
              <c:idx val="1"/>
              <c:layout>
                <c:manualLayout>
                  <c:x val="5.5167397189963829E-3"/>
                  <c:y val="3.5943591639176195E-2"/>
                </c:manualLayout>
              </c:layout>
              <c:showPercent val="1"/>
              <c:extLst>
                <c:ext xmlns:c15="http://schemas.microsoft.com/office/drawing/2012/chart" uri="{CE6537A1-D6FC-4f65-9D91-7224C49458BB}"/>
              </c:extLst>
            </c:dLbl>
            <c:dLbl>
              <c:idx val="2"/>
              <c:layout>
                <c:manualLayout>
                  <c:x val="-1.0595435764830461E-2"/>
                  <c:y val="-1.806439296446609E-3"/>
                </c:manualLayout>
              </c:layout>
              <c:showPercent val="1"/>
              <c:extLst>
                <c:ext xmlns:c15="http://schemas.microsoft.com/office/drawing/2012/chart" uri="{CE6537A1-D6FC-4f65-9D91-7224C49458BB}"/>
              </c:extLst>
            </c:dLbl>
            <c:dLbl>
              <c:idx val="3"/>
              <c:layout>
                <c:manualLayout>
                  <c:x val="-4.266552669353418E-3"/>
                  <c:y val="-2.0650134059681701E-2"/>
                </c:manualLayout>
              </c:layout>
              <c:showPercent val="1"/>
              <c:extLst>
                <c:ext xmlns:c15="http://schemas.microsoft.com/office/drawing/2012/chart" uri="{CE6537A1-D6FC-4f65-9D91-7224C49458BB}"/>
              </c:extLst>
            </c:dLbl>
            <c:dLbl>
              <c:idx val="4"/>
              <c:layout>
                <c:manualLayout>
                  <c:x val="4.6359794463715165E-4"/>
                  <c:y val="-3.9909388268542087E-3"/>
                </c:manualLayout>
              </c:layout>
              <c:showPercent val="1"/>
              <c:extLst>
                <c:ext xmlns:c15="http://schemas.microsoft.com/office/drawing/2012/chart" uri="{CE6537A1-D6FC-4f65-9D91-7224C49458BB}"/>
              </c:extLst>
            </c:dLbl>
            <c:dLbl>
              <c:idx val="5"/>
              <c:layout>
                <c:manualLayout>
                  <c:x val="-1.6624386413150869E-2"/>
                  <c:y val="1.5479333673098918E-2"/>
                </c:manualLayout>
              </c:layout>
              <c:showPercent val="1"/>
              <c:extLst>
                <c:ext xmlns:c15="http://schemas.microsoft.com/office/drawing/2012/chart" uri="{CE6537A1-D6FC-4f65-9D91-7224C49458BB}"/>
              </c:extLst>
            </c:dLbl>
            <c:dLbl>
              <c:idx val="6"/>
              <c:layout>
                <c:manualLayout>
                  <c:x val="4.6846073325408927E-3"/>
                  <c:y val="9.3373037044107584E-4"/>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ECCC!$A$70:$A$76</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ECCC!$B$70:$B$76</c:f>
              <c:numCache>
                <c:formatCode>General</c:formatCode>
                <c:ptCount val="7"/>
                <c:pt idx="0">
                  <c:v>19</c:v>
                </c:pt>
                <c:pt idx="1">
                  <c:v>22</c:v>
                </c:pt>
                <c:pt idx="2">
                  <c:v>36</c:v>
                </c:pt>
                <c:pt idx="3">
                  <c:v>29</c:v>
                </c:pt>
                <c:pt idx="4">
                  <c:v>16</c:v>
                </c:pt>
                <c:pt idx="5">
                  <c:v>32</c:v>
                </c:pt>
                <c:pt idx="6">
                  <c:v>9</c:v>
                </c:pt>
              </c:numCache>
            </c:numRef>
          </c:val>
        </c:ser>
        <c:dLbls/>
        <c:firstSliceAng val="0"/>
      </c:pieChart>
    </c:plotArea>
    <c:legend>
      <c:legendPos val="r"/>
    </c:legend>
    <c:plotVisOnly val="1"/>
    <c:dispBlanksAs val="zero"/>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ECCC!$B$103</c:f>
              <c:strCache>
                <c:ptCount val="1"/>
                <c:pt idx="0">
                  <c:v>2012-2013</c:v>
                </c:pt>
              </c:strCache>
            </c:strRef>
          </c:tx>
          <c:spPr>
            <a:solidFill>
              <a:schemeClr val="bg1">
                <a:lumMod val="65000"/>
              </a:schemeClr>
            </a:solidFill>
          </c:spPr>
          <c:cat>
            <c:strRef>
              <c:f>ECCC!$A$104:$A$105</c:f>
              <c:strCache>
                <c:ptCount val="2"/>
                <c:pt idx="0">
                  <c:v>All disclosed </c:v>
                </c:pt>
                <c:pt idx="1">
                  <c:v>Disclosed in part </c:v>
                </c:pt>
              </c:strCache>
            </c:strRef>
          </c:cat>
          <c:val>
            <c:numRef>
              <c:f>ECCC!$B$104:$B$105</c:f>
              <c:numCache>
                <c:formatCode>0.00%</c:formatCode>
                <c:ptCount val="2"/>
                <c:pt idx="0">
                  <c:v>0.112707182320442</c:v>
                </c:pt>
                <c:pt idx="1">
                  <c:v>0.27237569060773481</c:v>
                </c:pt>
              </c:numCache>
            </c:numRef>
          </c:val>
        </c:ser>
        <c:ser>
          <c:idx val="1"/>
          <c:order val="1"/>
          <c:tx>
            <c:strRef>
              <c:f>ECCC!$C$103</c:f>
              <c:strCache>
                <c:ptCount val="1"/>
                <c:pt idx="0">
                  <c:v>2013-2014</c:v>
                </c:pt>
              </c:strCache>
            </c:strRef>
          </c:tx>
          <c:spPr>
            <a:solidFill>
              <a:srgbClr val="FFC000"/>
            </a:solidFill>
          </c:spPr>
          <c:cat>
            <c:strRef>
              <c:f>ECCC!$A$104:$A$105</c:f>
              <c:strCache>
                <c:ptCount val="2"/>
                <c:pt idx="0">
                  <c:v>All disclosed </c:v>
                </c:pt>
                <c:pt idx="1">
                  <c:v>Disclosed in part </c:v>
                </c:pt>
              </c:strCache>
            </c:strRef>
          </c:cat>
          <c:val>
            <c:numRef>
              <c:f>ECCC!$C$104:$C$105</c:f>
              <c:numCache>
                <c:formatCode>0.00%</c:formatCode>
                <c:ptCount val="2"/>
                <c:pt idx="0">
                  <c:v>9.0589887640449465E-2</c:v>
                </c:pt>
                <c:pt idx="1">
                  <c:v>0.20294943820224806</c:v>
                </c:pt>
              </c:numCache>
            </c:numRef>
          </c:val>
        </c:ser>
        <c:ser>
          <c:idx val="2"/>
          <c:order val="2"/>
          <c:tx>
            <c:strRef>
              <c:f>ECCC!$D$103</c:f>
              <c:strCache>
                <c:ptCount val="1"/>
                <c:pt idx="0">
                  <c:v>2014-2015</c:v>
                </c:pt>
              </c:strCache>
            </c:strRef>
          </c:tx>
          <c:spPr>
            <a:solidFill>
              <a:schemeClr val="accent5">
                <a:lumMod val="75000"/>
              </a:schemeClr>
            </a:solidFill>
          </c:spPr>
          <c:cat>
            <c:strRef>
              <c:f>ECCC!$A$104:$A$105</c:f>
              <c:strCache>
                <c:ptCount val="2"/>
                <c:pt idx="0">
                  <c:v>All disclosed </c:v>
                </c:pt>
                <c:pt idx="1">
                  <c:v>Disclosed in part </c:v>
                </c:pt>
              </c:strCache>
            </c:strRef>
          </c:cat>
          <c:val>
            <c:numRef>
              <c:f>ECCC!$D$104:$D$105</c:f>
              <c:numCache>
                <c:formatCode>0.00%</c:formatCode>
                <c:ptCount val="2"/>
                <c:pt idx="0">
                  <c:v>8.3333333333333343E-2</c:v>
                </c:pt>
                <c:pt idx="1">
                  <c:v>0.23553719008264512</c:v>
                </c:pt>
              </c:numCache>
            </c:numRef>
          </c:val>
        </c:ser>
        <c:dLbls/>
        <c:axId val="244152576"/>
        <c:axId val="244166656"/>
      </c:barChart>
      <c:catAx>
        <c:axId val="244152576"/>
        <c:scaling>
          <c:orientation val="minMax"/>
        </c:scaling>
        <c:axPos val="b"/>
        <c:numFmt formatCode="General" sourceLinked="0"/>
        <c:tickLblPos val="nextTo"/>
        <c:crossAx val="244166656"/>
        <c:crosses val="autoZero"/>
        <c:auto val="1"/>
        <c:lblAlgn val="ctr"/>
        <c:lblOffset val="100"/>
      </c:catAx>
      <c:valAx>
        <c:axId val="244166656"/>
        <c:scaling>
          <c:orientation val="minMax"/>
        </c:scaling>
        <c:axPos val="l"/>
        <c:majorGridlines/>
        <c:numFmt formatCode="0%" sourceLinked="0"/>
        <c:tickLblPos val="nextTo"/>
        <c:crossAx val="244152576"/>
        <c:crosses val="autoZero"/>
        <c:crossBetween val="between"/>
      </c:valAx>
    </c:plotArea>
    <c:legend>
      <c:legendPos val="b"/>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ESDC!$B$2</c:f>
              <c:strCache>
                <c:ptCount val="1"/>
                <c:pt idx="0">
                  <c:v>2012-2013</c:v>
                </c:pt>
              </c:strCache>
            </c:strRef>
          </c:tx>
          <c:spPr>
            <a:solidFill>
              <a:schemeClr val="bg1">
                <a:lumMod val="65000"/>
              </a:schemeClr>
            </a:solidFill>
          </c:spPr>
          <c:cat>
            <c:strRef>
              <c:f>ESDC!$A$3:$A$8</c:f>
              <c:strCache>
                <c:ptCount val="6"/>
                <c:pt idx="0">
                  <c:v>30 days or less</c:v>
                </c:pt>
                <c:pt idx="1">
                  <c:v>31-60 days</c:v>
                </c:pt>
                <c:pt idx="2">
                  <c:v>61-120 days</c:v>
                </c:pt>
                <c:pt idx="3">
                  <c:v>121-180 days</c:v>
                </c:pt>
                <c:pt idx="4">
                  <c:v>181-365 days</c:v>
                </c:pt>
                <c:pt idx="5">
                  <c:v>More than 365 days</c:v>
                </c:pt>
              </c:strCache>
            </c:strRef>
          </c:cat>
          <c:val>
            <c:numRef>
              <c:f>ESDC!$B$3:$B$8</c:f>
              <c:numCache>
                <c:formatCode>0.00%</c:formatCode>
                <c:ptCount val="6"/>
                <c:pt idx="0">
                  <c:v>0.49841269841269964</c:v>
                </c:pt>
                <c:pt idx="1">
                  <c:v>0.30952380952381087</c:v>
                </c:pt>
                <c:pt idx="2">
                  <c:v>0.10317460317460322</c:v>
                </c:pt>
                <c:pt idx="3">
                  <c:v>4.2857142857142934E-2</c:v>
                </c:pt>
                <c:pt idx="4">
                  <c:v>3.4920634920634921E-2</c:v>
                </c:pt>
                <c:pt idx="5">
                  <c:v>1.1111111111111141E-2</c:v>
                </c:pt>
              </c:numCache>
            </c:numRef>
          </c:val>
        </c:ser>
        <c:ser>
          <c:idx val="1"/>
          <c:order val="1"/>
          <c:tx>
            <c:strRef>
              <c:f>ESDC!$C$2</c:f>
              <c:strCache>
                <c:ptCount val="1"/>
                <c:pt idx="0">
                  <c:v>2013-2014</c:v>
                </c:pt>
              </c:strCache>
            </c:strRef>
          </c:tx>
          <c:spPr>
            <a:solidFill>
              <a:srgbClr val="FFC000"/>
            </a:solidFill>
          </c:spPr>
          <c:cat>
            <c:strRef>
              <c:f>ESDC!$A$3:$A$8</c:f>
              <c:strCache>
                <c:ptCount val="6"/>
                <c:pt idx="0">
                  <c:v>30 days or less</c:v>
                </c:pt>
                <c:pt idx="1">
                  <c:v>31-60 days</c:v>
                </c:pt>
                <c:pt idx="2">
                  <c:v>61-120 days</c:v>
                </c:pt>
                <c:pt idx="3">
                  <c:v>121-180 days</c:v>
                </c:pt>
                <c:pt idx="4">
                  <c:v>181-365 days</c:v>
                </c:pt>
                <c:pt idx="5">
                  <c:v>More than 365 days</c:v>
                </c:pt>
              </c:strCache>
            </c:strRef>
          </c:cat>
          <c:val>
            <c:numRef>
              <c:f>ESDC!$C$3:$C$8</c:f>
              <c:numCache>
                <c:formatCode>0.00%</c:formatCode>
                <c:ptCount val="6"/>
                <c:pt idx="0">
                  <c:v>0.47961373390557938</c:v>
                </c:pt>
                <c:pt idx="1">
                  <c:v>0.29291845493562335</c:v>
                </c:pt>
                <c:pt idx="2">
                  <c:v>0.14806866952789768</c:v>
                </c:pt>
                <c:pt idx="3">
                  <c:v>4.6137339055794022E-2</c:v>
                </c:pt>
                <c:pt idx="4">
                  <c:v>2.4678111587982859E-2</c:v>
                </c:pt>
                <c:pt idx="5">
                  <c:v>8.5836909871244964E-3</c:v>
                </c:pt>
              </c:numCache>
            </c:numRef>
          </c:val>
        </c:ser>
        <c:ser>
          <c:idx val="2"/>
          <c:order val="2"/>
          <c:tx>
            <c:strRef>
              <c:f>ESDC!$D$2</c:f>
              <c:strCache>
                <c:ptCount val="1"/>
                <c:pt idx="0">
                  <c:v>2014-2015</c:v>
                </c:pt>
              </c:strCache>
            </c:strRef>
          </c:tx>
          <c:spPr>
            <a:solidFill>
              <a:schemeClr val="accent5">
                <a:lumMod val="75000"/>
              </a:schemeClr>
            </a:solidFill>
          </c:spPr>
          <c:cat>
            <c:strRef>
              <c:f>ESDC!$A$3:$A$8</c:f>
              <c:strCache>
                <c:ptCount val="6"/>
                <c:pt idx="0">
                  <c:v>30 days or less</c:v>
                </c:pt>
                <c:pt idx="1">
                  <c:v>31-60 days</c:v>
                </c:pt>
                <c:pt idx="2">
                  <c:v>61-120 days</c:v>
                </c:pt>
                <c:pt idx="3">
                  <c:v>121-180 days</c:v>
                </c:pt>
                <c:pt idx="4">
                  <c:v>181-365 days</c:v>
                </c:pt>
                <c:pt idx="5">
                  <c:v>More than 365 days</c:v>
                </c:pt>
              </c:strCache>
            </c:strRef>
          </c:cat>
          <c:val>
            <c:numRef>
              <c:f>ESDC!$D$3:$D$8</c:f>
              <c:numCache>
                <c:formatCode>0.00%</c:formatCode>
                <c:ptCount val="6"/>
                <c:pt idx="0">
                  <c:v>0.42369668246445602</c:v>
                </c:pt>
                <c:pt idx="1">
                  <c:v>0.2957345971563981</c:v>
                </c:pt>
                <c:pt idx="2">
                  <c:v>0.14597156398104266</c:v>
                </c:pt>
                <c:pt idx="3">
                  <c:v>5.2132701421801202E-2</c:v>
                </c:pt>
                <c:pt idx="4">
                  <c:v>5.2132701421801202E-2</c:v>
                </c:pt>
                <c:pt idx="5">
                  <c:v>3.0331753554502412E-2</c:v>
                </c:pt>
              </c:numCache>
            </c:numRef>
          </c:val>
        </c:ser>
        <c:dLbls/>
        <c:axId val="244209536"/>
        <c:axId val="244211072"/>
      </c:barChart>
      <c:catAx>
        <c:axId val="244209536"/>
        <c:scaling>
          <c:orientation val="minMax"/>
        </c:scaling>
        <c:axPos val="b"/>
        <c:numFmt formatCode="General" sourceLinked="0"/>
        <c:tickLblPos val="nextTo"/>
        <c:crossAx val="244211072"/>
        <c:crosses val="autoZero"/>
        <c:auto val="1"/>
        <c:lblAlgn val="ctr"/>
        <c:lblOffset val="100"/>
      </c:catAx>
      <c:valAx>
        <c:axId val="244211072"/>
        <c:scaling>
          <c:orientation val="minMax"/>
        </c:scaling>
        <c:axPos val="l"/>
        <c:majorGridlines/>
        <c:numFmt formatCode="0%" sourceLinked="0"/>
        <c:tickLblPos val="nextTo"/>
        <c:crossAx val="244209536"/>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IRCC!$B$54</c:f>
              <c:strCache>
                <c:ptCount val="1"/>
                <c:pt idx="0">
                  <c:v>2014-2015</c:v>
                </c:pt>
              </c:strCache>
            </c:strRef>
          </c:tx>
          <c:dPt>
            <c:idx val="0"/>
            <c:spPr>
              <a:solidFill>
                <a:schemeClr val="accent5">
                  <a:lumMod val="75000"/>
                </a:schemeClr>
              </a:solidFill>
            </c:spPr>
          </c:dPt>
          <c:dPt>
            <c:idx val="1"/>
            <c:spPr>
              <a:solidFill>
                <a:schemeClr val="tx1">
                  <a:lumMod val="75000"/>
                  <a:lumOff val="25000"/>
                </a:schemeClr>
              </a:solidFill>
            </c:spPr>
          </c:dPt>
          <c:dPt>
            <c:idx val="2"/>
            <c:spPr>
              <a:solidFill>
                <a:schemeClr val="bg2">
                  <a:lumMod val="50000"/>
                </a:schemeClr>
              </a:solidFill>
            </c:spPr>
          </c:dPt>
          <c:dPt>
            <c:idx val="3"/>
            <c:spPr>
              <a:solidFill>
                <a:schemeClr val="accent5">
                  <a:lumMod val="20000"/>
                  <a:lumOff val="80000"/>
                </a:schemeClr>
              </a:solidFill>
            </c:spPr>
          </c:dPt>
          <c:dPt>
            <c:idx val="4"/>
            <c:spPr>
              <a:solidFill>
                <a:schemeClr val="bg1">
                  <a:lumMod val="50000"/>
                </a:schemeClr>
              </a:solidFill>
            </c:spPr>
          </c:dPt>
          <c:dPt>
            <c:idx val="5"/>
            <c:spPr>
              <a:solidFill>
                <a:srgbClr val="FFC000"/>
              </a:solidFill>
            </c:spPr>
          </c:dPt>
          <c:dPt>
            <c:idx val="6"/>
            <c:spPr>
              <a:solidFill>
                <a:schemeClr val="accent6">
                  <a:lumMod val="50000"/>
                </a:schemeClr>
              </a:solidFill>
            </c:spPr>
          </c:dPt>
          <c:dLbls>
            <c:dLbl>
              <c:idx val="0"/>
              <c:layout>
                <c:manualLayout>
                  <c:x val="-1.0672656302577563E-2"/>
                  <c:y val="3.3261307452847486E-2"/>
                </c:manualLayout>
              </c:layout>
              <c:showPercent val="1"/>
              <c:extLst>
                <c:ext xmlns:c15="http://schemas.microsoft.com/office/drawing/2012/chart" uri="{CE6537A1-D6FC-4f65-9D91-7224C49458BB}">
                  <c15:layout/>
                </c:ext>
              </c:extLst>
            </c:dLbl>
            <c:dLbl>
              <c:idx val="1"/>
              <c:layout>
                <c:manualLayout>
                  <c:x val="1.6218453462547962E-2"/>
                  <c:y val="-4.2480009766221105E-3"/>
                </c:manualLayout>
              </c:layout>
              <c:showPercent val="1"/>
              <c:extLst>
                <c:ext xmlns:c15="http://schemas.microsoft.com/office/drawing/2012/chart" uri="{CE6537A1-D6FC-4f65-9D91-7224C49458BB}">
                  <c15:layout/>
                </c:ext>
              </c:extLst>
            </c:dLbl>
            <c:dLbl>
              <c:idx val="2"/>
              <c:layout>
                <c:manualLayout>
                  <c:x val="6.4203513022410728E-3"/>
                  <c:y val="-2.123908929988403E-2"/>
                </c:manualLayout>
              </c:layout>
              <c:numFmt formatCode="0.00%" sourceLinked="0"/>
              <c:spPr>
                <a:solidFill>
                  <a:schemeClr val="bg1"/>
                </a:solidFill>
              </c:spPr>
              <c:txPr>
                <a:bodyPr/>
                <a:lstStyle/>
                <a:p>
                  <a:pPr>
                    <a:defRPr/>
                  </a:pPr>
                  <a:endParaRPr lang="en-US"/>
                </a:p>
              </c:txPr>
              <c:showPercent val="1"/>
              <c:extLst>
                <c:ext xmlns:c15="http://schemas.microsoft.com/office/drawing/2012/chart" uri="{CE6537A1-D6FC-4f65-9D91-7224C49458BB}">
                  <c15:layout/>
                </c:ext>
              </c:extLst>
            </c:dLbl>
            <c:dLbl>
              <c:idx val="3"/>
              <c:layout>
                <c:manualLayout>
                  <c:x val="-1.0261037081903224E-2"/>
                  <c:y val="2.5883843007996118E-2"/>
                </c:manualLayout>
              </c:layout>
              <c:showPercent val="1"/>
              <c:extLst>
                <c:ext xmlns:c15="http://schemas.microsoft.com/office/drawing/2012/chart" uri="{CE6537A1-D6FC-4f65-9D91-7224C49458BB}">
                  <c15:layout/>
                </c:ext>
              </c:extLst>
            </c:dLbl>
            <c:dLbl>
              <c:idx val="4"/>
              <c:layout>
                <c:manualLayout>
                  <c:x val="-7.5606020099505513E-3"/>
                  <c:y val="-1.209999187738294E-2"/>
                </c:manualLayout>
              </c:layout>
              <c:showPercent val="1"/>
              <c:extLst>
                <c:ext xmlns:c15="http://schemas.microsoft.com/office/drawing/2012/chart" uri="{CE6537A1-D6FC-4f65-9D91-7224C49458BB}">
                  <c15:layout/>
                </c:ext>
              </c:extLst>
            </c:dLbl>
            <c:dLbl>
              <c:idx val="5"/>
              <c:layout>
                <c:manualLayout>
                  <c:x val="2.6056552347996857E-2"/>
                  <c:y val="-7.7361183491428467E-3"/>
                </c:manualLayout>
              </c:layout>
              <c:showPercent val="1"/>
              <c:extLst>
                <c:ext xmlns:c15="http://schemas.microsoft.com/office/drawing/2012/chart" uri="{CE6537A1-D6FC-4f65-9D91-7224C49458BB}">
                  <c15:layout/>
                </c:ext>
              </c:extLst>
            </c:dLbl>
            <c:dLbl>
              <c:idx val="6"/>
              <c:layout>
                <c:manualLayout>
                  <c:x val="1.3582214779206452E-2"/>
                  <c:y val="5.2356448683971105E-3"/>
                </c:manualLayout>
              </c:layout>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IRCC!$A$55:$A$61</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IRCC!$B$55:$B$61</c:f>
              <c:numCache>
                <c:formatCode>General</c:formatCode>
                <c:ptCount val="7"/>
                <c:pt idx="0">
                  <c:v>2200</c:v>
                </c:pt>
                <c:pt idx="1">
                  <c:v>317</c:v>
                </c:pt>
                <c:pt idx="2">
                  <c:v>347</c:v>
                </c:pt>
                <c:pt idx="3">
                  <c:v>329</c:v>
                </c:pt>
                <c:pt idx="4">
                  <c:v>164</c:v>
                </c:pt>
                <c:pt idx="5">
                  <c:v>243</c:v>
                </c:pt>
                <c:pt idx="6">
                  <c:v>106</c:v>
                </c:pt>
              </c:numCache>
            </c:numRef>
          </c:val>
        </c:ser>
        <c:dLbls/>
        <c:firstSliceAng val="0"/>
      </c:pieChart>
    </c:plotArea>
    <c:legend>
      <c:legendPos val="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ESDC!$B$36</c:f>
              <c:strCache>
                <c:ptCount val="1"/>
                <c:pt idx="0">
                  <c:v>2012-2013</c:v>
                </c:pt>
              </c:strCache>
            </c:strRef>
          </c:tx>
          <c:spPr>
            <a:solidFill>
              <a:schemeClr val="bg1">
                <a:lumMod val="65000"/>
              </a:schemeClr>
            </a:solidFill>
          </c:spPr>
          <c:cat>
            <c:strRef>
              <c:f>ESDC!$A$37:$A$42</c:f>
              <c:strCache>
                <c:ptCount val="6"/>
                <c:pt idx="0">
                  <c:v> 30 days or less</c:v>
                </c:pt>
                <c:pt idx="1">
                  <c:v>31-60 days</c:v>
                </c:pt>
                <c:pt idx="2">
                  <c:v>61-120 days </c:v>
                </c:pt>
                <c:pt idx="3">
                  <c:v>121-180 days </c:v>
                </c:pt>
                <c:pt idx="4">
                  <c:v>181-365 days </c:v>
                </c:pt>
                <c:pt idx="5">
                  <c:v>More than 365 days </c:v>
                </c:pt>
              </c:strCache>
            </c:strRef>
          </c:cat>
          <c:val>
            <c:numRef>
              <c:f>ESDC!$B$37:$B$42</c:f>
              <c:numCache>
                <c:formatCode>0.00%</c:formatCode>
                <c:ptCount val="6"/>
                <c:pt idx="0">
                  <c:v>0.28873239436619719</c:v>
                </c:pt>
                <c:pt idx="1">
                  <c:v>0.13380281690140838</c:v>
                </c:pt>
                <c:pt idx="2">
                  <c:v>0.25352112676056326</c:v>
                </c:pt>
                <c:pt idx="3">
                  <c:v>0.29577464788732438</c:v>
                </c:pt>
                <c:pt idx="4">
                  <c:v>2.8169014084507043E-2</c:v>
                </c:pt>
                <c:pt idx="5">
                  <c:v>0</c:v>
                </c:pt>
              </c:numCache>
            </c:numRef>
          </c:val>
        </c:ser>
        <c:ser>
          <c:idx val="1"/>
          <c:order val="1"/>
          <c:tx>
            <c:strRef>
              <c:f>ESDC!$C$36</c:f>
              <c:strCache>
                <c:ptCount val="1"/>
                <c:pt idx="0">
                  <c:v>2013-2014</c:v>
                </c:pt>
              </c:strCache>
            </c:strRef>
          </c:tx>
          <c:spPr>
            <a:solidFill>
              <a:srgbClr val="FFC000"/>
            </a:solidFill>
          </c:spPr>
          <c:cat>
            <c:strRef>
              <c:f>ESDC!$A$37:$A$42</c:f>
              <c:strCache>
                <c:ptCount val="6"/>
                <c:pt idx="0">
                  <c:v> 30 days or less</c:v>
                </c:pt>
                <c:pt idx="1">
                  <c:v>31-60 days</c:v>
                </c:pt>
                <c:pt idx="2">
                  <c:v>61-120 days </c:v>
                </c:pt>
                <c:pt idx="3">
                  <c:v>121-180 days </c:v>
                </c:pt>
                <c:pt idx="4">
                  <c:v>181-365 days </c:v>
                </c:pt>
                <c:pt idx="5">
                  <c:v>More than 365 days </c:v>
                </c:pt>
              </c:strCache>
            </c:strRef>
          </c:cat>
          <c:val>
            <c:numRef>
              <c:f>ESDC!$C$37:$C$42</c:f>
              <c:numCache>
                <c:formatCode>0.00%</c:formatCode>
                <c:ptCount val="6"/>
                <c:pt idx="0">
                  <c:v>0.36050156739812006</c:v>
                </c:pt>
                <c:pt idx="1">
                  <c:v>0.25705329153605017</c:v>
                </c:pt>
                <c:pt idx="2">
                  <c:v>0.36677115987460912</c:v>
                </c:pt>
                <c:pt idx="3">
                  <c:v>1.5673981191222569E-2</c:v>
                </c:pt>
                <c:pt idx="4">
                  <c:v>0</c:v>
                </c:pt>
                <c:pt idx="5">
                  <c:v>0</c:v>
                </c:pt>
              </c:numCache>
            </c:numRef>
          </c:val>
        </c:ser>
        <c:ser>
          <c:idx val="2"/>
          <c:order val="2"/>
          <c:tx>
            <c:strRef>
              <c:f>ESDC!$D$36</c:f>
              <c:strCache>
                <c:ptCount val="1"/>
                <c:pt idx="0">
                  <c:v>2014-2015</c:v>
                </c:pt>
              </c:strCache>
            </c:strRef>
          </c:tx>
          <c:spPr>
            <a:solidFill>
              <a:schemeClr val="accent5">
                <a:lumMod val="75000"/>
              </a:schemeClr>
            </a:solidFill>
          </c:spPr>
          <c:cat>
            <c:strRef>
              <c:f>ESDC!$A$37:$A$42</c:f>
              <c:strCache>
                <c:ptCount val="6"/>
                <c:pt idx="0">
                  <c:v> 30 days or less</c:v>
                </c:pt>
                <c:pt idx="1">
                  <c:v>31-60 days</c:v>
                </c:pt>
                <c:pt idx="2">
                  <c:v>61-120 days </c:v>
                </c:pt>
                <c:pt idx="3">
                  <c:v>121-180 days </c:v>
                </c:pt>
                <c:pt idx="4">
                  <c:v>181-365 days </c:v>
                </c:pt>
                <c:pt idx="5">
                  <c:v>More than 365 days </c:v>
                </c:pt>
              </c:strCache>
            </c:strRef>
          </c:cat>
          <c:val>
            <c:numRef>
              <c:f>ESDC!$D$37:$D$42</c:f>
              <c:numCache>
                <c:formatCode>0.00%</c:formatCode>
                <c:ptCount val="6"/>
                <c:pt idx="0">
                  <c:v>0.4101123595505618</c:v>
                </c:pt>
                <c:pt idx="1">
                  <c:v>0.27808988764045123</c:v>
                </c:pt>
                <c:pt idx="2">
                  <c:v>0.26685393258426982</c:v>
                </c:pt>
                <c:pt idx="3">
                  <c:v>2.2471910112359769E-2</c:v>
                </c:pt>
                <c:pt idx="4">
                  <c:v>2.2471910112359769E-2</c:v>
                </c:pt>
                <c:pt idx="5">
                  <c:v>0</c:v>
                </c:pt>
              </c:numCache>
            </c:numRef>
          </c:val>
        </c:ser>
        <c:dLbls/>
        <c:axId val="244246016"/>
        <c:axId val="244247552"/>
      </c:barChart>
      <c:catAx>
        <c:axId val="244246016"/>
        <c:scaling>
          <c:orientation val="minMax"/>
        </c:scaling>
        <c:axPos val="b"/>
        <c:numFmt formatCode="General" sourceLinked="0"/>
        <c:tickLblPos val="nextTo"/>
        <c:crossAx val="244247552"/>
        <c:crosses val="autoZero"/>
        <c:auto val="1"/>
        <c:lblAlgn val="ctr"/>
        <c:lblOffset val="100"/>
      </c:catAx>
      <c:valAx>
        <c:axId val="244247552"/>
        <c:scaling>
          <c:orientation val="minMax"/>
        </c:scaling>
        <c:axPos val="l"/>
        <c:majorGridlines/>
        <c:numFmt formatCode="0%" sourceLinked="0"/>
        <c:tickLblPos val="nextTo"/>
        <c:crossAx val="244246016"/>
        <c:crosses val="autoZero"/>
        <c:crossBetween val="between"/>
      </c:valAx>
    </c:plotArea>
    <c:legend>
      <c:legendPos val="b"/>
    </c:legend>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ESDC!$B$62</c:f>
              <c:strCache>
                <c:ptCount val="1"/>
                <c:pt idx="0">
                  <c:v>2014-2015</c:v>
                </c:pt>
              </c:strCache>
            </c:strRef>
          </c:tx>
          <c:dPt>
            <c:idx val="0"/>
            <c:spPr>
              <a:solidFill>
                <a:schemeClr val="accent5">
                  <a:lumMod val="50000"/>
                </a:schemeClr>
              </a:solidFill>
            </c:spPr>
          </c:dPt>
          <c:dPt>
            <c:idx val="1"/>
            <c:spPr>
              <a:solidFill>
                <a:schemeClr val="tx1">
                  <a:lumMod val="75000"/>
                  <a:lumOff val="25000"/>
                </a:schemeClr>
              </a:solidFill>
            </c:spPr>
          </c:dPt>
          <c:dPt>
            <c:idx val="2"/>
            <c:spPr>
              <a:solidFill>
                <a:schemeClr val="tx2">
                  <a:lumMod val="75000"/>
                </a:schemeClr>
              </a:solidFill>
            </c:spPr>
          </c:dPt>
          <c:dPt>
            <c:idx val="3"/>
            <c:spPr>
              <a:solidFill>
                <a:schemeClr val="accent5">
                  <a:lumMod val="40000"/>
                  <a:lumOff val="60000"/>
                </a:schemeClr>
              </a:solidFill>
            </c:spPr>
          </c:dPt>
          <c:dPt>
            <c:idx val="4"/>
            <c:spPr>
              <a:solidFill>
                <a:schemeClr val="accent6">
                  <a:lumMod val="75000"/>
                </a:schemeClr>
              </a:solidFill>
            </c:spPr>
          </c:dPt>
          <c:dPt>
            <c:idx val="5"/>
            <c:spPr>
              <a:solidFill>
                <a:schemeClr val="bg2">
                  <a:lumMod val="50000"/>
                </a:schemeClr>
              </a:solidFill>
            </c:spPr>
          </c:dPt>
          <c:dPt>
            <c:idx val="6"/>
            <c:spPr>
              <a:solidFill>
                <a:schemeClr val="accent6">
                  <a:lumMod val="50000"/>
                </a:schemeClr>
              </a:solidFill>
            </c:spPr>
          </c:dPt>
          <c:dLbls>
            <c:dLbl>
              <c:idx val="0"/>
              <c:layout>
                <c:manualLayout>
                  <c:x val="8.7177804697489755E-3"/>
                  <c:y val="4.2721965788759149E-2"/>
                </c:manualLayout>
              </c:layout>
              <c:showPercent val="1"/>
              <c:extLst>
                <c:ext xmlns:c15="http://schemas.microsoft.com/office/drawing/2012/chart" uri="{CE6537A1-D6FC-4f65-9D91-7224C49458BB}"/>
              </c:extLst>
            </c:dLbl>
            <c:dLbl>
              <c:idx val="1"/>
              <c:layout>
                <c:manualLayout>
                  <c:x val="-2.5321354061511544E-3"/>
                  <c:y val="1.5010521314146081E-2"/>
                </c:manualLayout>
              </c:layout>
              <c:showPercent val="1"/>
              <c:extLst>
                <c:ext xmlns:c15="http://schemas.microsoft.com/office/drawing/2012/chart" uri="{CE6537A1-D6FC-4f65-9D91-7224C49458BB}"/>
              </c:extLst>
            </c:dLbl>
            <c:dLbl>
              <c:idx val="2"/>
              <c:layout>
                <c:manualLayout>
                  <c:x val="-1.1946968167440609E-2"/>
                  <c:y val="-9.0571544936193342E-3"/>
                </c:manualLayout>
              </c:layout>
              <c:showPercent val="1"/>
              <c:extLst>
                <c:ext xmlns:c15="http://schemas.microsoft.com/office/drawing/2012/chart" uri="{CE6537A1-D6FC-4f65-9D91-7224C49458BB}"/>
              </c:extLst>
            </c:dLbl>
            <c:dLbl>
              <c:idx val="3"/>
              <c:layout>
                <c:manualLayout>
                  <c:x val="1.8075913587724608E-2"/>
                  <c:y val="2.6130192777626945E-2"/>
                </c:manualLayout>
              </c:layout>
              <c:showPercent val="1"/>
              <c:extLst>
                <c:ext xmlns:c15="http://schemas.microsoft.com/office/drawing/2012/chart" uri="{CE6537A1-D6FC-4f65-9D91-7224C49458BB}"/>
              </c:extLst>
            </c:dLbl>
            <c:dLbl>
              <c:idx val="4"/>
              <c:layout>
                <c:manualLayout>
                  <c:x val="-9.9214280907194297E-3"/>
                  <c:y val="-3.3332202009231609E-3"/>
                </c:manualLayout>
              </c:layout>
              <c:showPercent val="1"/>
              <c:extLst>
                <c:ext xmlns:c15="http://schemas.microsoft.com/office/drawing/2012/chart" uri="{CE6537A1-D6FC-4f65-9D91-7224C49458BB}"/>
              </c:extLst>
            </c:dLbl>
            <c:dLbl>
              <c:idx val="5"/>
              <c:layout>
                <c:manualLayout>
                  <c:x val="1.4008345110707315E-2"/>
                  <c:y val="1.675502307901168E-2"/>
                </c:manualLayout>
              </c:layout>
              <c:showPercent val="1"/>
              <c:extLst>
                <c:ext xmlns:c15="http://schemas.microsoft.com/office/drawing/2012/chart" uri="{CE6537A1-D6FC-4f65-9D91-7224C49458BB}"/>
              </c:extLst>
            </c:dLbl>
            <c:dLbl>
              <c:idx val="6"/>
              <c:layout>
                <c:manualLayout>
                  <c:x val="5.4260044417524743E-4"/>
                  <c:y val="7.400217214227533E-3"/>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ESDC!$A$63:$A$69</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ESDC!$B$63:$B$69</c:f>
              <c:numCache>
                <c:formatCode>General</c:formatCode>
                <c:ptCount val="7"/>
                <c:pt idx="0">
                  <c:v>83</c:v>
                </c:pt>
                <c:pt idx="1">
                  <c:v>33</c:v>
                </c:pt>
                <c:pt idx="2">
                  <c:v>36</c:v>
                </c:pt>
                <c:pt idx="3">
                  <c:v>41</c:v>
                </c:pt>
                <c:pt idx="4">
                  <c:v>14</c:v>
                </c:pt>
                <c:pt idx="5">
                  <c:v>28</c:v>
                </c:pt>
                <c:pt idx="6">
                  <c:v>21</c:v>
                </c:pt>
              </c:numCache>
            </c:numRef>
          </c:val>
        </c:ser>
        <c:dLbls/>
        <c:firstSliceAng val="0"/>
      </c:pieChart>
    </c:plotArea>
    <c:legend>
      <c:legendPos val="r"/>
    </c:legend>
    <c:plotVisOnly val="1"/>
    <c:dispBlanksAs val="zero"/>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ESDC!$B$95</c:f>
              <c:strCache>
                <c:ptCount val="1"/>
                <c:pt idx="0">
                  <c:v>2012-2013</c:v>
                </c:pt>
              </c:strCache>
            </c:strRef>
          </c:tx>
          <c:spPr>
            <a:solidFill>
              <a:schemeClr val="bg1">
                <a:lumMod val="65000"/>
              </a:schemeClr>
            </a:solidFill>
          </c:spPr>
          <c:cat>
            <c:strRef>
              <c:f>ESDC!$A$96:$A$97</c:f>
              <c:strCache>
                <c:ptCount val="2"/>
                <c:pt idx="0">
                  <c:v>All disclosed </c:v>
                </c:pt>
                <c:pt idx="1">
                  <c:v>Disclosed in part </c:v>
                </c:pt>
              </c:strCache>
            </c:strRef>
          </c:cat>
          <c:val>
            <c:numRef>
              <c:f>ESDC!$B$96:$B$97</c:f>
              <c:numCache>
                <c:formatCode>0.00%</c:formatCode>
                <c:ptCount val="2"/>
                <c:pt idx="0">
                  <c:v>0.36825396825396911</c:v>
                </c:pt>
                <c:pt idx="1">
                  <c:v>0.42063492063492081</c:v>
                </c:pt>
              </c:numCache>
            </c:numRef>
          </c:val>
        </c:ser>
        <c:ser>
          <c:idx val="1"/>
          <c:order val="1"/>
          <c:tx>
            <c:strRef>
              <c:f>ESDC!$C$95</c:f>
              <c:strCache>
                <c:ptCount val="1"/>
                <c:pt idx="0">
                  <c:v>2013-2014</c:v>
                </c:pt>
              </c:strCache>
            </c:strRef>
          </c:tx>
          <c:spPr>
            <a:solidFill>
              <a:srgbClr val="FFC000"/>
            </a:solidFill>
          </c:spPr>
          <c:cat>
            <c:strRef>
              <c:f>ESDC!$A$96:$A$97</c:f>
              <c:strCache>
                <c:ptCount val="2"/>
                <c:pt idx="0">
                  <c:v>All disclosed </c:v>
                </c:pt>
                <c:pt idx="1">
                  <c:v>Disclosed in part </c:v>
                </c:pt>
              </c:strCache>
            </c:strRef>
          </c:cat>
          <c:val>
            <c:numRef>
              <c:f>ESDC!$C$96:$C$97</c:f>
              <c:numCache>
                <c:formatCode>0.00%</c:formatCode>
                <c:ptCount val="2"/>
                <c:pt idx="0">
                  <c:v>0.26072961373390557</c:v>
                </c:pt>
                <c:pt idx="1">
                  <c:v>0.50751072961373356</c:v>
                </c:pt>
              </c:numCache>
            </c:numRef>
          </c:val>
        </c:ser>
        <c:ser>
          <c:idx val="2"/>
          <c:order val="2"/>
          <c:tx>
            <c:strRef>
              <c:f>ESDC!$D$95</c:f>
              <c:strCache>
                <c:ptCount val="1"/>
                <c:pt idx="0">
                  <c:v>2014-2015</c:v>
                </c:pt>
              </c:strCache>
            </c:strRef>
          </c:tx>
          <c:spPr>
            <a:solidFill>
              <a:schemeClr val="accent5">
                <a:lumMod val="75000"/>
              </a:schemeClr>
            </a:solidFill>
          </c:spPr>
          <c:cat>
            <c:strRef>
              <c:f>ESDC!$A$96:$A$97</c:f>
              <c:strCache>
                <c:ptCount val="2"/>
                <c:pt idx="0">
                  <c:v>All disclosed </c:v>
                </c:pt>
                <c:pt idx="1">
                  <c:v>Disclosed in part </c:v>
                </c:pt>
              </c:strCache>
            </c:strRef>
          </c:cat>
          <c:val>
            <c:numRef>
              <c:f>ESDC!$D$96:$D$97</c:f>
              <c:numCache>
                <c:formatCode>0.00%</c:formatCode>
                <c:ptCount val="2"/>
                <c:pt idx="0">
                  <c:v>0.27014218009478702</c:v>
                </c:pt>
                <c:pt idx="1">
                  <c:v>0.43127962085308058</c:v>
                </c:pt>
              </c:numCache>
            </c:numRef>
          </c:val>
        </c:ser>
        <c:dLbls/>
        <c:axId val="244463104"/>
        <c:axId val="244464640"/>
      </c:barChart>
      <c:catAx>
        <c:axId val="244463104"/>
        <c:scaling>
          <c:orientation val="minMax"/>
        </c:scaling>
        <c:axPos val="b"/>
        <c:numFmt formatCode="General" sourceLinked="0"/>
        <c:tickLblPos val="nextTo"/>
        <c:crossAx val="244464640"/>
        <c:crosses val="autoZero"/>
        <c:auto val="1"/>
        <c:lblAlgn val="ctr"/>
        <c:lblOffset val="100"/>
      </c:catAx>
      <c:valAx>
        <c:axId val="244464640"/>
        <c:scaling>
          <c:orientation val="minMax"/>
        </c:scaling>
        <c:axPos val="l"/>
        <c:majorGridlines/>
        <c:numFmt formatCode="0%" sourceLinked="0"/>
        <c:tickLblPos val="nextTo"/>
        <c:crossAx val="244463104"/>
        <c:crosses val="autoZero"/>
        <c:crossBetween val="between"/>
      </c:valAx>
    </c:plotArea>
    <c:legend>
      <c:legendPos val="b"/>
    </c:legend>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TC!$B$2</c:f>
              <c:strCache>
                <c:ptCount val="1"/>
                <c:pt idx="0">
                  <c:v>2012-2013</c:v>
                </c:pt>
              </c:strCache>
            </c:strRef>
          </c:tx>
          <c:spPr>
            <a:solidFill>
              <a:schemeClr val="bg1">
                <a:lumMod val="65000"/>
              </a:schemeClr>
            </a:solidFill>
          </c:spPr>
          <c:cat>
            <c:strRef>
              <c:f>TC!$A$3:$A$8</c:f>
              <c:strCache>
                <c:ptCount val="6"/>
                <c:pt idx="0">
                  <c:v>30 days or less</c:v>
                </c:pt>
                <c:pt idx="1">
                  <c:v>31-60 days</c:v>
                </c:pt>
                <c:pt idx="2">
                  <c:v>61-120 days</c:v>
                </c:pt>
                <c:pt idx="3">
                  <c:v>121-180 days</c:v>
                </c:pt>
                <c:pt idx="4">
                  <c:v>181-365 days</c:v>
                </c:pt>
                <c:pt idx="5">
                  <c:v>More than 365 days</c:v>
                </c:pt>
              </c:strCache>
            </c:strRef>
          </c:cat>
          <c:val>
            <c:numRef>
              <c:f>TC!$B$3:$B$8</c:f>
              <c:numCache>
                <c:formatCode>0.00%</c:formatCode>
                <c:ptCount val="6"/>
                <c:pt idx="0">
                  <c:v>0.34390415785764783</c:v>
                </c:pt>
                <c:pt idx="1">
                  <c:v>8.3157152924595107E-2</c:v>
                </c:pt>
                <c:pt idx="2">
                  <c:v>0.34390415785764783</c:v>
                </c:pt>
                <c:pt idx="3">
                  <c:v>6.1310782241014904E-2</c:v>
                </c:pt>
                <c:pt idx="4">
                  <c:v>5.4968287526427247E-2</c:v>
                </c:pt>
                <c:pt idx="5">
                  <c:v>0.11275546159267097</c:v>
                </c:pt>
              </c:numCache>
            </c:numRef>
          </c:val>
        </c:ser>
        <c:ser>
          <c:idx val="1"/>
          <c:order val="1"/>
          <c:tx>
            <c:strRef>
              <c:f>TC!$C$2</c:f>
              <c:strCache>
                <c:ptCount val="1"/>
                <c:pt idx="0">
                  <c:v>2013-2014</c:v>
                </c:pt>
              </c:strCache>
            </c:strRef>
          </c:tx>
          <c:spPr>
            <a:solidFill>
              <a:srgbClr val="FFC000"/>
            </a:solidFill>
          </c:spPr>
          <c:cat>
            <c:strRef>
              <c:f>TC!$A$3:$A$8</c:f>
              <c:strCache>
                <c:ptCount val="6"/>
                <c:pt idx="0">
                  <c:v>30 days or less</c:v>
                </c:pt>
                <c:pt idx="1">
                  <c:v>31-60 days</c:v>
                </c:pt>
                <c:pt idx="2">
                  <c:v>61-120 days</c:v>
                </c:pt>
                <c:pt idx="3">
                  <c:v>121-180 days</c:v>
                </c:pt>
                <c:pt idx="4">
                  <c:v>181-365 days</c:v>
                </c:pt>
                <c:pt idx="5">
                  <c:v>More than 365 days</c:v>
                </c:pt>
              </c:strCache>
            </c:strRef>
          </c:cat>
          <c:val>
            <c:numRef>
              <c:f>TC!$C$3:$C$8</c:f>
              <c:numCache>
                <c:formatCode>0.00%</c:formatCode>
                <c:ptCount val="6"/>
                <c:pt idx="0">
                  <c:v>0.24581939799331151</c:v>
                </c:pt>
                <c:pt idx="1">
                  <c:v>5.0724637681159424E-2</c:v>
                </c:pt>
                <c:pt idx="2">
                  <c:v>0.19286510590858394</c:v>
                </c:pt>
                <c:pt idx="3">
                  <c:v>9.1973244147157213E-2</c:v>
                </c:pt>
                <c:pt idx="4">
                  <c:v>0.3935340022296559</c:v>
                </c:pt>
                <c:pt idx="5">
                  <c:v>2.508361204013386E-2</c:v>
                </c:pt>
              </c:numCache>
            </c:numRef>
          </c:val>
        </c:ser>
        <c:ser>
          <c:idx val="2"/>
          <c:order val="2"/>
          <c:tx>
            <c:strRef>
              <c:f>TC!$D$2</c:f>
              <c:strCache>
                <c:ptCount val="1"/>
                <c:pt idx="0">
                  <c:v>2014-2015</c:v>
                </c:pt>
              </c:strCache>
            </c:strRef>
          </c:tx>
          <c:spPr>
            <a:solidFill>
              <a:schemeClr val="accent5">
                <a:lumMod val="75000"/>
              </a:schemeClr>
            </a:solidFill>
          </c:spPr>
          <c:cat>
            <c:strRef>
              <c:f>TC!$A$3:$A$8</c:f>
              <c:strCache>
                <c:ptCount val="6"/>
                <c:pt idx="0">
                  <c:v>30 days or less</c:v>
                </c:pt>
                <c:pt idx="1">
                  <c:v>31-60 days</c:v>
                </c:pt>
                <c:pt idx="2">
                  <c:v>61-120 days</c:v>
                </c:pt>
                <c:pt idx="3">
                  <c:v>121-180 days</c:v>
                </c:pt>
                <c:pt idx="4">
                  <c:v>181-365 days</c:v>
                </c:pt>
                <c:pt idx="5">
                  <c:v>More than 365 days</c:v>
                </c:pt>
              </c:strCache>
            </c:strRef>
          </c:cat>
          <c:val>
            <c:numRef>
              <c:f>TC!$D$3:$D$8</c:f>
              <c:numCache>
                <c:formatCode>0.00%</c:formatCode>
                <c:ptCount val="6"/>
                <c:pt idx="0">
                  <c:v>0.41302485004284639</c:v>
                </c:pt>
                <c:pt idx="1">
                  <c:v>0.17823479005998291</c:v>
                </c:pt>
                <c:pt idx="2">
                  <c:v>0.15252784918594722</c:v>
                </c:pt>
                <c:pt idx="3">
                  <c:v>7.2836332476435506E-2</c:v>
                </c:pt>
                <c:pt idx="4">
                  <c:v>0.11568123393316219</c:v>
                </c:pt>
                <c:pt idx="5">
                  <c:v>6.7694944301628299E-2</c:v>
                </c:pt>
              </c:numCache>
            </c:numRef>
          </c:val>
        </c:ser>
        <c:dLbls/>
        <c:axId val="244503296"/>
        <c:axId val="244504832"/>
      </c:barChart>
      <c:catAx>
        <c:axId val="244503296"/>
        <c:scaling>
          <c:orientation val="minMax"/>
        </c:scaling>
        <c:axPos val="b"/>
        <c:numFmt formatCode="General" sourceLinked="0"/>
        <c:tickLblPos val="nextTo"/>
        <c:crossAx val="244504832"/>
        <c:crosses val="autoZero"/>
        <c:auto val="1"/>
        <c:lblAlgn val="ctr"/>
        <c:lblOffset val="100"/>
      </c:catAx>
      <c:valAx>
        <c:axId val="244504832"/>
        <c:scaling>
          <c:orientation val="minMax"/>
        </c:scaling>
        <c:axPos val="l"/>
        <c:majorGridlines/>
        <c:numFmt formatCode="0%" sourceLinked="0"/>
        <c:tickLblPos val="nextTo"/>
        <c:crossAx val="244503296"/>
        <c:crosses val="autoZero"/>
        <c:crossBetween val="between"/>
      </c:valAx>
    </c:plotArea>
    <c:legend>
      <c:legendPos val="b"/>
    </c:legend>
    <c:plotVisOnly val="1"/>
    <c:dispBlanksAs val="gap"/>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TC!$B$32</c:f>
              <c:strCache>
                <c:ptCount val="1"/>
                <c:pt idx="0">
                  <c:v>2012-2013</c:v>
                </c:pt>
              </c:strCache>
            </c:strRef>
          </c:tx>
          <c:spPr>
            <a:solidFill>
              <a:schemeClr val="bg1">
                <a:lumMod val="65000"/>
              </a:schemeClr>
            </a:solidFill>
          </c:spPr>
          <c:cat>
            <c:strRef>
              <c:f>TC!$A$33:$A$38</c:f>
              <c:strCache>
                <c:ptCount val="6"/>
                <c:pt idx="0">
                  <c:v> 30 days or less</c:v>
                </c:pt>
                <c:pt idx="1">
                  <c:v>31-60 days</c:v>
                </c:pt>
                <c:pt idx="2">
                  <c:v>61-120 days </c:v>
                </c:pt>
                <c:pt idx="3">
                  <c:v>121-180 days </c:v>
                </c:pt>
                <c:pt idx="4">
                  <c:v>181-365 days </c:v>
                </c:pt>
                <c:pt idx="5">
                  <c:v>More than 365 days </c:v>
                </c:pt>
              </c:strCache>
            </c:strRef>
          </c:cat>
          <c:val>
            <c:numRef>
              <c:f>TC!$B$33:$B$38</c:f>
              <c:numCache>
                <c:formatCode>0.00%</c:formatCode>
                <c:ptCount val="6"/>
                <c:pt idx="0">
                  <c:v>7.3170731707317069E-2</c:v>
                </c:pt>
                <c:pt idx="1">
                  <c:v>0.64459930313589098</c:v>
                </c:pt>
                <c:pt idx="2">
                  <c:v>0.17305458768873402</c:v>
                </c:pt>
                <c:pt idx="3">
                  <c:v>6.1556329849012902E-2</c:v>
                </c:pt>
                <c:pt idx="4">
                  <c:v>4.6457607433217321E-2</c:v>
                </c:pt>
                <c:pt idx="5">
                  <c:v>1.1614401858304321E-3</c:v>
                </c:pt>
              </c:numCache>
            </c:numRef>
          </c:val>
        </c:ser>
        <c:ser>
          <c:idx val="1"/>
          <c:order val="1"/>
          <c:tx>
            <c:strRef>
              <c:f>TC!$C$32</c:f>
              <c:strCache>
                <c:ptCount val="1"/>
                <c:pt idx="0">
                  <c:v>2013-2014</c:v>
                </c:pt>
              </c:strCache>
            </c:strRef>
          </c:tx>
          <c:spPr>
            <a:solidFill>
              <a:srgbClr val="FFC000"/>
            </a:solidFill>
          </c:spPr>
          <c:cat>
            <c:strRef>
              <c:f>TC!$A$33:$A$38</c:f>
              <c:strCache>
                <c:ptCount val="6"/>
                <c:pt idx="0">
                  <c:v> 30 days or less</c:v>
                </c:pt>
                <c:pt idx="1">
                  <c:v>31-60 days</c:v>
                </c:pt>
                <c:pt idx="2">
                  <c:v>61-120 days </c:v>
                </c:pt>
                <c:pt idx="3">
                  <c:v>121-180 days </c:v>
                </c:pt>
                <c:pt idx="4">
                  <c:v>181-365 days </c:v>
                </c:pt>
                <c:pt idx="5">
                  <c:v>More than 365 days </c:v>
                </c:pt>
              </c:strCache>
            </c:strRef>
          </c:cat>
          <c:val>
            <c:numRef>
              <c:f>TC!$C$33:$C$38</c:f>
              <c:numCache>
                <c:formatCode>0.00%</c:formatCode>
                <c:ptCount val="6"/>
                <c:pt idx="0">
                  <c:v>3.4453057708871755E-2</c:v>
                </c:pt>
                <c:pt idx="1">
                  <c:v>4.26356589147288E-2</c:v>
                </c:pt>
                <c:pt idx="2">
                  <c:v>0.44961240310077538</c:v>
                </c:pt>
                <c:pt idx="3">
                  <c:v>0.38759689922480822</c:v>
                </c:pt>
                <c:pt idx="4">
                  <c:v>8.5701981050818249E-2</c:v>
                </c:pt>
                <c:pt idx="5">
                  <c:v>0</c:v>
                </c:pt>
              </c:numCache>
            </c:numRef>
          </c:val>
        </c:ser>
        <c:ser>
          <c:idx val="2"/>
          <c:order val="2"/>
          <c:tx>
            <c:strRef>
              <c:f>TC!$D$32</c:f>
              <c:strCache>
                <c:ptCount val="1"/>
                <c:pt idx="0">
                  <c:v>2014-2015</c:v>
                </c:pt>
              </c:strCache>
            </c:strRef>
          </c:tx>
          <c:spPr>
            <a:solidFill>
              <a:schemeClr val="accent5">
                <a:lumMod val="75000"/>
              </a:schemeClr>
            </a:solidFill>
          </c:spPr>
          <c:cat>
            <c:strRef>
              <c:f>TC!$A$33:$A$38</c:f>
              <c:strCache>
                <c:ptCount val="6"/>
                <c:pt idx="0">
                  <c:v> 30 days or less</c:v>
                </c:pt>
                <c:pt idx="1">
                  <c:v>31-60 days</c:v>
                </c:pt>
                <c:pt idx="2">
                  <c:v>61-120 days </c:v>
                </c:pt>
                <c:pt idx="3">
                  <c:v>121-180 days </c:v>
                </c:pt>
                <c:pt idx="4">
                  <c:v>181-365 days </c:v>
                </c:pt>
                <c:pt idx="5">
                  <c:v>More than 365 days </c:v>
                </c:pt>
              </c:strCache>
            </c:strRef>
          </c:cat>
          <c:val>
            <c:numRef>
              <c:f>TC!$D$33:$D$38</c:f>
              <c:numCache>
                <c:formatCode>0.00%</c:formatCode>
                <c:ptCount val="6"/>
                <c:pt idx="0">
                  <c:v>0.36140350877192984</c:v>
                </c:pt>
                <c:pt idx="1">
                  <c:v>0.19532163742690059</c:v>
                </c:pt>
                <c:pt idx="2">
                  <c:v>0.24444444444444527</c:v>
                </c:pt>
                <c:pt idx="3">
                  <c:v>5.7309941520467839E-2</c:v>
                </c:pt>
                <c:pt idx="4">
                  <c:v>0.12163742690058479</c:v>
                </c:pt>
                <c:pt idx="5">
                  <c:v>1.9883040935672523E-2</c:v>
                </c:pt>
              </c:numCache>
            </c:numRef>
          </c:val>
        </c:ser>
        <c:dLbls/>
        <c:axId val="244433280"/>
        <c:axId val="244434816"/>
      </c:barChart>
      <c:catAx>
        <c:axId val="244433280"/>
        <c:scaling>
          <c:orientation val="minMax"/>
        </c:scaling>
        <c:axPos val="b"/>
        <c:numFmt formatCode="General" sourceLinked="0"/>
        <c:tickLblPos val="nextTo"/>
        <c:crossAx val="244434816"/>
        <c:crosses val="autoZero"/>
        <c:auto val="1"/>
        <c:lblAlgn val="ctr"/>
        <c:lblOffset val="100"/>
      </c:catAx>
      <c:valAx>
        <c:axId val="244434816"/>
        <c:scaling>
          <c:orientation val="minMax"/>
        </c:scaling>
        <c:axPos val="l"/>
        <c:majorGridlines/>
        <c:numFmt formatCode="0%" sourceLinked="0"/>
        <c:tickLblPos val="nextTo"/>
        <c:crossAx val="244433280"/>
        <c:crosses val="autoZero"/>
        <c:crossBetween val="between"/>
      </c:valAx>
    </c:plotArea>
    <c:legend>
      <c:legendPos val="b"/>
    </c:legend>
    <c:plotVisOnly val="1"/>
    <c:dispBlanksAs val="gap"/>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TC!$B$58</c:f>
              <c:strCache>
                <c:ptCount val="1"/>
                <c:pt idx="0">
                  <c:v>2014-2015</c:v>
                </c:pt>
              </c:strCache>
            </c:strRef>
          </c:tx>
          <c:dPt>
            <c:idx val="0"/>
            <c:spPr>
              <a:solidFill>
                <a:schemeClr val="accent5">
                  <a:lumMod val="50000"/>
                </a:schemeClr>
              </a:solidFill>
            </c:spPr>
          </c:dPt>
          <c:dPt>
            <c:idx val="1"/>
            <c:spPr>
              <a:solidFill>
                <a:schemeClr val="tx1">
                  <a:lumMod val="75000"/>
                  <a:lumOff val="25000"/>
                </a:schemeClr>
              </a:solidFill>
            </c:spPr>
          </c:dPt>
          <c:dPt>
            <c:idx val="2"/>
            <c:spPr>
              <a:solidFill>
                <a:schemeClr val="accent5">
                  <a:lumMod val="40000"/>
                  <a:lumOff val="60000"/>
                </a:schemeClr>
              </a:solidFill>
            </c:spPr>
          </c:dPt>
          <c:dPt>
            <c:idx val="3"/>
            <c:spPr>
              <a:solidFill>
                <a:schemeClr val="tx2">
                  <a:lumMod val="50000"/>
                </a:schemeClr>
              </a:solidFill>
            </c:spPr>
          </c:dPt>
          <c:dPt>
            <c:idx val="4"/>
            <c:spPr>
              <a:solidFill>
                <a:srgbClr val="FFC000"/>
              </a:solidFill>
            </c:spPr>
          </c:dPt>
          <c:dPt>
            <c:idx val="5"/>
            <c:spPr>
              <a:solidFill>
                <a:schemeClr val="accent6">
                  <a:lumMod val="50000"/>
                </a:schemeClr>
              </a:solidFill>
            </c:spPr>
          </c:dPt>
          <c:dPt>
            <c:idx val="6"/>
            <c:spPr>
              <a:solidFill>
                <a:schemeClr val="bg2">
                  <a:lumMod val="50000"/>
                </a:schemeClr>
              </a:solidFill>
            </c:spPr>
          </c:dPt>
          <c:dLbls>
            <c:dLbl>
              <c:idx val="0"/>
              <c:layout>
                <c:manualLayout>
                  <c:x val="2.2764193949440532E-2"/>
                  <c:y val="7.3896364961068842E-2"/>
                </c:manualLayout>
              </c:layout>
              <c:showPercent val="1"/>
              <c:extLst>
                <c:ext xmlns:c15="http://schemas.microsoft.com/office/drawing/2012/chart" uri="{CE6537A1-D6FC-4f65-9D91-7224C49458BB}"/>
              </c:extLst>
            </c:dLbl>
            <c:dLbl>
              <c:idx val="1"/>
              <c:layout>
                <c:manualLayout>
                  <c:x val="-6.4180135377814628E-3"/>
                  <c:y val="1.6860751937780361E-2"/>
                </c:manualLayout>
              </c:layout>
              <c:showPercent val="1"/>
              <c:extLst>
                <c:ext xmlns:c15="http://schemas.microsoft.com/office/drawing/2012/chart" uri="{CE6537A1-D6FC-4f65-9D91-7224C49458BB}"/>
              </c:extLst>
            </c:dLbl>
            <c:dLbl>
              <c:idx val="2"/>
              <c:layout>
                <c:manualLayout>
                  <c:x val="6.5093590274899853E-3"/>
                  <c:y val="-2.2331656703447191E-2"/>
                </c:manualLayout>
              </c:layout>
              <c:showPercent val="1"/>
              <c:extLst>
                <c:ext xmlns:c15="http://schemas.microsoft.com/office/drawing/2012/chart" uri="{CE6537A1-D6FC-4f65-9D91-7224C49458BB}"/>
              </c:extLst>
            </c:dLbl>
            <c:dLbl>
              <c:idx val="3"/>
              <c:layout>
                <c:manualLayout>
                  <c:x val="-9.5890316342036232E-3"/>
                  <c:y val="-3.4144260395544204E-2"/>
                </c:manualLayout>
              </c:layout>
              <c:showPercent val="1"/>
              <c:extLst>
                <c:ext xmlns:c15="http://schemas.microsoft.com/office/drawing/2012/chart" uri="{CE6537A1-D6FC-4f65-9D91-7224C49458BB}"/>
              </c:extLst>
            </c:dLbl>
            <c:dLbl>
              <c:idx val="4"/>
              <c:layout>
                <c:manualLayout>
                  <c:x val="2.502590136759221E-3"/>
                  <c:y val="4.2997568447756748E-2"/>
                </c:manualLayout>
              </c:layout>
              <c:showPercent val="1"/>
              <c:extLst>
                <c:ext xmlns:c15="http://schemas.microsoft.com/office/drawing/2012/chart" uri="{CE6537A1-D6FC-4f65-9D91-7224C49458BB}"/>
              </c:extLst>
            </c:dLbl>
            <c:dLbl>
              <c:idx val="5"/>
              <c:layout>
                <c:manualLayout>
                  <c:x val="-1.4870838513606854E-3"/>
                  <c:y val="1.3712550145278665E-2"/>
                </c:manualLayout>
              </c:layout>
              <c:showPercent val="1"/>
              <c:extLst>
                <c:ext xmlns:c15="http://schemas.microsoft.com/office/drawing/2012/chart" uri="{CE6537A1-D6FC-4f65-9D91-7224C49458BB}"/>
              </c:extLst>
            </c:dLbl>
            <c:dLbl>
              <c:idx val="6"/>
              <c:layout>
                <c:manualLayout>
                  <c:x val="2.1678840309435007E-2"/>
                  <c:y val="1.7382877307560642E-2"/>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TC!$A$59:$A$65</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TC!$B$59:$B$65</c:f>
              <c:numCache>
                <c:formatCode>General</c:formatCode>
                <c:ptCount val="7"/>
                <c:pt idx="0">
                  <c:v>40</c:v>
                </c:pt>
                <c:pt idx="1">
                  <c:v>15</c:v>
                </c:pt>
                <c:pt idx="2">
                  <c:v>18</c:v>
                </c:pt>
                <c:pt idx="3">
                  <c:v>26</c:v>
                </c:pt>
                <c:pt idx="4">
                  <c:v>18</c:v>
                </c:pt>
                <c:pt idx="5">
                  <c:v>22</c:v>
                </c:pt>
                <c:pt idx="6">
                  <c:v>7</c:v>
                </c:pt>
              </c:numCache>
            </c:numRef>
          </c:val>
        </c:ser>
        <c:dLbls/>
        <c:firstSliceAng val="0"/>
      </c:pieChart>
    </c:plotArea>
    <c:legend>
      <c:legendPos val="r"/>
    </c:legend>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TC!$B$89</c:f>
              <c:strCache>
                <c:ptCount val="1"/>
                <c:pt idx="0">
                  <c:v>2012-2013</c:v>
                </c:pt>
              </c:strCache>
            </c:strRef>
          </c:tx>
          <c:spPr>
            <a:solidFill>
              <a:schemeClr val="bg1">
                <a:lumMod val="65000"/>
              </a:schemeClr>
            </a:solidFill>
          </c:spPr>
          <c:cat>
            <c:strRef>
              <c:f>TC!$A$90:$A$91</c:f>
              <c:strCache>
                <c:ptCount val="2"/>
                <c:pt idx="0">
                  <c:v>All disclosed </c:v>
                </c:pt>
                <c:pt idx="1">
                  <c:v>Disclosed in part </c:v>
                </c:pt>
              </c:strCache>
            </c:strRef>
          </c:cat>
          <c:val>
            <c:numRef>
              <c:f>TC!$B$90:$B$91</c:f>
              <c:numCache>
                <c:formatCode>0.00%</c:formatCode>
                <c:ptCount val="2"/>
                <c:pt idx="0">
                  <c:v>0.1099365750528543</c:v>
                </c:pt>
                <c:pt idx="1">
                  <c:v>0.27131782945736432</c:v>
                </c:pt>
              </c:numCache>
            </c:numRef>
          </c:val>
        </c:ser>
        <c:ser>
          <c:idx val="1"/>
          <c:order val="1"/>
          <c:tx>
            <c:strRef>
              <c:f>TC!$C$89</c:f>
              <c:strCache>
                <c:ptCount val="1"/>
                <c:pt idx="0">
                  <c:v>2013-2014</c:v>
                </c:pt>
              </c:strCache>
            </c:strRef>
          </c:tx>
          <c:spPr>
            <a:solidFill>
              <a:srgbClr val="FFC000"/>
            </a:solidFill>
          </c:spPr>
          <c:cat>
            <c:strRef>
              <c:f>TC!$A$90:$A$91</c:f>
              <c:strCache>
                <c:ptCount val="2"/>
                <c:pt idx="0">
                  <c:v>All disclosed </c:v>
                </c:pt>
                <c:pt idx="1">
                  <c:v>Disclosed in part </c:v>
                </c:pt>
              </c:strCache>
            </c:strRef>
          </c:cat>
          <c:val>
            <c:numRef>
              <c:f>TC!$C$90:$C$91</c:f>
              <c:numCache>
                <c:formatCode>0.00%</c:formatCode>
                <c:ptCount val="2"/>
                <c:pt idx="0">
                  <c:v>0.11984392419175025</c:v>
                </c:pt>
                <c:pt idx="1">
                  <c:v>0.42140468227424943</c:v>
                </c:pt>
              </c:numCache>
            </c:numRef>
          </c:val>
        </c:ser>
        <c:ser>
          <c:idx val="2"/>
          <c:order val="2"/>
          <c:tx>
            <c:strRef>
              <c:f>TC!$D$89</c:f>
              <c:strCache>
                <c:ptCount val="1"/>
                <c:pt idx="0">
                  <c:v>2014-2015</c:v>
                </c:pt>
              </c:strCache>
            </c:strRef>
          </c:tx>
          <c:spPr>
            <a:solidFill>
              <a:schemeClr val="accent5">
                <a:lumMod val="75000"/>
              </a:schemeClr>
            </a:solidFill>
          </c:spPr>
          <c:cat>
            <c:strRef>
              <c:f>TC!$A$90:$A$91</c:f>
              <c:strCache>
                <c:ptCount val="2"/>
                <c:pt idx="0">
                  <c:v>All disclosed </c:v>
                </c:pt>
                <c:pt idx="1">
                  <c:v>Disclosed in part </c:v>
                </c:pt>
              </c:strCache>
            </c:strRef>
          </c:cat>
          <c:val>
            <c:numRef>
              <c:f>TC!$D$90:$D$91</c:f>
              <c:numCache>
                <c:formatCode>0.00%</c:formatCode>
                <c:ptCount val="2"/>
                <c:pt idx="0">
                  <c:v>0.10454155955441302</c:v>
                </c:pt>
                <c:pt idx="1">
                  <c:v>0.56555269922879181</c:v>
                </c:pt>
              </c:numCache>
            </c:numRef>
          </c:val>
        </c:ser>
        <c:dLbls/>
        <c:axId val="244581504"/>
        <c:axId val="244583040"/>
      </c:barChart>
      <c:catAx>
        <c:axId val="244581504"/>
        <c:scaling>
          <c:orientation val="minMax"/>
        </c:scaling>
        <c:axPos val="b"/>
        <c:numFmt formatCode="General" sourceLinked="0"/>
        <c:tickLblPos val="nextTo"/>
        <c:crossAx val="244583040"/>
        <c:crosses val="autoZero"/>
        <c:auto val="1"/>
        <c:lblAlgn val="ctr"/>
        <c:lblOffset val="100"/>
      </c:catAx>
      <c:valAx>
        <c:axId val="244583040"/>
        <c:scaling>
          <c:orientation val="minMax"/>
        </c:scaling>
        <c:axPos val="l"/>
        <c:majorGridlines/>
        <c:numFmt formatCode="0%" sourceLinked="0"/>
        <c:tickLblPos val="nextTo"/>
        <c:crossAx val="244581504"/>
        <c:crosses val="autoZero"/>
        <c:crossBetween val="between"/>
      </c:valAx>
    </c:plotArea>
    <c:legend>
      <c:legendPos val="b"/>
    </c:legend>
    <c:plotVisOnly val="1"/>
    <c:dispBlanksAs val="gap"/>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INFC!$B$2</c:f>
              <c:strCache>
                <c:ptCount val="1"/>
                <c:pt idx="0">
                  <c:v>2012-2013</c:v>
                </c:pt>
              </c:strCache>
            </c:strRef>
          </c:tx>
          <c:spPr>
            <a:solidFill>
              <a:schemeClr val="bg1">
                <a:lumMod val="65000"/>
              </a:schemeClr>
            </a:solidFill>
          </c:spPr>
          <c:cat>
            <c:strRef>
              <c:f>INFC!$A$3:$A$8</c:f>
              <c:strCache>
                <c:ptCount val="6"/>
                <c:pt idx="0">
                  <c:v>30 days or less</c:v>
                </c:pt>
                <c:pt idx="1">
                  <c:v>31-60 days</c:v>
                </c:pt>
                <c:pt idx="2">
                  <c:v>61-120 days</c:v>
                </c:pt>
                <c:pt idx="3">
                  <c:v>121-180 days</c:v>
                </c:pt>
                <c:pt idx="4">
                  <c:v>181-365 days</c:v>
                </c:pt>
                <c:pt idx="5">
                  <c:v>More than 365 days</c:v>
                </c:pt>
              </c:strCache>
            </c:strRef>
          </c:cat>
          <c:val>
            <c:numRef>
              <c:f>INFC!$B$3:$B$8</c:f>
              <c:numCache>
                <c:formatCode>0.00%</c:formatCode>
                <c:ptCount val="6"/>
                <c:pt idx="0">
                  <c:v>0.41071428571428714</c:v>
                </c:pt>
                <c:pt idx="1">
                  <c:v>8.9285714285713996E-2</c:v>
                </c:pt>
                <c:pt idx="2">
                  <c:v>0.125</c:v>
                </c:pt>
                <c:pt idx="3">
                  <c:v>0.16071428571428631</c:v>
                </c:pt>
                <c:pt idx="4">
                  <c:v>0.17857142857142924</c:v>
                </c:pt>
                <c:pt idx="5">
                  <c:v>3.5714285714285712E-2</c:v>
                </c:pt>
              </c:numCache>
            </c:numRef>
          </c:val>
        </c:ser>
        <c:ser>
          <c:idx val="1"/>
          <c:order val="1"/>
          <c:tx>
            <c:strRef>
              <c:f>INFC!$C$2</c:f>
              <c:strCache>
                <c:ptCount val="1"/>
                <c:pt idx="0">
                  <c:v>2013-2014</c:v>
                </c:pt>
              </c:strCache>
            </c:strRef>
          </c:tx>
          <c:spPr>
            <a:solidFill>
              <a:srgbClr val="FFC000"/>
            </a:solidFill>
          </c:spPr>
          <c:cat>
            <c:strRef>
              <c:f>INFC!$A$3:$A$8</c:f>
              <c:strCache>
                <c:ptCount val="6"/>
                <c:pt idx="0">
                  <c:v>30 days or less</c:v>
                </c:pt>
                <c:pt idx="1">
                  <c:v>31-60 days</c:v>
                </c:pt>
                <c:pt idx="2">
                  <c:v>61-120 days</c:v>
                </c:pt>
                <c:pt idx="3">
                  <c:v>121-180 days</c:v>
                </c:pt>
                <c:pt idx="4">
                  <c:v>181-365 days</c:v>
                </c:pt>
                <c:pt idx="5">
                  <c:v>More than 365 days</c:v>
                </c:pt>
              </c:strCache>
            </c:strRef>
          </c:cat>
          <c:val>
            <c:numRef>
              <c:f>INFC!$C$3:$C$8</c:f>
              <c:numCache>
                <c:formatCode>0.00%</c:formatCode>
                <c:ptCount val="6"/>
                <c:pt idx="0">
                  <c:v>0.42000000000000032</c:v>
                </c:pt>
                <c:pt idx="1">
                  <c:v>0</c:v>
                </c:pt>
                <c:pt idx="2">
                  <c:v>6.0000000000000123E-2</c:v>
                </c:pt>
                <c:pt idx="3">
                  <c:v>0.2</c:v>
                </c:pt>
                <c:pt idx="4">
                  <c:v>0.18000000000000024</c:v>
                </c:pt>
                <c:pt idx="5">
                  <c:v>0.14000000000000001</c:v>
                </c:pt>
              </c:numCache>
            </c:numRef>
          </c:val>
        </c:ser>
        <c:ser>
          <c:idx val="2"/>
          <c:order val="2"/>
          <c:tx>
            <c:strRef>
              <c:f>INFC!$D$2</c:f>
              <c:strCache>
                <c:ptCount val="1"/>
                <c:pt idx="0">
                  <c:v>2014-2015</c:v>
                </c:pt>
              </c:strCache>
            </c:strRef>
          </c:tx>
          <c:spPr>
            <a:solidFill>
              <a:schemeClr val="accent5">
                <a:lumMod val="75000"/>
              </a:schemeClr>
            </a:solidFill>
          </c:spPr>
          <c:cat>
            <c:strRef>
              <c:f>INFC!$A$3:$A$8</c:f>
              <c:strCache>
                <c:ptCount val="6"/>
                <c:pt idx="0">
                  <c:v>30 days or less</c:v>
                </c:pt>
                <c:pt idx="1">
                  <c:v>31-60 days</c:v>
                </c:pt>
                <c:pt idx="2">
                  <c:v>61-120 days</c:v>
                </c:pt>
                <c:pt idx="3">
                  <c:v>121-180 days</c:v>
                </c:pt>
                <c:pt idx="4">
                  <c:v>181-365 days</c:v>
                </c:pt>
                <c:pt idx="5">
                  <c:v>More than 365 days</c:v>
                </c:pt>
              </c:strCache>
            </c:strRef>
          </c:cat>
          <c:val>
            <c:numRef>
              <c:f>INFC!$D$3:$D$8</c:f>
              <c:numCache>
                <c:formatCode>0.00%</c:formatCode>
                <c:ptCount val="6"/>
                <c:pt idx="0">
                  <c:v>0.93381468110709986</c:v>
                </c:pt>
                <c:pt idx="1">
                  <c:v>2.2864019253910992E-2</c:v>
                </c:pt>
                <c:pt idx="2">
                  <c:v>1.2033694344163667E-2</c:v>
                </c:pt>
                <c:pt idx="3">
                  <c:v>1.5643802647412851E-2</c:v>
                </c:pt>
                <c:pt idx="4">
                  <c:v>1.5643802647412851E-2</c:v>
                </c:pt>
                <c:pt idx="5">
                  <c:v>0</c:v>
                </c:pt>
              </c:numCache>
            </c:numRef>
          </c:val>
        </c:ser>
        <c:dLbls/>
        <c:axId val="244646656"/>
        <c:axId val="244648192"/>
      </c:barChart>
      <c:catAx>
        <c:axId val="244646656"/>
        <c:scaling>
          <c:orientation val="minMax"/>
        </c:scaling>
        <c:axPos val="b"/>
        <c:numFmt formatCode="General" sourceLinked="0"/>
        <c:tickLblPos val="nextTo"/>
        <c:crossAx val="244648192"/>
        <c:crosses val="autoZero"/>
        <c:auto val="1"/>
        <c:lblAlgn val="ctr"/>
        <c:lblOffset val="100"/>
      </c:catAx>
      <c:valAx>
        <c:axId val="244648192"/>
        <c:scaling>
          <c:orientation val="minMax"/>
        </c:scaling>
        <c:axPos val="l"/>
        <c:majorGridlines/>
        <c:numFmt formatCode="0%" sourceLinked="0"/>
        <c:tickLblPos val="nextTo"/>
        <c:crossAx val="244646656"/>
        <c:crosses val="autoZero"/>
        <c:crossBetween val="between"/>
      </c:valAx>
    </c:plotArea>
    <c:legend>
      <c:legendPos val="b"/>
    </c:legend>
    <c:plotVisOnly val="1"/>
    <c:dispBlanksAs val="gap"/>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INFC!$B$33</c:f>
              <c:strCache>
                <c:ptCount val="1"/>
                <c:pt idx="0">
                  <c:v>2012-2013</c:v>
                </c:pt>
              </c:strCache>
            </c:strRef>
          </c:tx>
          <c:spPr>
            <a:solidFill>
              <a:schemeClr val="bg1">
                <a:lumMod val="65000"/>
              </a:schemeClr>
            </a:solidFill>
          </c:spPr>
          <c:cat>
            <c:strRef>
              <c:f>INFC!$A$34:$A$39</c:f>
              <c:strCache>
                <c:ptCount val="6"/>
                <c:pt idx="0">
                  <c:v> 30 days or less</c:v>
                </c:pt>
                <c:pt idx="1">
                  <c:v>31-60 days</c:v>
                </c:pt>
                <c:pt idx="2">
                  <c:v>61-120 days </c:v>
                </c:pt>
                <c:pt idx="3">
                  <c:v>121-180 days </c:v>
                </c:pt>
                <c:pt idx="4">
                  <c:v>181-365 days </c:v>
                </c:pt>
                <c:pt idx="5">
                  <c:v>More than 365 days </c:v>
                </c:pt>
              </c:strCache>
            </c:strRef>
          </c:cat>
          <c:val>
            <c:numRef>
              <c:f>INFC!$B$34:$B$39</c:f>
              <c:numCache>
                <c:formatCode>0.00%</c:formatCode>
                <c:ptCount val="6"/>
                <c:pt idx="0">
                  <c:v>0.36363636363636381</c:v>
                </c:pt>
                <c:pt idx="1">
                  <c:v>0.15151515151515219</c:v>
                </c:pt>
                <c:pt idx="2">
                  <c:v>0.33333333333333331</c:v>
                </c:pt>
                <c:pt idx="3">
                  <c:v>0.15151515151515219</c:v>
                </c:pt>
                <c:pt idx="4">
                  <c:v>0</c:v>
                </c:pt>
                <c:pt idx="5">
                  <c:v>0</c:v>
                </c:pt>
              </c:numCache>
            </c:numRef>
          </c:val>
        </c:ser>
        <c:ser>
          <c:idx val="1"/>
          <c:order val="1"/>
          <c:tx>
            <c:strRef>
              <c:f>INFC!$C$33</c:f>
              <c:strCache>
                <c:ptCount val="1"/>
                <c:pt idx="0">
                  <c:v>2013-2014</c:v>
                </c:pt>
              </c:strCache>
            </c:strRef>
          </c:tx>
          <c:spPr>
            <a:solidFill>
              <a:srgbClr val="FFC000"/>
            </a:solidFill>
          </c:spPr>
          <c:cat>
            <c:strRef>
              <c:f>INFC!$A$34:$A$39</c:f>
              <c:strCache>
                <c:ptCount val="6"/>
                <c:pt idx="0">
                  <c:v> 30 days or less</c:v>
                </c:pt>
                <c:pt idx="1">
                  <c:v>31-60 days</c:v>
                </c:pt>
                <c:pt idx="2">
                  <c:v>61-120 days </c:v>
                </c:pt>
                <c:pt idx="3">
                  <c:v>121-180 days </c:v>
                </c:pt>
                <c:pt idx="4">
                  <c:v>181-365 days </c:v>
                </c:pt>
                <c:pt idx="5">
                  <c:v>More than 365 days </c:v>
                </c:pt>
              </c:strCache>
            </c:strRef>
          </c:cat>
          <c:val>
            <c:numRef>
              <c:f>INFC!$C$34:$C$39</c:f>
              <c:numCache>
                <c:formatCode>0.00%</c:formatCode>
                <c:ptCount val="6"/>
                <c:pt idx="0">
                  <c:v>0.18181818181818246</c:v>
                </c:pt>
                <c:pt idx="1">
                  <c:v>0.25</c:v>
                </c:pt>
                <c:pt idx="2">
                  <c:v>0.27272727272727282</c:v>
                </c:pt>
                <c:pt idx="3">
                  <c:v>0.27272727272727298</c:v>
                </c:pt>
                <c:pt idx="4">
                  <c:v>2.2727272727272846E-2</c:v>
                </c:pt>
                <c:pt idx="5">
                  <c:v>0</c:v>
                </c:pt>
              </c:numCache>
            </c:numRef>
          </c:val>
        </c:ser>
        <c:ser>
          <c:idx val="2"/>
          <c:order val="2"/>
          <c:tx>
            <c:strRef>
              <c:f>INFC!$D$33</c:f>
              <c:strCache>
                <c:ptCount val="1"/>
                <c:pt idx="0">
                  <c:v>2014-2015</c:v>
                </c:pt>
              </c:strCache>
            </c:strRef>
          </c:tx>
          <c:spPr>
            <a:solidFill>
              <a:schemeClr val="accent5">
                <a:lumMod val="75000"/>
              </a:schemeClr>
            </a:solidFill>
          </c:spPr>
          <c:cat>
            <c:strRef>
              <c:f>INFC!$A$34:$A$39</c:f>
              <c:strCache>
                <c:ptCount val="6"/>
                <c:pt idx="0">
                  <c:v> 30 days or less</c:v>
                </c:pt>
                <c:pt idx="1">
                  <c:v>31-60 days</c:v>
                </c:pt>
                <c:pt idx="2">
                  <c:v>61-120 days </c:v>
                </c:pt>
                <c:pt idx="3">
                  <c:v>121-180 days </c:v>
                </c:pt>
                <c:pt idx="4">
                  <c:v>181-365 days </c:v>
                </c:pt>
                <c:pt idx="5">
                  <c:v>More than 365 days </c:v>
                </c:pt>
              </c:strCache>
            </c:strRef>
          </c:cat>
          <c:val>
            <c:numRef>
              <c:f>INFC!$D$34:$D$39</c:f>
              <c:numCache>
                <c:formatCode>0.00%</c:formatCode>
                <c:ptCount val="6"/>
                <c:pt idx="0">
                  <c:v>0</c:v>
                </c:pt>
                <c:pt idx="1">
                  <c:v>0.27906976744186146</c:v>
                </c:pt>
                <c:pt idx="2">
                  <c:v>0.32558139534883873</c:v>
                </c:pt>
                <c:pt idx="3">
                  <c:v>6.9767441860465351E-2</c:v>
                </c:pt>
                <c:pt idx="4">
                  <c:v>0.3023255813953511</c:v>
                </c:pt>
                <c:pt idx="5">
                  <c:v>2.3255813953488372E-2</c:v>
                </c:pt>
              </c:numCache>
            </c:numRef>
          </c:val>
        </c:ser>
        <c:dLbls/>
        <c:axId val="244687232"/>
        <c:axId val="244688768"/>
      </c:barChart>
      <c:catAx>
        <c:axId val="244687232"/>
        <c:scaling>
          <c:orientation val="minMax"/>
        </c:scaling>
        <c:axPos val="b"/>
        <c:numFmt formatCode="General" sourceLinked="0"/>
        <c:tickLblPos val="nextTo"/>
        <c:crossAx val="244688768"/>
        <c:crosses val="autoZero"/>
        <c:auto val="1"/>
        <c:lblAlgn val="ctr"/>
        <c:lblOffset val="100"/>
      </c:catAx>
      <c:valAx>
        <c:axId val="244688768"/>
        <c:scaling>
          <c:orientation val="minMax"/>
        </c:scaling>
        <c:axPos val="l"/>
        <c:majorGridlines/>
        <c:numFmt formatCode="0%" sourceLinked="0"/>
        <c:tickLblPos val="nextTo"/>
        <c:crossAx val="244687232"/>
        <c:crosses val="autoZero"/>
        <c:crossBetween val="between"/>
      </c:valAx>
    </c:plotArea>
    <c:legend>
      <c:legendPos val="b"/>
    </c:legend>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INFC!$B$95</c:f>
              <c:strCache>
                <c:ptCount val="1"/>
                <c:pt idx="0">
                  <c:v>2012-2013</c:v>
                </c:pt>
              </c:strCache>
            </c:strRef>
          </c:tx>
          <c:spPr>
            <a:solidFill>
              <a:schemeClr val="bg1">
                <a:lumMod val="65000"/>
              </a:schemeClr>
            </a:solidFill>
          </c:spPr>
          <c:cat>
            <c:strRef>
              <c:f>INFC!$A$96:$A$97</c:f>
              <c:strCache>
                <c:ptCount val="2"/>
                <c:pt idx="0">
                  <c:v>All disclosed </c:v>
                </c:pt>
                <c:pt idx="1">
                  <c:v>Disclosed in part </c:v>
                </c:pt>
              </c:strCache>
            </c:strRef>
          </c:cat>
          <c:val>
            <c:numRef>
              <c:f>INFC!$B$96:$B$97</c:f>
              <c:numCache>
                <c:formatCode>0.00%</c:formatCode>
                <c:ptCount val="2"/>
                <c:pt idx="0">
                  <c:v>8.9285714285713982E-2</c:v>
                </c:pt>
                <c:pt idx="1">
                  <c:v>0.6607142857142857</c:v>
                </c:pt>
              </c:numCache>
            </c:numRef>
          </c:val>
        </c:ser>
        <c:ser>
          <c:idx val="1"/>
          <c:order val="1"/>
          <c:tx>
            <c:strRef>
              <c:f>INFC!$C$95</c:f>
              <c:strCache>
                <c:ptCount val="1"/>
                <c:pt idx="0">
                  <c:v>2013-2014</c:v>
                </c:pt>
              </c:strCache>
            </c:strRef>
          </c:tx>
          <c:spPr>
            <a:solidFill>
              <a:srgbClr val="FFC000"/>
            </a:solidFill>
          </c:spPr>
          <c:cat>
            <c:strRef>
              <c:f>INFC!$A$96:$A$97</c:f>
              <c:strCache>
                <c:ptCount val="2"/>
                <c:pt idx="0">
                  <c:v>All disclosed </c:v>
                </c:pt>
                <c:pt idx="1">
                  <c:v>Disclosed in part </c:v>
                </c:pt>
              </c:strCache>
            </c:strRef>
          </c:cat>
          <c:val>
            <c:numRef>
              <c:f>INFC!$C$96:$C$97</c:f>
              <c:numCache>
                <c:formatCode>0.00%</c:formatCode>
                <c:ptCount val="2"/>
                <c:pt idx="0">
                  <c:v>0.12000000000000002</c:v>
                </c:pt>
                <c:pt idx="1">
                  <c:v>0.60000000000000064</c:v>
                </c:pt>
              </c:numCache>
            </c:numRef>
          </c:val>
        </c:ser>
        <c:ser>
          <c:idx val="2"/>
          <c:order val="2"/>
          <c:tx>
            <c:strRef>
              <c:f>INFC!$D$95</c:f>
              <c:strCache>
                <c:ptCount val="1"/>
                <c:pt idx="0">
                  <c:v>2014-2015</c:v>
                </c:pt>
              </c:strCache>
            </c:strRef>
          </c:tx>
          <c:spPr>
            <a:solidFill>
              <a:schemeClr val="accent5">
                <a:lumMod val="75000"/>
              </a:schemeClr>
            </a:solidFill>
          </c:spPr>
          <c:cat>
            <c:strRef>
              <c:f>INFC!$A$96:$A$97</c:f>
              <c:strCache>
                <c:ptCount val="2"/>
                <c:pt idx="0">
                  <c:v>All disclosed </c:v>
                </c:pt>
                <c:pt idx="1">
                  <c:v>Disclosed in part </c:v>
                </c:pt>
              </c:strCache>
            </c:strRef>
          </c:cat>
          <c:val>
            <c:numRef>
              <c:f>INFC!$D$96:$D$97</c:f>
              <c:numCache>
                <c:formatCode>0.00%</c:formatCode>
                <c:ptCount val="2"/>
                <c:pt idx="0">
                  <c:v>2.4067388688327414E-2</c:v>
                </c:pt>
                <c:pt idx="1">
                  <c:v>6.3778580024067388E-2</c:v>
                </c:pt>
              </c:numCache>
            </c:numRef>
          </c:val>
        </c:ser>
        <c:dLbls/>
        <c:axId val="244867072"/>
        <c:axId val="244868608"/>
      </c:barChart>
      <c:catAx>
        <c:axId val="244867072"/>
        <c:scaling>
          <c:orientation val="minMax"/>
        </c:scaling>
        <c:axPos val="b"/>
        <c:numFmt formatCode="General" sourceLinked="0"/>
        <c:tickLblPos val="nextTo"/>
        <c:crossAx val="244868608"/>
        <c:crosses val="autoZero"/>
        <c:auto val="1"/>
        <c:lblAlgn val="ctr"/>
        <c:lblOffset val="100"/>
      </c:catAx>
      <c:valAx>
        <c:axId val="244868608"/>
        <c:scaling>
          <c:orientation val="minMax"/>
        </c:scaling>
        <c:axPos val="l"/>
        <c:majorGridlines/>
        <c:numFmt formatCode="0%" sourceLinked="0"/>
        <c:tickLblPos val="nextTo"/>
        <c:crossAx val="244867072"/>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IRCC!$B$84</c:f>
              <c:strCache>
                <c:ptCount val="1"/>
                <c:pt idx="0">
                  <c:v>2012-2013</c:v>
                </c:pt>
              </c:strCache>
            </c:strRef>
          </c:tx>
          <c:spPr>
            <a:solidFill>
              <a:schemeClr val="bg1">
                <a:lumMod val="50000"/>
              </a:schemeClr>
            </a:solidFill>
          </c:spPr>
          <c:cat>
            <c:strRef>
              <c:f>IRCC!$A$85:$A$86</c:f>
              <c:strCache>
                <c:ptCount val="2"/>
                <c:pt idx="0">
                  <c:v>All disclosed </c:v>
                </c:pt>
                <c:pt idx="1">
                  <c:v>Disclosed in part </c:v>
                </c:pt>
              </c:strCache>
            </c:strRef>
          </c:cat>
          <c:val>
            <c:numRef>
              <c:f>IRCC!$B$85:$B$86</c:f>
              <c:numCache>
                <c:formatCode>0.00%</c:formatCode>
                <c:ptCount val="2"/>
                <c:pt idx="0">
                  <c:v>0.24515757109915437</c:v>
                </c:pt>
                <c:pt idx="1">
                  <c:v>0.62644119907763252</c:v>
                </c:pt>
              </c:numCache>
            </c:numRef>
          </c:val>
        </c:ser>
        <c:ser>
          <c:idx val="1"/>
          <c:order val="1"/>
          <c:tx>
            <c:strRef>
              <c:f>IRCC!$C$84</c:f>
              <c:strCache>
                <c:ptCount val="1"/>
                <c:pt idx="0">
                  <c:v>2013-2014</c:v>
                </c:pt>
              </c:strCache>
            </c:strRef>
          </c:tx>
          <c:spPr>
            <a:solidFill>
              <a:srgbClr val="FFC000"/>
            </a:solidFill>
          </c:spPr>
          <c:cat>
            <c:strRef>
              <c:f>IRCC!$A$85:$A$86</c:f>
              <c:strCache>
                <c:ptCount val="2"/>
                <c:pt idx="0">
                  <c:v>All disclosed </c:v>
                </c:pt>
                <c:pt idx="1">
                  <c:v>Disclosed in part </c:v>
                </c:pt>
              </c:strCache>
            </c:strRef>
          </c:cat>
          <c:val>
            <c:numRef>
              <c:f>IRCC!$C$85:$C$86</c:f>
              <c:numCache>
                <c:formatCode>0.00%</c:formatCode>
                <c:ptCount val="2"/>
                <c:pt idx="0">
                  <c:v>0.33360090487831673</c:v>
                </c:pt>
                <c:pt idx="1">
                  <c:v>0.56923413726420302</c:v>
                </c:pt>
              </c:numCache>
            </c:numRef>
          </c:val>
        </c:ser>
        <c:ser>
          <c:idx val="2"/>
          <c:order val="2"/>
          <c:tx>
            <c:strRef>
              <c:f>IRCC!$D$84</c:f>
              <c:strCache>
                <c:ptCount val="1"/>
                <c:pt idx="0">
                  <c:v>2014-2015</c:v>
                </c:pt>
              </c:strCache>
            </c:strRef>
          </c:tx>
          <c:spPr>
            <a:solidFill>
              <a:schemeClr val="accent5">
                <a:lumMod val="75000"/>
              </a:schemeClr>
            </a:solidFill>
          </c:spPr>
          <c:cat>
            <c:strRef>
              <c:f>IRCC!$A$85:$A$86</c:f>
              <c:strCache>
                <c:ptCount val="2"/>
                <c:pt idx="0">
                  <c:v>All disclosed </c:v>
                </c:pt>
                <c:pt idx="1">
                  <c:v>Disclosed in part </c:v>
                </c:pt>
              </c:strCache>
            </c:strRef>
          </c:cat>
          <c:val>
            <c:numRef>
              <c:f>IRCC!$D$85:$D$86</c:f>
              <c:numCache>
                <c:formatCode>0.00%</c:formatCode>
                <c:ptCount val="2"/>
                <c:pt idx="0">
                  <c:v>0.29578809211311302</c:v>
                </c:pt>
                <c:pt idx="1">
                  <c:v>0.60502923278845366</c:v>
                </c:pt>
              </c:numCache>
            </c:numRef>
          </c:val>
        </c:ser>
        <c:dLbls/>
        <c:axId val="217587072"/>
        <c:axId val="217597056"/>
      </c:barChart>
      <c:catAx>
        <c:axId val="217587072"/>
        <c:scaling>
          <c:orientation val="minMax"/>
        </c:scaling>
        <c:axPos val="b"/>
        <c:numFmt formatCode="General" sourceLinked="0"/>
        <c:tickLblPos val="nextTo"/>
        <c:crossAx val="217597056"/>
        <c:crosses val="autoZero"/>
        <c:auto val="1"/>
        <c:lblAlgn val="ctr"/>
        <c:lblOffset val="100"/>
      </c:catAx>
      <c:valAx>
        <c:axId val="217597056"/>
        <c:scaling>
          <c:orientation val="minMax"/>
        </c:scaling>
        <c:axPos val="l"/>
        <c:majorGridlines/>
        <c:numFmt formatCode="0%" sourceLinked="0"/>
        <c:tickLblPos val="nextTo"/>
        <c:crossAx val="217587072"/>
        <c:crosses val="autoZero"/>
        <c:crossBetween val="between"/>
      </c:valAx>
    </c:plotArea>
    <c:legend>
      <c:legendPos val="b"/>
      <c:layout>
        <c:manualLayout>
          <c:xMode val="edge"/>
          <c:yMode val="edge"/>
          <c:x val="0.28717972753406107"/>
          <c:y val="0.88572757586795636"/>
          <c:w val="0.5050056242969625"/>
          <c:h val="0.10003754868719703"/>
        </c:manualLayout>
      </c:layout>
    </c:legend>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GAC!$B$2</c:f>
              <c:strCache>
                <c:ptCount val="1"/>
                <c:pt idx="0">
                  <c:v>2012-2013</c:v>
                </c:pt>
              </c:strCache>
            </c:strRef>
          </c:tx>
          <c:spPr>
            <a:solidFill>
              <a:schemeClr val="bg1">
                <a:lumMod val="65000"/>
              </a:schemeClr>
            </a:solidFill>
          </c:spPr>
          <c:cat>
            <c:strRef>
              <c:f>GAC!$A$3:$A$8</c:f>
              <c:strCache>
                <c:ptCount val="6"/>
                <c:pt idx="0">
                  <c:v>30 days or less</c:v>
                </c:pt>
                <c:pt idx="1">
                  <c:v>31-60 days</c:v>
                </c:pt>
                <c:pt idx="2">
                  <c:v>61-120 days</c:v>
                </c:pt>
                <c:pt idx="3">
                  <c:v>121-180 days</c:v>
                </c:pt>
                <c:pt idx="4">
                  <c:v>181-365 days</c:v>
                </c:pt>
                <c:pt idx="5">
                  <c:v>More than 365 days</c:v>
                </c:pt>
              </c:strCache>
            </c:strRef>
          </c:cat>
          <c:val>
            <c:numRef>
              <c:f>GAC!$B$3:$B$8</c:f>
              <c:numCache>
                <c:formatCode>0.00%</c:formatCode>
                <c:ptCount val="6"/>
                <c:pt idx="0">
                  <c:v>0.42690000000000045</c:v>
                </c:pt>
                <c:pt idx="1">
                  <c:v>0.12490000000000002</c:v>
                </c:pt>
                <c:pt idx="2">
                  <c:v>0.18780000000000022</c:v>
                </c:pt>
                <c:pt idx="3">
                  <c:v>8.2300000000000012E-2</c:v>
                </c:pt>
                <c:pt idx="4">
                  <c:v>0.1258</c:v>
                </c:pt>
                <c:pt idx="5">
                  <c:v>5.2300000000000034E-2</c:v>
                </c:pt>
              </c:numCache>
            </c:numRef>
          </c:val>
        </c:ser>
        <c:ser>
          <c:idx val="1"/>
          <c:order val="1"/>
          <c:tx>
            <c:strRef>
              <c:f>GAC!$C$2</c:f>
              <c:strCache>
                <c:ptCount val="1"/>
                <c:pt idx="0">
                  <c:v>2013-2014</c:v>
                </c:pt>
              </c:strCache>
            </c:strRef>
          </c:tx>
          <c:spPr>
            <a:solidFill>
              <a:srgbClr val="FFC000"/>
            </a:solidFill>
          </c:spPr>
          <c:cat>
            <c:strRef>
              <c:f>GAC!$A$3:$A$8</c:f>
              <c:strCache>
                <c:ptCount val="6"/>
                <c:pt idx="0">
                  <c:v>30 days or less</c:v>
                </c:pt>
                <c:pt idx="1">
                  <c:v>31-60 days</c:v>
                </c:pt>
                <c:pt idx="2">
                  <c:v>61-120 days</c:v>
                </c:pt>
                <c:pt idx="3">
                  <c:v>121-180 days</c:v>
                </c:pt>
                <c:pt idx="4">
                  <c:v>181-365 days</c:v>
                </c:pt>
                <c:pt idx="5">
                  <c:v>More than 365 days</c:v>
                </c:pt>
              </c:strCache>
            </c:strRef>
          </c:cat>
          <c:val>
            <c:numRef>
              <c:f>GAC!$C$3:$C$8</c:f>
              <c:numCache>
                <c:formatCode>0.00%</c:formatCode>
                <c:ptCount val="6"/>
                <c:pt idx="0">
                  <c:v>0.33800000000000058</c:v>
                </c:pt>
                <c:pt idx="1">
                  <c:v>0.12640000000000001</c:v>
                </c:pt>
                <c:pt idx="2">
                  <c:v>0.2031</c:v>
                </c:pt>
                <c:pt idx="3">
                  <c:v>9.9200000000000066E-2</c:v>
                </c:pt>
                <c:pt idx="4">
                  <c:v>0.11550000000000006</c:v>
                </c:pt>
                <c:pt idx="5">
                  <c:v>0.11780000000000003</c:v>
                </c:pt>
              </c:numCache>
            </c:numRef>
          </c:val>
        </c:ser>
        <c:ser>
          <c:idx val="2"/>
          <c:order val="2"/>
          <c:tx>
            <c:strRef>
              <c:f>GAC!$D$2</c:f>
              <c:strCache>
                <c:ptCount val="1"/>
                <c:pt idx="0">
                  <c:v>2014-2015</c:v>
                </c:pt>
              </c:strCache>
            </c:strRef>
          </c:tx>
          <c:spPr>
            <a:solidFill>
              <a:schemeClr val="accent5">
                <a:lumMod val="75000"/>
              </a:schemeClr>
            </a:solidFill>
          </c:spPr>
          <c:cat>
            <c:strRef>
              <c:f>GAC!$A$3:$A$8</c:f>
              <c:strCache>
                <c:ptCount val="6"/>
                <c:pt idx="0">
                  <c:v>30 days or less</c:v>
                </c:pt>
                <c:pt idx="1">
                  <c:v>31-60 days</c:v>
                </c:pt>
                <c:pt idx="2">
                  <c:v>61-120 days</c:v>
                </c:pt>
                <c:pt idx="3">
                  <c:v>121-180 days</c:v>
                </c:pt>
                <c:pt idx="4">
                  <c:v>181-365 days</c:v>
                </c:pt>
                <c:pt idx="5">
                  <c:v>More than 365 days</c:v>
                </c:pt>
              </c:strCache>
            </c:strRef>
          </c:cat>
          <c:val>
            <c:numRef>
              <c:f>GAC!$D$3:$D$8</c:f>
              <c:numCache>
                <c:formatCode>0.00%</c:formatCode>
                <c:ptCount val="6"/>
                <c:pt idx="0">
                  <c:v>0.33740000000000064</c:v>
                </c:pt>
                <c:pt idx="1">
                  <c:v>0.11590000000000003</c:v>
                </c:pt>
                <c:pt idx="2">
                  <c:v>0.16970000000000021</c:v>
                </c:pt>
                <c:pt idx="3">
                  <c:v>7.420000000000003E-2</c:v>
                </c:pt>
                <c:pt idx="4">
                  <c:v>0.11690000000000003</c:v>
                </c:pt>
                <c:pt idx="5">
                  <c:v>0.18600000000000025</c:v>
                </c:pt>
              </c:numCache>
            </c:numRef>
          </c:val>
        </c:ser>
        <c:dLbls/>
        <c:axId val="244882432"/>
        <c:axId val="244884224"/>
      </c:barChart>
      <c:catAx>
        <c:axId val="244882432"/>
        <c:scaling>
          <c:orientation val="minMax"/>
        </c:scaling>
        <c:axPos val="b"/>
        <c:numFmt formatCode="General" sourceLinked="0"/>
        <c:tickLblPos val="nextTo"/>
        <c:crossAx val="244884224"/>
        <c:crosses val="autoZero"/>
        <c:auto val="1"/>
        <c:lblAlgn val="ctr"/>
        <c:lblOffset val="100"/>
      </c:catAx>
      <c:valAx>
        <c:axId val="244884224"/>
        <c:scaling>
          <c:orientation val="minMax"/>
        </c:scaling>
        <c:axPos val="l"/>
        <c:majorGridlines/>
        <c:numFmt formatCode="0%" sourceLinked="0"/>
        <c:tickLblPos val="nextTo"/>
        <c:crossAx val="244882432"/>
        <c:crosses val="autoZero"/>
        <c:crossBetween val="between"/>
      </c:valAx>
    </c:plotArea>
    <c:legend>
      <c:legendPos val="b"/>
    </c:legend>
    <c:plotVisOnly val="1"/>
    <c:dispBlanksAs val="gap"/>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GAC!$B$30</c:f>
              <c:strCache>
                <c:ptCount val="1"/>
                <c:pt idx="0">
                  <c:v>2012-2013</c:v>
                </c:pt>
              </c:strCache>
            </c:strRef>
          </c:tx>
          <c:spPr>
            <a:solidFill>
              <a:schemeClr val="bg1">
                <a:lumMod val="65000"/>
              </a:schemeClr>
            </a:solidFill>
          </c:spPr>
          <c:cat>
            <c:strRef>
              <c:f>GAC!$A$31:$A$36</c:f>
              <c:strCache>
                <c:ptCount val="6"/>
                <c:pt idx="0">
                  <c:v> 30 days or less</c:v>
                </c:pt>
                <c:pt idx="1">
                  <c:v>31-60 days</c:v>
                </c:pt>
                <c:pt idx="2">
                  <c:v>61-120 days </c:v>
                </c:pt>
                <c:pt idx="3">
                  <c:v>121-180 days </c:v>
                </c:pt>
                <c:pt idx="4">
                  <c:v>181-365 days </c:v>
                </c:pt>
                <c:pt idx="5">
                  <c:v>More than 365 days </c:v>
                </c:pt>
              </c:strCache>
            </c:strRef>
          </c:cat>
          <c:val>
            <c:numRef>
              <c:f>GAC!$B$31:$B$36</c:f>
              <c:numCache>
                <c:formatCode>0.00%</c:formatCode>
                <c:ptCount val="6"/>
                <c:pt idx="0">
                  <c:v>0.20666666666666669</c:v>
                </c:pt>
                <c:pt idx="1">
                  <c:v>0.2166666666666667</c:v>
                </c:pt>
                <c:pt idx="2">
                  <c:v>0.38500000000000051</c:v>
                </c:pt>
                <c:pt idx="3">
                  <c:v>0.11</c:v>
                </c:pt>
                <c:pt idx="4">
                  <c:v>7.0000000000000021E-2</c:v>
                </c:pt>
                <c:pt idx="5">
                  <c:v>1.1666666666666686E-2</c:v>
                </c:pt>
              </c:numCache>
            </c:numRef>
          </c:val>
        </c:ser>
        <c:ser>
          <c:idx val="1"/>
          <c:order val="1"/>
          <c:tx>
            <c:strRef>
              <c:f>GAC!$C$30</c:f>
              <c:strCache>
                <c:ptCount val="1"/>
                <c:pt idx="0">
                  <c:v>2013-2014</c:v>
                </c:pt>
              </c:strCache>
            </c:strRef>
          </c:tx>
          <c:spPr>
            <a:solidFill>
              <a:srgbClr val="FFC000"/>
            </a:solidFill>
          </c:spPr>
          <c:cat>
            <c:strRef>
              <c:f>GAC!$A$31:$A$36</c:f>
              <c:strCache>
                <c:ptCount val="6"/>
                <c:pt idx="0">
                  <c:v> 30 days or less</c:v>
                </c:pt>
                <c:pt idx="1">
                  <c:v>31-60 days</c:v>
                </c:pt>
                <c:pt idx="2">
                  <c:v>61-120 days </c:v>
                </c:pt>
                <c:pt idx="3">
                  <c:v>121-180 days </c:v>
                </c:pt>
                <c:pt idx="4">
                  <c:v>181-365 days </c:v>
                </c:pt>
                <c:pt idx="5">
                  <c:v>More than 365 days </c:v>
                </c:pt>
              </c:strCache>
            </c:strRef>
          </c:cat>
          <c:val>
            <c:numRef>
              <c:f>GAC!$C$31:$C$36</c:f>
              <c:numCache>
                <c:formatCode>0.00%</c:formatCode>
                <c:ptCount val="6"/>
                <c:pt idx="0">
                  <c:v>0.2253</c:v>
                </c:pt>
                <c:pt idx="1">
                  <c:v>0.27990000000000032</c:v>
                </c:pt>
                <c:pt idx="2">
                  <c:v>0.27990000000000032</c:v>
                </c:pt>
                <c:pt idx="3">
                  <c:v>0.13639999999999999</c:v>
                </c:pt>
                <c:pt idx="4">
                  <c:v>7.0000000000000021E-2</c:v>
                </c:pt>
                <c:pt idx="5">
                  <c:v>8.300000000000014E-3</c:v>
                </c:pt>
              </c:numCache>
            </c:numRef>
          </c:val>
        </c:ser>
        <c:ser>
          <c:idx val="2"/>
          <c:order val="2"/>
          <c:tx>
            <c:strRef>
              <c:f>GAC!$D$30</c:f>
              <c:strCache>
                <c:ptCount val="1"/>
                <c:pt idx="0">
                  <c:v>2014-2015</c:v>
                </c:pt>
              </c:strCache>
            </c:strRef>
          </c:tx>
          <c:spPr>
            <a:solidFill>
              <a:schemeClr val="accent5">
                <a:lumMod val="75000"/>
              </a:schemeClr>
            </a:solidFill>
          </c:spPr>
          <c:cat>
            <c:strRef>
              <c:f>GAC!$A$31:$A$36</c:f>
              <c:strCache>
                <c:ptCount val="6"/>
                <c:pt idx="0">
                  <c:v> 30 days or less</c:v>
                </c:pt>
                <c:pt idx="1">
                  <c:v>31-60 days</c:v>
                </c:pt>
                <c:pt idx="2">
                  <c:v>61-120 days </c:v>
                </c:pt>
                <c:pt idx="3">
                  <c:v>121-180 days </c:v>
                </c:pt>
                <c:pt idx="4">
                  <c:v>181-365 days </c:v>
                </c:pt>
                <c:pt idx="5">
                  <c:v>More than 365 days </c:v>
                </c:pt>
              </c:strCache>
            </c:strRef>
          </c:cat>
          <c:val>
            <c:numRef>
              <c:f>GAC!$D$31:$D$36</c:f>
              <c:numCache>
                <c:formatCode>0.00%</c:formatCode>
                <c:ptCount val="6"/>
                <c:pt idx="0">
                  <c:v>0.24577572964669739</c:v>
                </c:pt>
                <c:pt idx="1">
                  <c:v>0.30414746543778831</c:v>
                </c:pt>
                <c:pt idx="2">
                  <c:v>0.28417818740399386</c:v>
                </c:pt>
                <c:pt idx="3">
                  <c:v>0.12288786482334844</c:v>
                </c:pt>
                <c:pt idx="4">
                  <c:v>3.840245775729647E-2</c:v>
                </c:pt>
                <c:pt idx="5">
                  <c:v>4.608294930875576E-3</c:v>
                </c:pt>
              </c:numCache>
            </c:numRef>
          </c:val>
        </c:ser>
        <c:dLbls/>
        <c:axId val="244939392"/>
        <c:axId val="244949376"/>
      </c:barChart>
      <c:catAx>
        <c:axId val="244939392"/>
        <c:scaling>
          <c:orientation val="minMax"/>
        </c:scaling>
        <c:axPos val="b"/>
        <c:numFmt formatCode="General" sourceLinked="0"/>
        <c:tickLblPos val="nextTo"/>
        <c:crossAx val="244949376"/>
        <c:crosses val="autoZero"/>
        <c:auto val="1"/>
        <c:lblAlgn val="ctr"/>
        <c:lblOffset val="100"/>
      </c:catAx>
      <c:valAx>
        <c:axId val="244949376"/>
        <c:scaling>
          <c:orientation val="minMax"/>
        </c:scaling>
        <c:axPos val="l"/>
        <c:majorGridlines/>
        <c:numFmt formatCode="0%" sourceLinked="0"/>
        <c:tickLblPos val="nextTo"/>
        <c:crossAx val="244939392"/>
        <c:crosses val="autoZero"/>
        <c:crossBetween val="between"/>
      </c:valAx>
    </c:plotArea>
    <c:legend>
      <c:legendPos val="b"/>
    </c:legend>
    <c:plotVisOnly val="1"/>
    <c:dispBlanksAs val="gap"/>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GAC!$B$60</c:f>
              <c:strCache>
                <c:ptCount val="1"/>
                <c:pt idx="0">
                  <c:v>2014-2015</c:v>
                </c:pt>
              </c:strCache>
            </c:strRef>
          </c:tx>
          <c:dPt>
            <c:idx val="1"/>
            <c:spPr>
              <a:solidFill>
                <a:schemeClr val="accent6">
                  <a:lumMod val="50000"/>
                </a:schemeClr>
              </a:solidFill>
            </c:spPr>
          </c:dPt>
          <c:dPt>
            <c:idx val="2"/>
            <c:spPr>
              <a:solidFill>
                <a:schemeClr val="accent5">
                  <a:lumMod val="60000"/>
                  <a:lumOff val="40000"/>
                </a:schemeClr>
              </a:solidFill>
            </c:spPr>
          </c:dPt>
          <c:dPt>
            <c:idx val="3"/>
            <c:spPr>
              <a:solidFill>
                <a:schemeClr val="tx2">
                  <a:lumMod val="50000"/>
                </a:schemeClr>
              </a:solidFill>
            </c:spPr>
          </c:dPt>
          <c:dPt>
            <c:idx val="4"/>
            <c:spPr>
              <a:solidFill>
                <a:schemeClr val="bg1">
                  <a:lumMod val="50000"/>
                </a:schemeClr>
              </a:solidFill>
            </c:spPr>
          </c:dPt>
          <c:dPt>
            <c:idx val="5"/>
            <c:spPr>
              <a:solidFill>
                <a:schemeClr val="bg2">
                  <a:lumMod val="25000"/>
                </a:schemeClr>
              </a:solidFill>
            </c:spPr>
          </c:dPt>
          <c:dPt>
            <c:idx val="6"/>
            <c:spPr>
              <a:solidFill>
                <a:srgbClr val="FFC000"/>
              </a:solidFill>
            </c:spPr>
          </c:dPt>
          <c:dLbls>
            <c:dLbl>
              <c:idx val="0"/>
              <c:layout>
                <c:manualLayout>
                  <c:x val="-9.0115264681710078E-3"/>
                  <c:y val="1.3375163326977082E-2"/>
                </c:manualLayout>
              </c:layout>
              <c:showPercent val="1"/>
              <c:extLst>
                <c:ext xmlns:c15="http://schemas.microsoft.com/office/drawing/2012/chart" uri="{CE6537A1-D6FC-4f65-9D91-7224C49458BB}"/>
              </c:extLst>
            </c:dLbl>
            <c:dLbl>
              <c:idx val="1"/>
              <c:layout>
                <c:manualLayout>
                  <c:x val="-7.1877700326237494E-4"/>
                  <c:y val="1.4427233116962489E-2"/>
                </c:manualLayout>
              </c:layout>
              <c:showPercent val="1"/>
              <c:extLst>
                <c:ext xmlns:c15="http://schemas.microsoft.com/office/drawing/2012/chart" uri="{CE6537A1-D6FC-4f65-9D91-7224C49458BB}"/>
              </c:extLst>
            </c:dLbl>
            <c:dLbl>
              <c:idx val="2"/>
              <c:layout>
                <c:manualLayout>
                  <c:x val="6.733202323076796E-3"/>
                  <c:y val="2.2286694665384934E-2"/>
                </c:manualLayout>
              </c:layout>
              <c:showPercent val="1"/>
              <c:extLst>
                <c:ext xmlns:c15="http://schemas.microsoft.com/office/drawing/2012/chart" uri="{CE6537A1-D6FC-4f65-9D91-7224C49458BB}"/>
              </c:extLst>
            </c:dLbl>
            <c:dLbl>
              <c:idx val="3"/>
              <c:layout>
                <c:manualLayout>
                  <c:x val="3.1463585212860015E-3"/>
                  <c:y val="-3.2437877255566239E-2"/>
                </c:manualLayout>
              </c:layout>
              <c:showPercent val="1"/>
              <c:extLst>
                <c:ext xmlns:c15="http://schemas.microsoft.com/office/drawing/2012/chart" uri="{CE6537A1-D6FC-4f65-9D91-7224C49458BB}"/>
              </c:extLst>
            </c:dLbl>
            <c:dLbl>
              <c:idx val="4"/>
              <c:layout>
                <c:manualLayout>
                  <c:x val="4.0147203958276062E-3"/>
                  <c:y val="-1.5017408769856912E-2"/>
                </c:manualLayout>
              </c:layout>
              <c:showPercent val="1"/>
              <c:extLst>
                <c:ext xmlns:c15="http://schemas.microsoft.com/office/drawing/2012/chart" uri="{CE6537A1-D6FC-4f65-9D91-7224C49458BB}"/>
              </c:extLst>
            </c:dLbl>
            <c:dLbl>
              <c:idx val="5"/>
              <c:layout>
                <c:manualLayout>
                  <c:x val="1.3213248421744549E-2"/>
                  <c:y val="-8.1902503627583438E-3"/>
                </c:manualLayout>
              </c:layout>
              <c:showPercent val="1"/>
              <c:extLst>
                <c:ext xmlns:c15="http://schemas.microsoft.com/office/drawing/2012/chart" uri="{CE6537A1-D6FC-4f65-9D91-7224C49458BB}"/>
              </c:extLst>
            </c:dLbl>
            <c:dLbl>
              <c:idx val="6"/>
              <c:layout>
                <c:manualLayout>
                  <c:x val="2.907366600506542E-4"/>
                  <c:y val="2.6545802350456234E-2"/>
                </c:manualLayout>
              </c:layout>
              <c:numFmt formatCode="0.00%" sourceLinked="0"/>
              <c:spPr/>
              <c:txPr>
                <a:bodyPr/>
                <a:lstStyle/>
                <a:p>
                  <a:pPr>
                    <a:defRPr/>
                  </a:pPr>
                  <a:endParaRPr lang="en-US"/>
                </a:p>
              </c:txPr>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GAC!$A$61:$A$67</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GAC!$B$61:$B$67</c:f>
              <c:numCache>
                <c:formatCode>General</c:formatCode>
                <c:ptCount val="7"/>
                <c:pt idx="0">
                  <c:v>45</c:v>
                </c:pt>
                <c:pt idx="1">
                  <c:v>32</c:v>
                </c:pt>
                <c:pt idx="2">
                  <c:v>36</c:v>
                </c:pt>
                <c:pt idx="3">
                  <c:v>35</c:v>
                </c:pt>
                <c:pt idx="4">
                  <c:v>46</c:v>
                </c:pt>
                <c:pt idx="5">
                  <c:v>86</c:v>
                </c:pt>
                <c:pt idx="6">
                  <c:v>127</c:v>
                </c:pt>
              </c:numCache>
            </c:numRef>
          </c:val>
        </c:ser>
        <c:dLbls/>
        <c:firstSliceAng val="0"/>
      </c:pieChart>
    </c:plotArea>
    <c:legend>
      <c:legendPos val="r"/>
    </c:legend>
    <c:plotVisOnly val="1"/>
    <c:dispBlanksAs val="zero"/>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GAC!$B$93</c:f>
              <c:strCache>
                <c:ptCount val="1"/>
                <c:pt idx="0">
                  <c:v>2012-2013</c:v>
                </c:pt>
              </c:strCache>
            </c:strRef>
          </c:tx>
          <c:spPr>
            <a:solidFill>
              <a:schemeClr val="bg1">
                <a:lumMod val="65000"/>
              </a:schemeClr>
            </a:solidFill>
          </c:spPr>
          <c:cat>
            <c:strRef>
              <c:f>GAC!$A$94:$A$95</c:f>
              <c:strCache>
                <c:ptCount val="2"/>
                <c:pt idx="0">
                  <c:v>All disclosed </c:v>
                </c:pt>
                <c:pt idx="1">
                  <c:v>Disclosed in part </c:v>
                </c:pt>
              </c:strCache>
            </c:strRef>
          </c:cat>
          <c:val>
            <c:numRef>
              <c:f>GAC!$B$94:$B$95</c:f>
              <c:numCache>
                <c:formatCode>0.00%</c:formatCode>
                <c:ptCount val="2"/>
                <c:pt idx="0">
                  <c:v>9.4869312681510207E-2</c:v>
                </c:pt>
                <c:pt idx="1">
                  <c:v>0.57308809293320462</c:v>
                </c:pt>
              </c:numCache>
            </c:numRef>
          </c:val>
        </c:ser>
        <c:ser>
          <c:idx val="1"/>
          <c:order val="1"/>
          <c:tx>
            <c:strRef>
              <c:f>GAC!$C$93</c:f>
              <c:strCache>
                <c:ptCount val="1"/>
                <c:pt idx="0">
                  <c:v>2013-2014</c:v>
                </c:pt>
              </c:strCache>
            </c:strRef>
          </c:tx>
          <c:spPr>
            <a:solidFill>
              <a:srgbClr val="FFC000"/>
            </a:solidFill>
          </c:spPr>
          <c:cat>
            <c:strRef>
              <c:f>GAC!$A$94:$A$95</c:f>
              <c:strCache>
                <c:ptCount val="2"/>
                <c:pt idx="0">
                  <c:v>All disclosed </c:v>
                </c:pt>
                <c:pt idx="1">
                  <c:v>Disclosed in part </c:v>
                </c:pt>
              </c:strCache>
            </c:strRef>
          </c:cat>
          <c:val>
            <c:numRef>
              <c:f>GAC!$C$94:$C$95</c:f>
              <c:numCache>
                <c:formatCode>0.00%</c:formatCode>
                <c:ptCount val="2"/>
                <c:pt idx="0">
                  <c:v>9.7600000000000006E-2</c:v>
                </c:pt>
                <c:pt idx="1">
                  <c:v>0.61710000000000065</c:v>
                </c:pt>
              </c:numCache>
            </c:numRef>
          </c:val>
        </c:ser>
        <c:ser>
          <c:idx val="2"/>
          <c:order val="2"/>
          <c:tx>
            <c:strRef>
              <c:f>GAC!$D$93</c:f>
              <c:strCache>
                <c:ptCount val="1"/>
                <c:pt idx="0">
                  <c:v>2014-2015</c:v>
                </c:pt>
              </c:strCache>
            </c:strRef>
          </c:tx>
          <c:spPr>
            <a:solidFill>
              <a:schemeClr val="accent5">
                <a:lumMod val="75000"/>
              </a:schemeClr>
            </a:solidFill>
          </c:spPr>
          <c:cat>
            <c:strRef>
              <c:f>GAC!$A$94:$A$95</c:f>
              <c:strCache>
                <c:ptCount val="2"/>
                <c:pt idx="0">
                  <c:v>All disclosed </c:v>
                </c:pt>
                <c:pt idx="1">
                  <c:v>Disclosed in part </c:v>
                </c:pt>
              </c:strCache>
            </c:strRef>
          </c:cat>
          <c:val>
            <c:numRef>
              <c:f>GAC!$D$94:$D$95</c:f>
              <c:numCache>
                <c:formatCode>0.00%</c:formatCode>
                <c:ptCount val="2"/>
                <c:pt idx="0">
                  <c:v>9.1463414634146339E-2</c:v>
                </c:pt>
                <c:pt idx="1">
                  <c:v>0.58434959349593496</c:v>
                </c:pt>
              </c:numCache>
            </c:numRef>
          </c:val>
        </c:ser>
        <c:dLbls/>
        <c:axId val="245094272"/>
        <c:axId val="245095808"/>
      </c:barChart>
      <c:catAx>
        <c:axId val="245094272"/>
        <c:scaling>
          <c:orientation val="minMax"/>
        </c:scaling>
        <c:axPos val="b"/>
        <c:numFmt formatCode="General" sourceLinked="0"/>
        <c:tickLblPos val="nextTo"/>
        <c:crossAx val="245095808"/>
        <c:crosses val="autoZero"/>
        <c:auto val="1"/>
        <c:lblAlgn val="ctr"/>
        <c:lblOffset val="100"/>
      </c:catAx>
      <c:valAx>
        <c:axId val="245095808"/>
        <c:scaling>
          <c:orientation val="minMax"/>
        </c:scaling>
        <c:axPos val="l"/>
        <c:majorGridlines/>
        <c:numFmt formatCode="0%" sourceLinked="0"/>
        <c:tickLblPos val="nextTo"/>
        <c:crossAx val="245094272"/>
        <c:crosses val="autoZero"/>
        <c:crossBetween val="between"/>
      </c:valAx>
    </c:plotArea>
    <c:legend>
      <c:legendPos val="b"/>
    </c:legend>
    <c:plotVisOnly val="1"/>
    <c:dispBlanksAs val="gap"/>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LAC!$B$2</c:f>
              <c:strCache>
                <c:ptCount val="1"/>
                <c:pt idx="0">
                  <c:v>2012-2013</c:v>
                </c:pt>
              </c:strCache>
            </c:strRef>
          </c:tx>
          <c:spPr>
            <a:solidFill>
              <a:schemeClr val="bg1">
                <a:lumMod val="65000"/>
              </a:schemeClr>
            </a:solidFill>
          </c:spPr>
          <c:cat>
            <c:strRef>
              <c:f>LAC!$A$3:$A$8</c:f>
              <c:strCache>
                <c:ptCount val="6"/>
                <c:pt idx="0">
                  <c:v>30 days or less</c:v>
                </c:pt>
                <c:pt idx="1">
                  <c:v>31-60 days</c:v>
                </c:pt>
                <c:pt idx="2">
                  <c:v>61-120 days</c:v>
                </c:pt>
                <c:pt idx="3">
                  <c:v>121-180 days</c:v>
                </c:pt>
                <c:pt idx="4">
                  <c:v>181-365 days</c:v>
                </c:pt>
                <c:pt idx="5">
                  <c:v>More than 365 days</c:v>
                </c:pt>
              </c:strCache>
            </c:strRef>
          </c:cat>
          <c:val>
            <c:numRef>
              <c:f>LAC!$B$3:$B$8</c:f>
              <c:numCache>
                <c:formatCode>0.00%</c:formatCode>
                <c:ptCount val="6"/>
                <c:pt idx="0">
                  <c:v>0.74370000000000125</c:v>
                </c:pt>
                <c:pt idx="1">
                  <c:v>4.2330000000000097E-2</c:v>
                </c:pt>
                <c:pt idx="2">
                  <c:v>7.2080000000000102E-2</c:v>
                </c:pt>
                <c:pt idx="3">
                  <c:v>4.576000000000012E-2</c:v>
                </c:pt>
                <c:pt idx="4">
                  <c:v>8.1230000000000024E-2</c:v>
                </c:pt>
                <c:pt idx="5">
                  <c:v>1.4870000000000001E-2</c:v>
                </c:pt>
              </c:numCache>
            </c:numRef>
          </c:val>
        </c:ser>
        <c:ser>
          <c:idx val="1"/>
          <c:order val="1"/>
          <c:tx>
            <c:strRef>
              <c:f>LAC!$C$2</c:f>
              <c:strCache>
                <c:ptCount val="1"/>
                <c:pt idx="0">
                  <c:v>2013-2014</c:v>
                </c:pt>
              </c:strCache>
            </c:strRef>
          </c:tx>
          <c:spPr>
            <a:solidFill>
              <a:srgbClr val="FFC000"/>
            </a:solidFill>
          </c:spPr>
          <c:cat>
            <c:strRef>
              <c:f>LAC!$A$3:$A$8</c:f>
              <c:strCache>
                <c:ptCount val="6"/>
                <c:pt idx="0">
                  <c:v>30 days or less</c:v>
                </c:pt>
                <c:pt idx="1">
                  <c:v>31-60 days</c:v>
                </c:pt>
                <c:pt idx="2">
                  <c:v>61-120 days</c:v>
                </c:pt>
                <c:pt idx="3">
                  <c:v>121-180 days</c:v>
                </c:pt>
                <c:pt idx="4">
                  <c:v>181-365 days</c:v>
                </c:pt>
                <c:pt idx="5">
                  <c:v>More than 365 days</c:v>
                </c:pt>
              </c:strCache>
            </c:strRef>
          </c:cat>
          <c:val>
            <c:numRef>
              <c:f>LAC!$C$3:$C$8</c:f>
              <c:numCache>
                <c:formatCode>0.00%</c:formatCode>
                <c:ptCount val="6"/>
                <c:pt idx="0">
                  <c:v>0.67460000000000175</c:v>
                </c:pt>
                <c:pt idx="1">
                  <c:v>6.7000000000000101E-2</c:v>
                </c:pt>
                <c:pt idx="2">
                  <c:v>0.12110000000000012</c:v>
                </c:pt>
                <c:pt idx="3">
                  <c:v>3.7870000000000091E-2</c:v>
                </c:pt>
                <c:pt idx="4">
                  <c:v>6.9200000000000081E-2</c:v>
                </c:pt>
                <c:pt idx="5">
                  <c:v>3.0300000000000032E-2</c:v>
                </c:pt>
              </c:numCache>
            </c:numRef>
          </c:val>
        </c:ser>
        <c:ser>
          <c:idx val="2"/>
          <c:order val="2"/>
          <c:tx>
            <c:strRef>
              <c:f>LAC!$D$2</c:f>
              <c:strCache>
                <c:ptCount val="1"/>
                <c:pt idx="0">
                  <c:v>2014-2015</c:v>
                </c:pt>
              </c:strCache>
            </c:strRef>
          </c:tx>
          <c:spPr>
            <a:solidFill>
              <a:schemeClr val="accent5">
                <a:lumMod val="75000"/>
              </a:schemeClr>
            </a:solidFill>
          </c:spPr>
          <c:cat>
            <c:strRef>
              <c:f>LAC!$A$3:$A$8</c:f>
              <c:strCache>
                <c:ptCount val="6"/>
                <c:pt idx="0">
                  <c:v>30 days or less</c:v>
                </c:pt>
                <c:pt idx="1">
                  <c:v>31-60 days</c:v>
                </c:pt>
                <c:pt idx="2">
                  <c:v>61-120 days</c:v>
                </c:pt>
                <c:pt idx="3">
                  <c:v>121-180 days</c:v>
                </c:pt>
                <c:pt idx="4">
                  <c:v>181-365 days</c:v>
                </c:pt>
                <c:pt idx="5">
                  <c:v>More than 365 days</c:v>
                </c:pt>
              </c:strCache>
            </c:strRef>
          </c:cat>
          <c:val>
            <c:numRef>
              <c:f>LAC!$D$3:$D$8</c:f>
              <c:numCache>
                <c:formatCode>0.00%</c:formatCode>
                <c:ptCount val="6"/>
                <c:pt idx="0">
                  <c:v>0.77344000000000068</c:v>
                </c:pt>
                <c:pt idx="1">
                  <c:v>5.8460000000000088E-2</c:v>
                </c:pt>
                <c:pt idx="2">
                  <c:v>7.7950000000000103E-2</c:v>
                </c:pt>
                <c:pt idx="3">
                  <c:v>2.9230000000000048E-2</c:v>
                </c:pt>
                <c:pt idx="4">
                  <c:v>4.0190000000000024E-2</c:v>
                </c:pt>
                <c:pt idx="5">
                  <c:v>2.070000000000001E-2</c:v>
                </c:pt>
              </c:numCache>
            </c:numRef>
          </c:val>
        </c:ser>
        <c:dLbls/>
        <c:axId val="245016064"/>
        <c:axId val="245017600"/>
      </c:barChart>
      <c:catAx>
        <c:axId val="245016064"/>
        <c:scaling>
          <c:orientation val="minMax"/>
        </c:scaling>
        <c:axPos val="b"/>
        <c:numFmt formatCode="General" sourceLinked="0"/>
        <c:tickLblPos val="nextTo"/>
        <c:crossAx val="245017600"/>
        <c:crosses val="autoZero"/>
        <c:auto val="1"/>
        <c:lblAlgn val="ctr"/>
        <c:lblOffset val="100"/>
      </c:catAx>
      <c:valAx>
        <c:axId val="245017600"/>
        <c:scaling>
          <c:orientation val="minMax"/>
        </c:scaling>
        <c:axPos val="l"/>
        <c:majorGridlines/>
        <c:numFmt formatCode="0%" sourceLinked="0"/>
        <c:tickLblPos val="nextTo"/>
        <c:crossAx val="245016064"/>
        <c:crosses val="autoZero"/>
        <c:crossBetween val="between"/>
      </c:valAx>
    </c:plotArea>
    <c:legend>
      <c:legendPos val="b"/>
    </c:legend>
    <c:plotVisOnly val="1"/>
    <c:dispBlanksAs val="gap"/>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LAC!$B$31</c:f>
              <c:strCache>
                <c:ptCount val="1"/>
                <c:pt idx="0">
                  <c:v>2012-2013</c:v>
                </c:pt>
              </c:strCache>
            </c:strRef>
          </c:tx>
          <c:spPr>
            <a:solidFill>
              <a:schemeClr val="bg1">
                <a:lumMod val="65000"/>
              </a:schemeClr>
            </a:solidFill>
          </c:spPr>
          <c:cat>
            <c:strRef>
              <c:f>LAC!$A$32:$A$37</c:f>
              <c:strCache>
                <c:ptCount val="6"/>
                <c:pt idx="0">
                  <c:v> 30 days or less</c:v>
                </c:pt>
                <c:pt idx="1">
                  <c:v>31-60 days</c:v>
                </c:pt>
                <c:pt idx="2">
                  <c:v>61-120 days </c:v>
                </c:pt>
                <c:pt idx="3">
                  <c:v>121-180 days </c:v>
                </c:pt>
                <c:pt idx="4">
                  <c:v>181-365 days </c:v>
                </c:pt>
                <c:pt idx="5">
                  <c:v>More than 365 days </c:v>
                </c:pt>
              </c:strCache>
            </c:strRef>
          </c:cat>
          <c:val>
            <c:numRef>
              <c:f>LAC!$B$32:$B$37</c:f>
              <c:numCache>
                <c:formatCode>0.00%</c:formatCode>
                <c:ptCount val="6"/>
                <c:pt idx="0">
                  <c:v>9.0566037735849328E-2</c:v>
                </c:pt>
                <c:pt idx="1">
                  <c:v>0.15471698113207613</c:v>
                </c:pt>
                <c:pt idx="2">
                  <c:v>0.15849056603773612</c:v>
                </c:pt>
                <c:pt idx="3">
                  <c:v>0.16981132075471697</c:v>
                </c:pt>
                <c:pt idx="4">
                  <c:v>0.37358490566037833</c:v>
                </c:pt>
                <c:pt idx="5">
                  <c:v>5.2830188679245292E-2</c:v>
                </c:pt>
              </c:numCache>
            </c:numRef>
          </c:val>
        </c:ser>
        <c:ser>
          <c:idx val="1"/>
          <c:order val="1"/>
          <c:tx>
            <c:strRef>
              <c:f>LAC!$C$31</c:f>
              <c:strCache>
                <c:ptCount val="1"/>
                <c:pt idx="0">
                  <c:v>2013-2014</c:v>
                </c:pt>
              </c:strCache>
            </c:strRef>
          </c:tx>
          <c:spPr>
            <a:solidFill>
              <a:srgbClr val="FFC000"/>
            </a:solidFill>
          </c:spPr>
          <c:cat>
            <c:strRef>
              <c:f>LAC!$A$32:$A$37</c:f>
              <c:strCache>
                <c:ptCount val="6"/>
                <c:pt idx="0">
                  <c:v> 30 days or less</c:v>
                </c:pt>
                <c:pt idx="1">
                  <c:v>31-60 days</c:v>
                </c:pt>
                <c:pt idx="2">
                  <c:v>61-120 days </c:v>
                </c:pt>
                <c:pt idx="3">
                  <c:v>121-180 days </c:v>
                </c:pt>
                <c:pt idx="4">
                  <c:v>181-365 days </c:v>
                </c:pt>
                <c:pt idx="5">
                  <c:v>More than 365 days </c:v>
                </c:pt>
              </c:strCache>
            </c:strRef>
          </c:cat>
          <c:val>
            <c:numRef>
              <c:f>LAC!$C$32:$C$37</c:f>
              <c:numCache>
                <c:formatCode>0.00%</c:formatCode>
                <c:ptCount val="6"/>
                <c:pt idx="0">
                  <c:v>8.4269662921348326E-2</c:v>
                </c:pt>
                <c:pt idx="1">
                  <c:v>0.16853932584269737</c:v>
                </c:pt>
                <c:pt idx="2">
                  <c:v>0.174157303370787</c:v>
                </c:pt>
                <c:pt idx="3">
                  <c:v>0.19662921348314608</c:v>
                </c:pt>
                <c:pt idx="4">
                  <c:v>0.28932584269662931</c:v>
                </c:pt>
                <c:pt idx="5">
                  <c:v>8.707865168539318E-2</c:v>
                </c:pt>
              </c:numCache>
            </c:numRef>
          </c:val>
        </c:ser>
        <c:ser>
          <c:idx val="2"/>
          <c:order val="2"/>
          <c:tx>
            <c:strRef>
              <c:f>LAC!$D$31</c:f>
              <c:strCache>
                <c:ptCount val="1"/>
                <c:pt idx="0">
                  <c:v>2014-2015</c:v>
                </c:pt>
              </c:strCache>
            </c:strRef>
          </c:tx>
          <c:spPr>
            <a:solidFill>
              <a:schemeClr val="accent5">
                <a:lumMod val="75000"/>
              </a:schemeClr>
            </a:solidFill>
          </c:spPr>
          <c:cat>
            <c:strRef>
              <c:f>LAC!$A$32:$A$37</c:f>
              <c:strCache>
                <c:ptCount val="6"/>
                <c:pt idx="0">
                  <c:v> 30 days or less</c:v>
                </c:pt>
                <c:pt idx="1">
                  <c:v>31-60 days</c:v>
                </c:pt>
                <c:pt idx="2">
                  <c:v>61-120 days </c:v>
                </c:pt>
                <c:pt idx="3">
                  <c:v>121-180 days </c:v>
                </c:pt>
                <c:pt idx="4">
                  <c:v>181-365 days </c:v>
                </c:pt>
                <c:pt idx="5">
                  <c:v>More than 365 days </c:v>
                </c:pt>
              </c:strCache>
            </c:strRef>
          </c:cat>
          <c:val>
            <c:numRef>
              <c:f>LAC!$D$32:$D$37</c:f>
              <c:numCache>
                <c:formatCode>0.00%</c:formatCode>
                <c:ptCount val="6"/>
                <c:pt idx="0">
                  <c:v>8.5561497326203412E-2</c:v>
                </c:pt>
                <c:pt idx="1">
                  <c:v>0.11764705882352942</c:v>
                </c:pt>
                <c:pt idx="2">
                  <c:v>0.18716577540106971</c:v>
                </c:pt>
                <c:pt idx="3">
                  <c:v>0.29946524064171121</c:v>
                </c:pt>
                <c:pt idx="4">
                  <c:v>0.24598930481283482</c:v>
                </c:pt>
                <c:pt idx="5">
                  <c:v>6.4171122994652399E-2</c:v>
                </c:pt>
              </c:numCache>
            </c:numRef>
          </c:val>
        </c:ser>
        <c:dLbls/>
        <c:axId val="245200000"/>
        <c:axId val="245201536"/>
      </c:barChart>
      <c:catAx>
        <c:axId val="245200000"/>
        <c:scaling>
          <c:orientation val="minMax"/>
        </c:scaling>
        <c:axPos val="b"/>
        <c:numFmt formatCode="General" sourceLinked="0"/>
        <c:tickLblPos val="nextTo"/>
        <c:crossAx val="245201536"/>
        <c:crosses val="autoZero"/>
        <c:auto val="1"/>
        <c:lblAlgn val="ctr"/>
        <c:lblOffset val="100"/>
      </c:catAx>
      <c:valAx>
        <c:axId val="245201536"/>
        <c:scaling>
          <c:orientation val="minMax"/>
        </c:scaling>
        <c:axPos val="l"/>
        <c:majorGridlines/>
        <c:numFmt formatCode="0%" sourceLinked="0"/>
        <c:tickLblPos val="nextTo"/>
        <c:crossAx val="245200000"/>
        <c:crosses val="autoZero"/>
        <c:crossBetween val="between"/>
      </c:valAx>
    </c:plotArea>
    <c:legend>
      <c:legendPos val="b"/>
    </c:legend>
    <c:plotVisOnly val="1"/>
    <c:dispBlanksAs val="gap"/>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LAC!$B$60</c:f>
              <c:strCache>
                <c:ptCount val="1"/>
                <c:pt idx="0">
                  <c:v>2014-2015</c:v>
                </c:pt>
              </c:strCache>
            </c:strRef>
          </c:tx>
          <c:dPt>
            <c:idx val="0"/>
            <c:spPr>
              <a:solidFill>
                <a:schemeClr val="accent5">
                  <a:lumMod val="50000"/>
                </a:schemeClr>
              </a:solidFill>
            </c:spPr>
          </c:dPt>
          <c:dPt>
            <c:idx val="1"/>
            <c:spPr>
              <a:solidFill>
                <a:schemeClr val="bg1">
                  <a:lumMod val="50000"/>
                </a:schemeClr>
              </a:solidFill>
            </c:spPr>
          </c:dPt>
          <c:dPt>
            <c:idx val="2"/>
            <c:spPr>
              <a:solidFill>
                <a:schemeClr val="tx2">
                  <a:lumMod val="75000"/>
                </a:schemeClr>
              </a:solidFill>
            </c:spPr>
          </c:dPt>
          <c:dPt>
            <c:idx val="3"/>
            <c:spPr>
              <a:solidFill>
                <a:schemeClr val="accent5">
                  <a:lumMod val="60000"/>
                  <a:lumOff val="40000"/>
                </a:schemeClr>
              </a:solidFill>
            </c:spPr>
          </c:dPt>
          <c:dPt>
            <c:idx val="4"/>
            <c:spPr>
              <a:solidFill>
                <a:schemeClr val="accent6">
                  <a:lumMod val="50000"/>
                </a:schemeClr>
              </a:solidFill>
            </c:spPr>
          </c:dPt>
          <c:dPt>
            <c:idx val="5"/>
            <c:spPr>
              <a:solidFill>
                <a:schemeClr val="bg2">
                  <a:lumMod val="50000"/>
                </a:schemeClr>
              </a:solidFill>
            </c:spPr>
          </c:dPt>
          <c:dPt>
            <c:idx val="6"/>
            <c:spPr>
              <a:solidFill>
                <a:srgbClr val="FFC000"/>
              </a:solidFill>
            </c:spPr>
          </c:dPt>
          <c:dLbls>
            <c:dLbl>
              <c:idx val="0"/>
              <c:layout>
                <c:manualLayout>
                  <c:x val="2.0702307726138944E-2"/>
                  <c:y val="6.4059869409761935E-3"/>
                </c:manualLayout>
              </c:layout>
              <c:showPercent val="1"/>
              <c:extLst>
                <c:ext xmlns:c15="http://schemas.microsoft.com/office/drawing/2012/chart" uri="{CE6537A1-D6FC-4f65-9D91-7224C49458BB}"/>
              </c:extLst>
            </c:dLbl>
            <c:dLbl>
              <c:idx val="1"/>
              <c:layout>
                <c:manualLayout>
                  <c:x val="1.2287405053220801E-3"/>
                  <c:y val="-2.033232615988766E-2"/>
                </c:manualLayout>
              </c:layout>
              <c:showPercent val="1"/>
              <c:extLst>
                <c:ext xmlns:c15="http://schemas.microsoft.com/office/drawing/2012/chart" uri="{CE6537A1-D6FC-4f65-9D91-7224C49458BB}"/>
              </c:extLst>
            </c:dLbl>
            <c:dLbl>
              <c:idx val="2"/>
              <c:layout>
                <c:manualLayout>
                  <c:x val="-1.0065110001652245E-2"/>
                  <c:y val="-6.8326028440669007E-3"/>
                </c:manualLayout>
              </c:layout>
              <c:showPercent val="1"/>
              <c:extLst>
                <c:ext xmlns:c15="http://schemas.microsoft.com/office/drawing/2012/chart" uri="{CE6537A1-D6FC-4f65-9D91-7224C49458BB}"/>
              </c:extLst>
            </c:dLbl>
            <c:dLbl>
              <c:idx val="3"/>
              <c:layout>
                <c:manualLayout>
                  <c:x val="-4.4138546095683837E-3"/>
                  <c:y val="3.2046658987189204E-2"/>
                </c:manualLayout>
              </c:layout>
              <c:showPercent val="1"/>
              <c:extLst>
                <c:ext xmlns:c15="http://schemas.microsoft.com/office/drawing/2012/chart" uri="{CE6537A1-D6FC-4f65-9D91-7224C49458BB}"/>
              </c:extLst>
            </c:dLbl>
            <c:dLbl>
              <c:idx val="4"/>
              <c:layout>
                <c:manualLayout>
                  <c:x val="-4.0497833487322128E-3"/>
                  <c:y val="1.6488968722071184E-2"/>
                </c:manualLayout>
              </c:layout>
              <c:showPercent val="1"/>
              <c:extLst>
                <c:ext xmlns:c15="http://schemas.microsoft.com/office/drawing/2012/chart" uri="{CE6537A1-D6FC-4f65-9D91-7224C49458BB}"/>
              </c:extLst>
            </c:dLbl>
            <c:dLbl>
              <c:idx val="5"/>
              <c:layout>
                <c:manualLayout>
                  <c:x val="8.0437843237775378E-3"/>
                  <c:y val="5.283406167093772E-3"/>
                </c:manualLayout>
              </c:layout>
              <c:showPercent val="1"/>
              <c:extLst>
                <c:ext xmlns:c15="http://schemas.microsoft.com/office/drawing/2012/chart" uri="{CE6537A1-D6FC-4f65-9D91-7224C49458BB}"/>
              </c:extLst>
            </c:dLbl>
            <c:dLbl>
              <c:idx val="6"/>
              <c:layout>
                <c:manualLayout>
                  <c:x val="8.6367585974901837E-3"/>
                  <c:y val="-1.1113138889589811E-2"/>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LAC!$A$61:$A$67</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LAC!$B$61:$B$67</c:f>
              <c:numCache>
                <c:formatCode>0</c:formatCode>
                <c:ptCount val="7"/>
                <c:pt idx="0">
                  <c:v>11</c:v>
                </c:pt>
                <c:pt idx="1">
                  <c:v>6</c:v>
                </c:pt>
                <c:pt idx="2">
                  <c:v>9</c:v>
                </c:pt>
                <c:pt idx="3">
                  <c:v>5</c:v>
                </c:pt>
                <c:pt idx="4">
                  <c:v>3</c:v>
                </c:pt>
                <c:pt idx="5">
                  <c:v>1</c:v>
                </c:pt>
                <c:pt idx="6">
                  <c:v>1</c:v>
                </c:pt>
              </c:numCache>
            </c:numRef>
          </c:val>
        </c:ser>
        <c:dLbls/>
        <c:firstSliceAng val="0"/>
      </c:pieChart>
    </c:plotArea>
    <c:legend>
      <c:legendPos val="r"/>
    </c:legend>
    <c:plotVisOnly val="1"/>
    <c:dispBlanksAs val="zero"/>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LAC!$B$91</c:f>
              <c:strCache>
                <c:ptCount val="1"/>
                <c:pt idx="0">
                  <c:v>2012-2013</c:v>
                </c:pt>
              </c:strCache>
            </c:strRef>
          </c:tx>
          <c:spPr>
            <a:solidFill>
              <a:schemeClr val="bg1">
                <a:lumMod val="65000"/>
              </a:schemeClr>
            </a:solidFill>
          </c:spPr>
          <c:cat>
            <c:strRef>
              <c:f>LAC!$A$92:$A$93</c:f>
              <c:strCache>
                <c:ptCount val="2"/>
                <c:pt idx="0">
                  <c:v>All disclosed </c:v>
                </c:pt>
                <c:pt idx="1">
                  <c:v>Disclosed in part </c:v>
                </c:pt>
              </c:strCache>
            </c:strRef>
          </c:cat>
          <c:val>
            <c:numRef>
              <c:f>LAC!$B$92:$B$93</c:f>
              <c:numCache>
                <c:formatCode>0.00%</c:formatCode>
                <c:ptCount val="2"/>
                <c:pt idx="0">
                  <c:v>0.33981693363844551</c:v>
                </c:pt>
                <c:pt idx="1">
                  <c:v>0.47711670480549256</c:v>
                </c:pt>
              </c:numCache>
            </c:numRef>
          </c:val>
        </c:ser>
        <c:ser>
          <c:idx val="1"/>
          <c:order val="1"/>
          <c:tx>
            <c:strRef>
              <c:f>LAC!$C$91</c:f>
              <c:strCache>
                <c:ptCount val="1"/>
                <c:pt idx="0">
                  <c:v>2013-2014</c:v>
                </c:pt>
              </c:strCache>
            </c:strRef>
          </c:tx>
          <c:spPr>
            <a:solidFill>
              <a:srgbClr val="FFC000"/>
            </a:solidFill>
          </c:spPr>
          <c:cat>
            <c:strRef>
              <c:f>LAC!$A$92:$A$93</c:f>
              <c:strCache>
                <c:ptCount val="2"/>
                <c:pt idx="0">
                  <c:v>All disclosed </c:v>
                </c:pt>
                <c:pt idx="1">
                  <c:v>Disclosed in part </c:v>
                </c:pt>
              </c:strCache>
            </c:strRef>
          </c:cat>
          <c:val>
            <c:numRef>
              <c:f>LAC!$C$92:$C$93</c:f>
              <c:numCache>
                <c:formatCode>0.00%</c:formatCode>
                <c:ptCount val="2"/>
                <c:pt idx="0">
                  <c:v>0.33441558441558489</c:v>
                </c:pt>
                <c:pt idx="1">
                  <c:v>0.50919999999999999</c:v>
                </c:pt>
              </c:numCache>
            </c:numRef>
          </c:val>
        </c:ser>
        <c:ser>
          <c:idx val="2"/>
          <c:order val="2"/>
          <c:tx>
            <c:strRef>
              <c:f>LAC!$D$91</c:f>
              <c:strCache>
                <c:ptCount val="1"/>
                <c:pt idx="0">
                  <c:v>2014-2015</c:v>
                </c:pt>
              </c:strCache>
            </c:strRef>
          </c:tx>
          <c:spPr>
            <a:solidFill>
              <a:schemeClr val="accent5">
                <a:lumMod val="75000"/>
              </a:schemeClr>
            </a:solidFill>
          </c:spPr>
          <c:cat>
            <c:strRef>
              <c:f>LAC!$A$92:$A$93</c:f>
              <c:strCache>
                <c:ptCount val="2"/>
                <c:pt idx="0">
                  <c:v>All disclosed </c:v>
                </c:pt>
                <c:pt idx="1">
                  <c:v>Disclosed in part </c:v>
                </c:pt>
              </c:strCache>
            </c:strRef>
          </c:cat>
          <c:val>
            <c:numRef>
              <c:f>LAC!$D$92:$D$93</c:f>
              <c:numCache>
                <c:formatCode>0.00%</c:formatCode>
                <c:ptCount val="2"/>
                <c:pt idx="0">
                  <c:v>0.33617539585870965</c:v>
                </c:pt>
                <c:pt idx="1">
                  <c:v>0.47868453105968439</c:v>
                </c:pt>
              </c:numCache>
            </c:numRef>
          </c:val>
        </c:ser>
        <c:dLbls/>
        <c:axId val="245142656"/>
        <c:axId val="245144192"/>
      </c:barChart>
      <c:catAx>
        <c:axId val="245142656"/>
        <c:scaling>
          <c:orientation val="minMax"/>
        </c:scaling>
        <c:axPos val="b"/>
        <c:numFmt formatCode="General" sourceLinked="0"/>
        <c:tickLblPos val="nextTo"/>
        <c:crossAx val="245144192"/>
        <c:crosses val="autoZero"/>
        <c:auto val="1"/>
        <c:lblAlgn val="ctr"/>
        <c:lblOffset val="100"/>
      </c:catAx>
      <c:valAx>
        <c:axId val="245144192"/>
        <c:scaling>
          <c:orientation val="minMax"/>
        </c:scaling>
        <c:axPos val="l"/>
        <c:majorGridlines/>
        <c:numFmt formatCode="0%" sourceLinked="0"/>
        <c:tickLblPos val="nextTo"/>
        <c:crossAx val="245142656"/>
        <c:crosses val="autoZero"/>
        <c:crossBetween val="between"/>
      </c:valAx>
    </c:plotArea>
    <c:legend>
      <c:legendPos val="b"/>
    </c:legend>
    <c:plotVisOnly val="1"/>
    <c:dispBlanksAs val="gap"/>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ISED!$B$2</c:f>
              <c:strCache>
                <c:ptCount val="1"/>
                <c:pt idx="0">
                  <c:v>2012-2013</c:v>
                </c:pt>
              </c:strCache>
            </c:strRef>
          </c:tx>
          <c:spPr>
            <a:solidFill>
              <a:schemeClr val="bg1">
                <a:lumMod val="65000"/>
              </a:schemeClr>
            </a:solidFill>
          </c:spPr>
          <c:cat>
            <c:strRef>
              <c:f>ISED!$A$3:$A$8</c:f>
              <c:strCache>
                <c:ptCount val="6"/>
                <c:pt idx="0">
                  <c:v>30 days or less</c:v>
                </c:pt>
                <c:pt idx="1">
                  <c:v>31-60 days</c:v>
                </c:pt>
                <c:pt idx="2">
                  <c:v>61-120 days</c:v>
                </c:pt>
                <c:pt idx="3">
                  <c:v>121-180 days</c:v>
                </c:pt>
                <c:pt idx="4">
                  <c:v>181-365 days</c:v>
                </c:pt>
                <c:pt idx="5">
                  <c:v>More than 365 days</c:v>
                </c:pt>
              </c:strCache>
            </c:strRef>
          </c:cat>
          <c:val>
            <c:numRef>
              <c:f>ISED!$B$3:$B$8</c:f>
              <c:numCache>
                <c:formatCode>0.00%</c:formatCode>
                <c:ptCount val="6"/>
                <c:pt idx="0">
                  <c:v>0.64186046511627903</c:v>
                </c:pt>
                <c:pt idx="1">
                  <c:v>8.1395348837209683E-2</c:v>
                </c:pt>
                <c:pt idx="2">
                  <c:v>9.8837209302325577E-2</c:v>
                </c:pt>
                <c:pt idx="3">
                  <c:v>6.0465116279069767E-2</c:v>
                </c:pt>
                <c:pt idx="4">
                  <c:v>2.5581395348837209E-2</c:v>
                </c:pt>
                <c:pt idx="5">
                  <c:v>9.1860465116279669E-2</c:v>
                </c:pt>
              </c:numCache>
            </c:numRef>
          </c:val>
        </c:ser>
        <c:ser>
          <c:idx val="1"/>
          <c:order val="1"/>
          <c:tx>
            <c:strRef>
              <c:f>ISED!$C$2</c:f>
              <c:strCache>
                <c:ptCount val="1"/>
                <c:pt idx="0">
                  <c:v>2013-2014</c:v>
                </c:pt>
              </c:strCache>
            </c:strRef>
          </c:tx>
          <c:spPr>
            <a:solidFill>
              <a:srgbClr val="FFC000"/>
            </a:solidFill>
          </c:spPr>
          <c:cat>
            <c:strRef>
              <c:f>ISED!$A$3:$A$8</c:f>
              <c:strCache>
                <c:ptCount val="6"/>
                <c:pt idx="0">
                  <c:v>30 days or less</c:v>
                </c:pt>
                <c:pt idx="1">
                  <c:v>31-60 days</c:v>
                </c:pt>
                <c:pt idx="2">
                  <c:v>61-120 days</c:v>
                </c:pt>
                <c:pt idx="3">
                  <c:v>121-180 days</c:v>
                </c:pt>
                <c:pt idx="4">
                  <c:v>181-365 days</c:v>
                </c:pt>
                <c:pt idx="5">
                  <c:v>More than 365 days</c:v>
                </c:pt>
              </c:strCache>
            </c:strRef>
          </c:cat>
          <c:val>
            <c:numRef>
              <c:f>ISED!$C$3:$C$8</c:f>
              <c:numCache>
                <c:formatCode>0.00%</c:formatCode>
                <c:ptCount val="6"/>
                <c:pt idx="0">
                  <c:v>0.60000000000000064</c:v>
                </c:pt>
                <c:pt idx="1">
                  <c:v>0.10982658959537571</c:v>
                </c:pt>
                <c:pt idx="2">
                  <c:v>0.14450867052023156</c:v>
                </c:pt>
                <c:pt idx="3">
                  <c:v>9.8265895953757662E-2</c:v>
                </c:pt>
                <c:pt idx="4">
                  <c:v>2.1965317919075276E-2</c:v>
                </c:pt>
                <c:pt idx="5">
                  <c:v>2.5433526011560768E-2</c:v>
                </c:pt>
              </c:numCache>
            </c:numRef>
          </c:val>
        </c:ser>
        <c:ser>
          <c:idx val="2"/>
          <c:order val="2"/>
          <c:tx>
            <c:strRef>
              <c:f>ISED!$D$2</c:f>
              <c:strCache>
                <c:ptCount val="1"/>
                <c:pt idx="0">
                  <c:v>2014-2015</c:v>
                </c:pt>
              </c:strCache>
            </c:strRef>
          </c:tx>
          <c:spPr>
            <a:solidFill>
              <a:schemeClr val="accent5">
                <a:lumMod val="75000"/>
              </a:schemeClr>
            </a:solidFill>
          </c:spPr>
          <c:cat>
            <c:strRef>
              <c:f>ISED!$A$3:$A$8</c:f>
              <c:strCache>
                <c:ptCount val="6"/>
                <c:pt idx="0">
                  <c:v>30 days or less</c:v>
                </c:pt>
                <c:pt idx="1">
                  <c:v>31-60 days</c:v>
                </c:pt>
                <c:pt idx="2">
                  <c:v>61-120 days</c:v>
                </c:pt>
                <c:pt idx="3">
                  <c:v>121-180 days</c:v>
                </c:pt>
                <c:pt idx="4">
                  <c:v>181-365 days</c:v>
                </c:pt>
                <c:pt idx="5">
                  <c:v>More than 365 days</c:v>
                </c:pt>
              </c:strCache>
            </c:strRef>
          </c:cat>
          <c:val>
            <c:numRef>
              <c:f>ISED!$D$3:$D$8</c:f>
              <c:numCache>
                <c:formatCode>0.00%</c:formatCode>
                <c:ptCount val="6"/>
                <c:pt idx="0">
                  <c:v>0.6737588652482287</c:v>
                </c:pt>
                <c:pt idx="1">
                  <c:v>9.5035460992908161E-2</c:v>
                </c:pt>
                <c:pt idx="2">
                  <c:v>0.10780141843971631</c:v>
                </c:pt>
                <c:pt idx="3">
                  <c:v>7.9432624113475528E-2</c:v>
                </c:pt>
                <c:pt idx="4">
                  <c:v>2.1276595744680847E-2</c:v>
                </c:pt>
                <c:pt idx="5">
                  <c:v>2.2695035460993017E-2</c:v>
                </c:pt>
              </c:numCache>
            </c:numRef>
          </c:val>
        </c:ser>
        <c:dLbls/>
        <c:axId val="245269248"/>
        <c:axId val="245270784"/>
      </c:barChart>
      <c:catAx>
        <c:axId val="245269248"/>
        <c:scaling>
          <c:orientation val="minMax"/>
        </c:scaling>
        <c:axPos val="b"/>
        <c:numFmt formatCode="General" sourceLinked="0"/>
        <c:tickLblPos val="nextTo"/>
        <c:crossAx val="245270784"/>
        <c:crosses val="autoZero"/>
        <c:auto val="1"/>
        <c:lblAlgn val="ctr"/>
        <c:lblOffset val="100"/>
      </c:catAx>
      <c:valAx>
        <c:axId val="245270784"/>
        <c:scaling>
          <c:orientation val="minMax"/>
        </c:scaling>
        <c:axPos val="l"/>
        <c:majorGridlines/>
        <c:numFmt formatCode="0%" sourceLinked="0"/>
        <c:tickLblPos val="nextTo"/>
        <c:crossAx val="245269248"/>
        <c:crosses val="autoZero"/>
        <c:crossBetween val="between"/>
      </c:valAx>
    </c:plotArea>
    <c:legend>
      <c:legendPos val="b"/>
    </c:legend>
    <c:plotVisOnly val="1"/>
    <c:dispBlanksAs val="gap"/>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ISED!$B$31</c:f>
              <c:strCache>
                <c:ptCount val="1"/>
                <c:pt idx="0">
                  <c:v>2012-2013</c:v>
                </c:pt>
              </c:strCache>
            </c:strRef>
          </c:tx>
          <c:spPr>
            <a:solidFill>
              <a:schemeClr val="bg1">
                <a:lumMod val="65000"/>
              </a:schemeClr>
            </a:solidFill>
          </c:spPr>
          <c:cat>
            <c:strRef>
              <c:f>ISED!$A$32:$A$37</c:f>
              <c:strCache>
                <c:ptCount val="6"/>
                <c:pt idx="0">
                  <c:v> 30 days or less</c:v>
                </c:pt>
                <c:pt idx="1">
                  <c:v>31-60 days</c:v>
                </c:pt>
                <c:pt idx="2">
                  <c:v>61-120 days </c:v>
                </c:pt>
                <c:pt idx="3">
                  <c:v>121-180 days </c:v>
                </c:pt>
                <c:pt idx="4">
                  <c:v>181-365 days </c:v>
                </c:pt>
                <c:pt idx="5">
                  <c:v>More than 365 days </c:v>
                </c:pt>
              </c:strCache>
            </c:strRef>
          </c:cat>
          <c:val>
            <c:numRef>
              <c:f>ISED!$B$32:$B$37</c:f>
              <c:numCache>
                <c:formatCode>0.00%</c:formatCode>
                <c:ptCount val="6"/>
                <c:pt idx="0">
                  <c:v>0.13265306122448967</c:v>
                </c:pt>
                <c:pt idx="1">
                  <c:v>0.29591836734693994</c:v>
                </c:pt>
                <c:pt idx="2">
                  <c:v>0.36734693877551089</c:v>
                </c:pt>
                <c:pt idx="3">
                  <c:v>0.15306122448979631</c:v>
                </c:pt>
                <c:pt idx="4">
                  <c:v>4.0816326530612401E-2</c:v>
                </c:pt>
                <c:pt idx="5">
                  <c:v>1.0204081632653095E-2</c:v>
                </c:pt>
              </c:numCache>
            </c:numRef>
          </c:val>
        </c:ser>
        <c:ser>
          <c:idx val="1"/>
          <c:order val="1"/>
          <c:tx>
            <c:strRef>
              <c:f>ISED!$C$31</c:f>
              <c:strCache>
                <c:ptCount val="1"/>
                <c:pt idx="0">
                  <c:v>2013-2014</c:v>
                </c:pt>
              </c:strCache>
            </c:strRef>
          </c:tx>
          <c:spPr>
            <a:solidFill>
              <a:srgbClr val="FFC000"/>
            </a:solidFill>
          </c:spPr>
          <c:cat>
            <c:strRef>
              <c:f>ISED!$A$32:$A$37</c:f>
              <c:strCache>
                <c:ptCount val="6"/>
                <c:pt idx="0">
                  <c:v> 30 days or less</c:v>
                </c:pt>
                <c:pt idx="1">
                  <c:v>31-60 days</c:v>
                </c:pt>
                <c:pt idx="2">
                  <c:v>61-120 days </c:v>
                </c:pt>
                <c:pt idx="3">
                  <c:v>121-180 days </c:v>
                </c:pt>
                <c:pt idx="4">
                  <c:v>181-365 days </c:v>
                </c:pt>
                <c:pt idx="5">
                  <c:v>More than 365 days </c:v>
                </c:pt>
              </c:strCache>
            </c:strRef>
          </c:cat>
          <c:val>
            <c:numRef>
              <c:f>ISED!$C$32:$C$37</c:f>
              <c:numCache>
                <c:formatCode>0.00%</c:formatCode>
                <c:ptCount val="6"/>
                <c:pt idx="0">
                  <c:v>0.36909871244635195</c:v>
                </c:pt>
                <c:pt idx="1">
                  <c:v>0.25751072961373389</c:v>
                </c:pt>
                <c:pt idx="2">
                  <c:v>0.29828326180257603</c:v>
                </c:pt>
                <c:pt idx="3">
                  <c:v>7.2961373390557943E-2</c:v>
                </c:pt>
                <c:pt idx="4">
                  <c:v>2.1459227467811289E-3</c:v>
                </c:pt>
                <c:pt idx="5">
                  <c:v>0</c:v>
                </c:pt>
              </c:numCache>
            </c:numRef>
          </c:val>
        </c:ser>
        <c:ser>
          <c:idx val="2"/>
          <c:order val="2"/>
          <c:tx>
            <c:strRef>
              <c:f>ISED!$D$31</c:f>
              <c:strCache>
                <c:ptCount val="1"/>
                <c:pt idx="0">
                  <c:v>2014-2015</c:v>
                </c:pt>
              </c:strCache>
            </c:strRef>
          </c:tx>
          <c:spPr>
            <a:solidFill>
              <a:schemeClr val="accent5">
                <a:lumMod val="75000"/>
              </a:schemeClr>
            </a:solidFill>
          </c:spPr>
          <c:cat>
            <c:strRef>
              <c:f>ISED!$A$32:$A$37</c:f>
              <c:strCache>
                <c:ptCount val="6"/>
                <c:pt idx="0">
                  <c:v> 30 days or less</c:v>
                </c:pt>
                <c:pt idx="1">
                  <c:v>31-60 days</c:v>
                </c:pt>
                <c:pt idx="2">
                  <c:v>61-120 days </c:v>
                </c:pt>
                <c:pt idx="3">
                  <c:v>121-180 days </c:v>
                </c:pt>
                <c:pt idx="4">
                  <c:v>181-365 days </c:v>
                </c:pt>
                <c:pt idx="5">
                  <c:v>More than 365 days </c:v>
                </c:pt>
              </c:strCache>
            </c:strRef>
          </c:cat>
          <c:val>
            <c:numRef>
              <c:f>ISED!$D$32:$D$37</c:f>
              <c:numCache>
                <c:formatCode>0.00%</c:formatCode>
                <c:ptCount val="6"/>
                <c:pt idx="0">
                  <c:v>0.19488817891373766</c:v>
                </c:pt>
                <c:pt idx="1">
                  <c:v>0.40894568690095917</c:v>
                </c:pt>
                <c:pt idx="2">
                  <c:v>0.34824281150159725</c:v>
                </c:pt>
                <c:pt idx="3">
                  <c:v>3.8338658146964855E-2</c:v>
                </c:pt>
                <c:pt idx="4">
                  <c:v>9.584664536741264E-3</c:v>
                </c:pt>
                <c:pt idx="5">
                  <c:v>0</c:v>
                </c:pt>
              </c:numCache>
            </c:numRef>
          </c:val>
        </c:ser>
        <c:dLbls/>
        <c:axId val="245301632"/>
        <c:axId val="245303168"/>
      </c:barChart>
      <c:catAx>
        <c:axId val="245301632"/>
        <c:scaling>
          <c:orientation val="minMax"/>
        </c:scaling>
        <c:axPos val="b"/>
        <c:numFmt formatCode="General" sourceLinked="0"/>
        <c:tickLblPos val="nextTo"/>
        <c:crossAx val="245303168"/>
        <c:crosses val="autoZero"/>
        <c:auto val="1"/>
        <c:lblAlgn val="ctr"/>
        <c:lblOffset val="100"/>
      </c:catAx>
      <c:valAx>
        <c:axId val="245303168"/>
        <c:scaling>
          <c:orientation val="minMax"/>
        </c:scaling>
        <c:axPos val="l"/>
        <c:majorGridlines/>
        <c:numFmt formatCode="0%" sourceLinked="0"/>
        <c:tickLblPos val="nextTo"/>
        <c:crossAx val="245301632"/>
        <c:crosses val="autoZero"/>
        <c:crossBetween val="between"/>
      </c:valAx>
    </c:plotArea>
    <c:legend>
      <c:legendPos val="b"/>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CBSA!$B$2</c:f>
              <c:strCache>
                <c:ptCount val="1"/>
                <c:pt idx="0">
                  <c:v>2012-2013</c:v>
                </c:pt>
              </c:strCache>
            </c:strRef>
          </c:tx>
          <c:spPr>
            <a:solidFill>
              <a:schemeClr val="bg1">
                <a:lumMod val="65000"/>
              </a:schemeClr>
            </a:solidFill>
          </c:spPr>
          <c:cat>
            <c:strRef>
              <c:f>CBSA!$A$3:$A$8</c:f>
              <c:strCache>
                <c:ptCount val="6"/>
                <c:pt idx="0">
                  <c:v>30 days or less</c:v>
                </c:pt>
                <c:pt idx="1">
                  <c:v>31-60 days</c:v>
                </c:pt>
                <c:pt idx="2">
                  <c:v>61-120 days</c:v>
                </c:pt>
                <c:pt idx="3">
                  <c:v>121-180 days</c:v>
                </c:pt>
                <c:pt idx="4">
                  <c:v>181-365 days</c:v>
                </c:pt>
                <c:pt idx="5">
                  <c:v>More than 365 days</c:v>
                </c:pt>
              </c:strCache>
            </c:strRef>
          </c:cat>
          <c:val>
            <c:numRef>
              <c:f>CBSA!$B$3:$B$8</c:f>
              <c:numCache>
                <c:formatCode>0.00%</c:formatCode>
                <c:ptCount val="6"/>
                <c:pt idx="0">
                  <c:v>0.70670000000000244</c:v>
                </c:pt>
                <c:pt idx="1">
                  <c:v>0.18056035973711601</c:v>
                </c:pt>
                <c:pt idx="2">
                  <c:v>6.7104808024904872E-2</c:v>
                </c:pt>
                <c:pt idx="3">
                  <c:v>1.9024558976132911E-2</c:v>
                </c:pt>
                <c:pt idx="4">
                  <c:v>1.7295053614666281E-2</c:v>
                </c:pt>
                <c:pt idx="5">
                  <c:v>9.3393289519197505E-3</c:v>
                </c:pt>
              </c:numCache>
            </c:numRef>
          </c:val>
        </c:ser>
        <c:ser>
          <c:idx val="1"/>
          <c:order val="1"/>
          <c:tx>
            <c:strRef>
              <c:f>CBSA!$C$2</c:f>
              <c:strCache>
                <c:ptCount val="1"/>
                <c:pt idx="0">
                  <c:v>2013-2014</c:v>
                </c:pt>
              </c:strCache>
            </c:strRef>
          </c:tx>
          <c:spPr>
            <a:solidFill>
              <a:srgbClr val="FFC000"/>
            </a:solidFill>
          </c:spPr>
          <c:cat>
            <c:strRef>
              <c:f>CBSA!$A$3:$A$8</c:f>
              <c:strCache>
                <c:ptCount val="6"/>
                <c:pt idx="0">
                  <c:v>30 days or less</c:v>
                </c:pt>
                <c:pt idx="1">
                  <c:v>31-60 days</c:v>
                </c:pt>
                <c:pt idx="2">
                  <c:v>61-120 days</c:v>
                </c:pt>
                <c:pt idx="3">
                  <c:v>121-180 days</c:v>
                </c:pt>
                <c:pt idx="4">
                  <c:v>181-365 days</c:v>
                </c:pt>
                <c:pt idx="5">
                  <c:v>More than 365 days</c:v>
                </c:pt>
              </c:strCache>
            </c:strRef>
          </c:cat>
          <c:val>
            <c:numRef>
              <c:f>CBSA!$C$3:$C$8</c:f>
              <c:numCache>
                <c:formatCode>0.00%</c:formatCode>
                <c:ptCount val="6"/>
                <c:pt idx="0">
                  <c:v>0.76857072811963711</c:v>
                </c:pt>
                <c:pt idx="1">
                  <c:v>0.13115959794067167</c:v>
                </c:pt>
                <c:pt idx="2">
                  <c:v>5.0257416033341877E-2</c:v>
                </c:pt>
                <c:pt idx="3">
                  <c:v>1.593527825447414E-2</c:v>
                </c:pt>
                <c:pt idx="4">
                  <c:v>2.1573915175288231E-2</c:v>
                </c:pt>
                <c:pt idx="5">
                  <c:v>1.2503064476587441E-2</c:v>
                </c:pt>
              </c:numCache>
            </c:numRef>
          </c:val>
        </c:ser>
        <c:ser>
          <c:idx val="2"/>
          <c:order val="2"/>
          <c:tx>
            <c:strRef>
              <c:f>CBSA!$D$2</c:f>
              <c:strCache>
                <c:ptCount val="1"/>
                <c:pt idx="0">
                  <c:v>2014-2015</c:v>
                </c:pt>
              </c:strCache>
            </c:strRef>
          </c:tx>
          <c:spPr>
            <a:solidFill>
              <a:schemeClr val="accent5">
                <a:lumMod val="75000"/>
              </a:schemeClr>
            </a:solidFill>
          </c:spPr>
          <c:cat>
            <c:strRef>
              <c:f>CBSA!$A$3:$A$8</c:f>
              <c:strCache>
                <c:ptCount val="6"/>
                <c:pt idx="0">
                  <c:v>30 days or less</c:v>
                </c:pt>
                <c:pt idx="1">
                  <c:v>31-60 days</c:v>
                </c:pt>
                <c:pt idx="2">
                  <c:v>61-120 days</c:v>
                </c:pt>
                <c:pt idx="3">
                  <c:v>121-180 days</c:v>
                </c:pt>
                <c:pt idx="4">
                  <c:v>181-365 days</c:v>
                </c:pt>
                <c:pt idx="5">
                  <c:v>More than 365 days</c:v>
                </c:pt>
              </c:strCache>
            </c:strRef>
          </c:cat>
          <c:val>
            <c:numRef>
              <c:f>CBSA!$D$3:$D$8</c:f>
              <c:numCache>
                <c:formatCode>0.00%</c:formatCode>
                <c:ptCount val="6"/>
                <c:pt idx="0">
                  <c:v>0.75860041164363956</c:v>
                </c:pt>
                <c:pt idx="1">
                  <c:v>0.18053513672449437</c:v>
                </c:pt>
                <c:pt idx="2">
                  <c:v>3.1608350485151648E-2</c:v>
                </c:pt>
                <c:pt idx="3">
                  <c:v>7.4977947662452325E-3</c:v>
                </c:pt>
                <c:pt idx="4">
                  <c:v>7.4977947662452325E-3</c:v>
                </c:pt>
                <c:pt idx="5">
                  <c:v>1.4260511614231202E-2</c:v>
                </c:pt>
              </c:numCache>
            </c:numRef>
          </c:val>
        </c:ser>
        <c:dLbls/>
        <c:axId val="217711744"/>
        <c:axId val="217713280"/>
      </c:barChart>
      <c:catAx>
        <c:axId val="217711744"/>
        <c:scaling>
          <c:orientation val="minMax"/>
        </c:scaling>
        <c:axPos val="b"/>
        <c:numFmt formatCode="General" sourceLinked="0"/>
        <c:tickLblPos val="nextTo"/>
        <c:crossAx val="217713280"/>
        <c:crosses val="autoZero"/>
        <c:auto val="1"/>
        <c:lblAlgn val="ctr"/>
        <c:lblOffset val="100"/>
      </c:catAx>
      <c:valAx>
        <c:axId val="217713280"/>
        <c:scaling>
          <c:orientation val="minMax"/>
          <c:max val="0.8"/>
        </c:scaling>
        <c:axPos val="l"/>
        <c:majorGridlines/>
        <c:numFmt formatCode="0%" sourceLinked="0"/>
        <c:tickLblPos val="nextTo"/>
        <c:crossAx val="217711744"/>
        <c:crosses val="autoZero"/>
        <c:crossBetween val="between"/>
      </c:valAx>
    </c:plotArea>
    <c:legend>
      <c:legendPos val="b"/>
    </c:legend>
    <c:plotVisOnly val="1"/>
    <c:dispBlanksAs val="gap"/>
  </c:chart>
  <c:txPr>
    <a:bodyPr/>
    <a:lstStyle/>
    <a:p>
      <a:pPr>
        <a:defRPr sz="1100"/>
      </a:pPr>
      <a:endParaRPr lang="en-US"/>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ISED!$B$58</c:f>
              <c:strCache>
                <c:ptCount val="1"/>
                <c:pt idx="0">
                  <c:v>2014-2015</c:v>
                </c:pt>
              </c:strCache>
            </c:strRef>
          </c:tx>
          <c:dPt>
            <c:idx val="0"/>
            <c:spPr>
              <a:solidFill>
                <a:schemeClr val="accent5">
                  <a:lumMod val="75000"/>
                </a:schemeClr>
              </a:solidFill>
            </c:spPr>
          </c:dPt>
          <c:dPt>
            <c:idx val="1"/>
            <c:spPr>
              <a:solidFill>
                <a:schemeClr val="tx1">
                  <a:lumMod val="85000"/>
                  <a:lumOff val="15000"/>
                </a:schemeClr>
              </a:solidFill>
            </c:spPr>
          </c:dPt>
          <c:dPt>
            <c:idx val="2"/>
            <c:spPr>
              <a:solidFill>
                <a:schemeClr val="bg2">
                  <a:lumMod val="75000"/>
                </a:schemeClr>
              </a:solidFill>
            </c:spPr>
          </c:dPt>
          <c:dPt>
            <c:idx val="3"/>
            <c:spPr>
              <a:solidFill>
                <a:schemeClr val="accent6">
                  <a:lumMod val="50000"/>
                </a:schemeClr>
              </a:solidFill>
            </c:spPr>
          </c:dPt>
          <c:dPt>
            <c:idx val="4"/>
            <c:spPr>
              <a:solidFill>
                <a:schemeClr val="accent5">
                  <a:lumMod val="50000"/>
                </a:schemeClr>
              </a:solidFill>
            </c:spPr>
          </c:dPt>
          <c:dPt>
            <c:idx val="5"/>
            <c:spPr>
              <a:solidFill>
                <a:schemeClr val="accent5">
                  <a:lumMod val="60000"/>
                  <a:lumOff val="40000"/>
                </a:schemeClr>
              </a:solidFill>
            </c:spPr>
          </c:dPt>
          <c:dPt>
            <c:idx val="6"/>
            <c:spPr>
              <a:solidFill>
                <a:srgbClr val="FFC000"/>
              </a:solidFill>
            </c:spPr>
          </c:dPt>
          <c:dLbls>
            <c:dLbl>
              <c:idx val="0"/>
              <c:layout>
                <c:manualLayout>
                  <c:x val="1.9394051332567181E-2"/>
                  <c:y val="2.7938120526437314E-2"/>
                </c:manualLayout>
              </c:layout>
              <c:showPercent val="1"/>
              <c:extLst>
                <c:ext xmlns:c15="http://schemas.microsoft.com/office/drawing/2012/chart" uri="{CE6537A1-D6FC-4f65-9D91-7224C49458BB}"/>
              </c:extLst>
            </c:dLbl>
            <c:dLbl>
              <c:idx val="1"/>
              <c:layout>
                <c:manualLayout>
                  <c:x val="9.5241271274558083E-3"/>
                  <c:y val="2.3072378339467859E-3"/>
                </c:manualLayout>
              </c:layout>
              <c:tx>
                <c:rich>
                  <a:bodyPr/>
                  <a:lstStyle/>
                  <a:p>
                    <a:pPr>
                      <a:defRPr>
                        <a:solidFill>
                          <a:schemeClr val="bg1"/>
                        </a:solidFill>
                      </a:defRPr>
                    </a:pPr>
                    <a:r>
                      <a:rPr lang="en-US">
                        <a:solidFill>
                          <a:sysClr val="windowText" lastClr="000000"/>
                        </a:solidFill>
                      </a:rPr>
                      <a:t>11.00%</a:t>
                    </a:r>
                  </a:p>
                </c:rich>
              </c:tx>
              <c:numFmt formatCode="0.00%" sourceLinked="0"/>
              <c:spPr/>
              <c:showPercent val="1"/>
              <c:extLst>
                <c:ext xmlns:c15="http://schemas.microsoft.com/office/drawing/2012/chart" uri="{CE6537A1-D6FC-4f65-9D91-7224C49458BB}"/>
              </c:extLst>
            </c:dLbl>
            <c:dLbl>
              <c:idx val="2"/>
              <c:layout>
                <c:manualLayout>
                  <c:x val="-5.6793151097247318E-3"/>
                  <c:y val="-1.4989745609626903E-2"/>
                </c:manualLayout>
              </c:layout>
              <c:showPercent val="1"/>
              <c:extLst>
                <c:ext xmlns:c15="http://schemas.microsoft.com/office/drawing/2012/chart" uri="{CE6537A1-D6FC-4f65-9D91-7224C49458BB}"/>
              </c:extLst>
            </c:dLbl>
            <c:dLbl>
              <c:idx val="3"/>
              <c:layout>
                <c:manualLayout>
                  <c:x val="-9.2746128167241308E-3"/>
                  <c:y val="-1.0145734581064013E-3"/>
                </c:manualLayout>
              </c:layout>
              <c:showPercent val="1"/>
              <c:extLst>
                <c:ext xmlns:c15="http://schemas.microsoft.com/office/drawing/2012/chart" uri="{CE6537A1-D6FC-4f65-9D91-7224C49458BB}"/>
              </c:extLst>
            </c:dLbl>
            <c:dLbl>
              <c:idx val="4"/>
              <c:layout>
                <c:manualLayout>
                  <c:x val="1.3089496798555245E-2"/>
                  <c:y val="3.460007877544924E-4"/>
                </c:manualLayout>
              </c:layout>
              <c:showPercent val="1"/>
              <c:extLst>
                <c:ext xmlns:c15="http://schemas.microsoft.com/office/drawing/2012/chart" uri="{CE6537A1-D6FC-4f65-9D91-7224C49458BB}"/>
              </c:extLst>
            </c:dLbl>
            <c:dLbl>
              <c:idx val="5"/>
              <c:layout>
                <c:manualLayout>
                  <c:x val="4.7970366113938611E-3"/>
                  <c:y val="-6.599481168593044E-3"/>
                </c:manualLayout>
              </c:layout>
              <c:showPercent val="1"/>
              <c:extLst>
                <c:ext xmlns:c15="http://schemas.microsoft.com/office/drawing/2012/chart" uri="{CE6537A1-D6FC-4f65-9D91-7224C49458BB}"/>
              </c:extLst>
            </c:dLbl>
            <c:dLbl>
              <c:idx val="6"/>
              <c:layout>
                <c:manualLayout>
                  <c:x val="1.8567353472336236E-3"/>
                  <c:y val="8.2941719749548386E-3"/>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ISED!$A$59:$A$65</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ISED!$B$59:$B$65</c:f>
              <c:numCache>
                <c:formatCode>General</c:formatCode>
                <c:ptCount val="7"/>
                <c:pt idx="0">
                  <c:v>5</c:v>
                </c:pt>
                <c:pt idx="1">
                  <c:v>4</c:v>
                </c:pt>
                <c:pt idx="2">
                  <c:v>5</c:v>
                </c:pt>
                <c:pt idx="3">
                  <c:v>6</c:v>
                </c:pt>
                <c:pt idx="4">
                  <c:v>2</c:v>
                </c:pt>
                <c:pt idx="5">
                  <c:v>6</c:v>
                </c:pt>
                <c:pt idx="6">
                  <c:v>9</c:v>
                </c:pt>
              </c:numCache>
            </c:numRef>
          </c:val>
        </c:ser>
        <c:dLbls/>
        <c:firstSliceAng val="0"/>
      </c:pieChart>
    </c:plotArea>
    <c:legend>
      <c:legendPos val="r"/>
    </c:legend>
    <c:plotVisOnly val="1"/>
    <c:dispBlanksAs val="zero"/>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ISED!$B$88</c:f>
              <c:strCache>
                <c:ptCount val="1"/>
                <c:pt idx="0">
                  <c:v>2012-2013</c:v>
                </c:pt>
              </c:strCache>
            </c:strRef>
          </c:tx>
          <c:spPr>
            <a:solidFill>
              <a:schemeClr val="bg1">
                <a:lumMod val="65000"/>
              </a:schemeClr>
            </a:solidFill>
          </c:spPr>
          <c:cat>
            <c:strRef>
              <c:f>ISED!$A$89:$A$90</c:f>
              <c:strCache>
                <c:ptCount val="2"/>
                <c:pt idx="0">
                  <c:v>All disclosed </c:v>
                </c:pt>
                <c:pt idx="1">
                  <c:v>Disclosed in part </c:v>
                </c:pt>
              </c:strCache>
            </c:strRef>
          </c:cat>
          <c:val>
            <c:numRef>
              <c:f>ISED!$B$89:$B$90</c:f>
              <c:numCache>
                <c:formatCode>0.00%</c:formatCode>
                <c:ptCount val="2"/>
                <c:pt idx="0">
                  <c:v>0.10348837209302307</c:v>
                </c:pt>
                <c:pt idx="1">
                  <c:v>0.36046511627907057</c:v>
                </c:pt>
              </c:numCache>
            </c:numRef>
          </c:val>
        </c:ser>
        <c:ser>
          <c:idx val="1"/>
          <c:order val="1"/>
          <c:tx>
            <c:strRef>
              <c:f>ISED!$C$88</c:f>
              <c:strCache>
                <c:ptCount val="1"/>
                <c:pt idx="0">
                  <c:v>2013-2014</c:v>
                </c:pt>
              </c:strCache>
            </c:strRef>
          </c:tx>
          <c:spPr>
            <a:solidFill>
              <a:srgbClr val="FFC000"/>
            </a:solidFill>
          </c:spPr>
          <c:cat>
            <c:strRef>
              <c:f>ISED!$A$89:$A$90</c:f>
              <c:strCache>
                <c:ptCount val="2"/>
                <c:pt idx="0">
                  <c:v>All disclosed </c:v>
                </c:pt>
                <c:pt idx="1">
                  <c:v>Disclosed in part </c:v>
                </c:pt>
              </c:strCache>
            </c:strRef>
          </c:cat>
          <c:val>
            <c:numRef>
              <c:f>ISED!$C$89:$C$90</c:f>
              <c:numCache>
                <c:formatCode>0.00%</c:formatCode>
                <c:ptCount val="2"/>
                <c:pt idx="0">
                  <c:v>7.2832369942196801E-2</c:v>
                </c:pt>
                <c:pt idx="1">
                  <c:v>0.36994219653179189</c:v>
                </c:pt>
              </c:numCache>
            </c:numRef>
          </c:val>
        </c:ser>
        <c:ser>
          <c:idx val="2"/>
          <c:order val="2"/>
          <c:tx>
            <c:strRef>
              <c:f>ISED!$D$88</c:f>
              <c:strCache>
                <c:ptCount val="1"/>
                <c:pt idx="0">
                  <c:v>2014-2015</c:v>
                </c:pt>
              </c:strCache>
            </c:strRef>
          </c:tx>
          <c:spPr>
            <a:solidFill>
              <a:schemeClr val="accent5">
                <a:lumMod val="75000"/>
              </a:schemeClr>
            </a:solidFill>
          </c:spPr>
          <c:cat>
            <c:strRef>
              <c:f>ISED!$A$89:$A$90</c:f>
              <c:strCache>
                <c:ptCount val="2"/>
                <c:pt idx="0">
                  <c:v>All disclosed </c:v>
                </c:pt>
                <c:pt idx="1">
                  <c:v>Disclosed in part </c:v>
                </c:pt>
              </c:strCache>
            </c:strRef>
          </c:cat>
          <c:val>
            <c:numRef>
              <c:f>ISED!$D$89:$D$90</c:f>
              <c:numCache>
                <c:formatCode>0.00%</c:formatCode>
                <c:ptCount val="2"/>
                <c:pt idx="0">
                  <c:v>0.39574468085106457</c:v>
                </c:pt>
                <c:pt idx="1">
                  <c:v>0.3219858156028384</c:v>
                </c:pt>
              </c:numCache>
            </c:numRef>
          </c:val>
        </c:ser>
        <c:dLbls/>
        <c:axId val="245474432"/>
        <c:axId val="245475968"/>
      </c:barChart>
      <c:catAx>
        <c:axId val="245474432"/>
        <c:scaling>
          <c:orientation val="minMax"/>
        </c:scaling>
        <c:axPos val="b"/>
        <c:numFmt formatCode="General" sourceLinked="0"/>
        <c:tickLblPos val="nextTo"/>
        <c:crossAx val="245475968"/>
        <c:crosses val="autoZero"/>
        <c:auto val="1"/>
        <c:lblAlgn val="ctr"/>
        <c:lblOffset val="100"/>
      </c:catAx>
      <c:valAx>
        <c:axId val="245475968"/>
        <c:scaling>
          <c:orientation val="minMax"/>
        </c:scaling>
        <c:axPos val="l"/>
        <c:majorGridlines/>
        <c:numFmt formatCode="0%" sourceLinked="0"/>
        <c:tickLblPos val="nextTo"/>
        <c:crossAx val="245474432"/>
        <c:crosses val="autoZero"/>
        <c:crossBetween val="between"/>
      </c:valAx>
    </c:plotArea>
    <c:legend>
      <c:legendPos val="b"/>
    </c:legend>
    <c:plotVisOnly val="1"/>
    <c:dispBlanksAs val="gap"/>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PSPC!$B$2</c:f>
              <c:strCache>
                <c:ptCount val="1"/>
                <c:pt idx="0">
                  <c:v>2012-2013</c:v>
                </c:pt>
              </c:strCache>
            </c:strRef>
          </c:tx>
          <c:spPr>
            <a:solidFill>
              <a:schemeClr val="bg1">
                <a:lumMod val="65000"/>
              </a:schemeClr>
            </a:solidFill>
          </c:spPr>
          <c:cat>
            <c:strRef>
              <c:f>PSPC!$A$3:$A$8</c:f>
              <c:strCache>
                <c:ptCount val="6"/>
                <c:pt idx="0">
                  <c:v>30 days or less</c:v>
                </c:pt>
                <c:pt idx="1">
                  <c:v>31-60 days</c:v>
                </c:pt>
                <c:pt idx="2">
                  <c:v>61-120 days</c:v>
                </c:pt>
                <c:pt idx="3">
                  <c:v>121-180 days</c:v>
                </c:pt>
                <c:pt idx="4">
                  <c:v>181-365 days</c:v>
                </c:pt>
                <c:pt idx="5">
                  <c:v>More than 365 days</c:v>
                </c:pt>
              </c:strCache>
            </c:strRef>
          </c:cat>
          <c:val>
            <c:numRef>
              <c:f>PSPC!$B$3:$B$8</c:f>
              <c:numCache>
                <c:formatCode>0.00%</c:formatCode>
                <c:ptCount val="6"/>
                <c:pt idx="0">
                  <c:v>0.42312423124231335</c:v>
                </c:pt>
                <c:pt idx="1">
                  <c:v>0.13407134071340721</c:v>
                </c:pt>
                <c:pt idx="2">
                  <c:v>0.1660516605166053</c:v>
                </c:pt>
                <c:pt idx="3">
                  <c:v>9.3480934809347979E-2</c:v>
                </c:pt>
                <c:pt idx="4">
                  <c:v>0.11808118081180817</c:v>
                </c:pt>
                <c:pt idx="5">
                  <c:v>6.5190651906519306E-2</c:v>
                </c:pt>
              </c:numCache>
            </c:numRef>
          </c:val>
        </c:ser>
        <c:ser>
          <c:idx val="1"/>
          <c:order val="1"/>
          <c:tx>
            <c:strRef>
              <c:f>PSPC!$C$2</c:f>
              <c:strCache>
                <c:ptCount val="1"/>
                <c:pt idx="0">
                  <c:v>2013-2014</c:v>
                </c:pt>
              </c:strCache>
            </c:strRef>
          </c:tx>
          <c:spPr>
            <a:solidFill>
              <a:srgbClr val="FFC000"/>
            </a:solidFill>
          </c:spPr>
          <c:cat>
            <c:strRef>
              <c:f>PSPC!$A$3:$A$8</c:f>
              <c:strCache>
                <c:ptCount val="6"/>
                <c:pt idx="0">
                  <c:v>30 days or less</c:v>
                </c:pt>
                <c:pt idx="1">
                  <c:v>31-60 days</c:v>
                </c:pt>
                <c:pt idx="2">
                  <c:v>61-120 days</c:v>
                </c:pt>
                <c:pt idx="3">
                  <c:v>121-180 days</c:v>
                </c:pt>
                <c:pt idx="4">
                  <c:v>181-365 days</c:v>
                </c:pt>
                <c:pt idx="5">
                  <c:v>More than 365 days</c:v>
                </c:pt>
              </c:strCache>
            </c:strRef>
          </c:cat>
          <c:val>
            <c:numRef>
              <c:f>PSPC!$C$3:$C$8</c:f>
              <c:numCache>
                <c:formatCode>0.00%</c:formatCode>
                <c:ptCount val="6"/>
                <c:pt idx="0">
                  <c:v>0.41666666666666757</c:v>
                </c:pt>
                <c:pt idx="1">
                  <c:v>9.6618357487922704E-2</c:v>
                </c:pt>
                <c:pt idx="2">
                  <c:v>0.20772946859903443</c:v>
                </c:pt>
                <c:pt idx="3">
                  <c:v>0.10628019323671518</c:v>
                </c:pt>
                <c:pt idx="4">
                  <c:v>0.12439613526570074</c:v>
                </c:pt>
                <c:pt idx="5">
                  <c:v>4.8309178743961352E-2</c:v>
                </c:pt>
              </c:numCache>
            </c:numRef>
          </c:val>
        </c:ser>
        <c:ser>
          <c:idx val="2"/>
          <c:order val="2"/>
          <c:tx>
            <c:strRef>
              <c:f>PSPC!$D$2</c:f>
              <c:strCache>
                <c:ptCount val="1"/>
                <c:pt idx="0">
                  <c:v>2014-2015</c:v>
                </c:pt>
              </c:strCache>
            </c:strRef>
          </c:tx>
          <c:spPr>
            <a:solidFill>
              <a:schemeClr val="accent5">
                <a:lumMod val="75000"/>
              </a:schemeClr>
            </a:solidFill>
          </c:spPr>
          <c:cat>
            <c:strRef>
              <c:f>PSPC!$A$3:$A$8</c:f>
              <c:strCache>
                <c:ptCount val="6"/>
                <c:pt idx="0">
                  <c:v>30 days or less</c:v>
                </c:pt>
                <c:pt idx="1">
                  <c:v>31-60 days</c:v>
                </c:pt>
                <c:pt idx="2">
                  <c:v>61-120 days</c:v>
                </c:pt>
                <c:pt idx="3">
                  <c:v>121-180 days</c:v>
                </c:pt>
                <c:pt idx="4">
                  <c:v>181-365 days</c:v>
                </c:pt>
                <c:pt idx="5">
                  <c:v>More than 365 days</c:v>
                </c:pt>
              </c:strCache>
            </c:strRef>
          </c:cat>
          <c:val>
            <c:numRef>
              <c:f>PSPC!$D$3:$D$8</c:f>
              <c:numCache>
                <c:formatCode>0.00%</c:formatCode>
                <c:ptCount val="6"/>
                <c:pt idx="0">
                  <c:v>0.50546021840873634</c:v>
                </c:pt>
                <c:pt idx="1">
                  <c:v>0.13884555382215291</c:v>
                </c:pt>
                <c:pt idx="2">
                  <c:v>0.20436817472698909</c:v>
                </c:pt>
                <c:pt idx="3">
                  <c:v>5.9282371294851893E-2</c:v>
                </c:pt>
                <c:pt idx="4">
                  <c:v>5.7722308892355793E-2</c:v>
                </c:pt>
                <c:pt idx="5">
                  <c:v>3.4321372854914309E-2</c:v>
                </c:pt>
              </c:numCache>
            </c:numRef>
          </c:val>
        </c:ser>
        <c:dLbls/>
        <c:axId val="245519104"/>
        <c:axId val="245520640"/>
      </c:barChart>
      <c:catAx>
        <c:axId val="245519104"/>
        <c:scaling>
          <c:orientation val="minMax"/>
        </c:scaling>
        <c:axPos val="b"/>
        <c:numFmt formatCode="General" sourceLinked="0"/>
        <c:tickLblPos val="nextTo"/>
        <c:crossAx val="245520640"/>
        <c:crosses val="autoZero"/>
        <c:auto val="1"/>
        <c:lblAlgn val="ctr"/>
        <c:lblOffset val="100"/>
      </c:catAx>
      <c:valAx>
        <c:axId val="245520640"/>
        <c:scaling>
          <c:orientation val="minMax"/>
        </c:scaling>
        <c:axPos val="l"/>
        <c:majorGridlines/>
        <c:numFmt formatCode="0%" sourceLinked="0"/>
        <c:tickLblPos val="nextTo"/>
        <c:crossAx val="245519104"/>
        <c:crosses val="autoZero"/>
        <c:crossBetween val="between"/>
      </c:valAx>
    </c:plotArea>
    <c:legend>
      <c:legendPos val="b"/>
    </c:legend>
    <c:plotVisOnly val="1"/>
    <c:dispBlanksAs val="gap"/>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PSPC!$B$28</c:f>
              <c:strCache>
                <c:ptCount val="1"/>
                <c:pt idx="0">
                  <c:v>2012-2013</c:v>
                </c:pt>
              </c:strCache>
            </c:strRef>
          </c:tx>
          <c:spPr>
            <a:solidFill>
              <a:schemeClr val="bg1">
                <a:lumMod val="65000"/>
              </a:schemeClr>
            </a:solidFill>
          </c:spPr>
          <c:cat>
            <c:strRef>
              <c:f>PSPC!$A$29:$A$34</c:f>
              <c:strCache>
                <c:ptCount val="6"/>
                <c:pt idx="0">
                  <c:v> 30 days or less</c:v>
                </c:pt>
                <c:pt idx="1">
                  <c:v>31-60 days</c:v>
                </c:pt>
                <c:pt idx="2">
                  <c:v>61-120 days </c:v>
                </c:pt>
                <c:pt idx="3">
                  <c:v>121-180 days </c:v>
                </c:pt>
                <c:pt idx="4">
                  <c:v>181-365 days </c:v>
                </c:pt>
                <c:pt idx="5">
                  <c:v>More than 365 days </c:v>
                </c:pt>
              </c:strCache>
            </c:strRef>
          </c:cat>
          <c:val>
            <c:numRef>
              <c:f>PSPC!$B$29:$B$34</c:f>
              <c:numCache>
                <c:formatCode>0.00%</c:formatCode>
                <c:ptCount val="6"/>
                <c:pt idx="0">
                  <c:v>0.10744985673352436</c:v>
                </c:pt>
                <c:pt idx="1">
                  <c:v>0.32664756446991478</c:v>
                </c:pt>
                <c:pt idx="2">
                  <c:v>0.27077363896848139</c:v>
                </c:pt>
                <c:pt idx="3">
                  <c:v>6.8767908309455589E-2</c:v>
                </c:pt>
                <c:pt idx="4">
                  <c:v>0.18194842406876846</c:v>
                </c:pt>
                <c:pt idx="5">
                  <c:v>4.4412607449857026E-2</c:v>
                </c:pt>
              </c:numCache>
            </c:numRef>
          </c:val>
        </c:ser>
        <c:ser>
          <c:idx val="1"/>
          <c:order val="1"/>
          <c:tx>
            <c:strRef>
              <c:f>PSPC!$C$28</c:f>
              <c:strCache>
                <c:ptCount val="1"/>
                <c:pt idx="0">
                  <c:v>2013-2014</c:v>
                </c:pt>
              </c:strCache>
            </c:strRef>
          </c:tx>
          <c:spPr>
            <a:solidFill>
              <a:srgbClr val="FFC000"/>
            </a:solidFill>
          </c:spPr>
          <c:cat>
            <c:strRef>
              <c:f>PSPC!$A$29:$A$34</c:f>
              <c:strCache>
                <c:ptCount val="6"/>
                <c:pt idx="0">
                  <c:v> 30 days or less</c:v>
                </c:pt>
                <c:pt idx="1">
                  <c:v>31-60 days</c:v>
                </c:pt>
                <c:pt idx="2">
                  <c:v>61-120 days </c:v>
                </c:pt>
                <c:pt idx="3">
                  <c:v>121-180 days </c:v>
                </c:pt>
                <c:pt idx="4">
                  <c:v>181-365 days </c:v>
                </c:pt>
                <c:pt idx="5">
                  <c:v>More than 365 days </c:v>
                </c:pt>
              </c:strCache>
            </c:strRef>
          </c:cat>
          <c:val>
            <c:numRef>
              <c:f>PSPC!$C$29:$C$34</c:f>
              <c:numCache>
                <c:formatCode>0.00%</c:formatCode>
                <c:ptCount val="6"/>
                <c:pt idx="0">
                  <c:v>0.10995542347696879</c:v>
                </c:pt>
                <c:pt idx="1">
                  <c:v>0.32689450222882743</c:v>
                </c:pt>
                <c:pt idx="2">
                  <c:v>0.34621099554234858</c:v>
                </c:pt>
                <c:pt idx="3">
                  <c:v>8.7667161961367007E-2</c:v>
                </c:pt>
                <c:pt idx="4">
                  <c:v>0.11589895988112929</c:v>
                </c:pt>
                <c:pt idx="5">
                  <c:v>1.3372956909361066E-2</c:v>
                </c:pt>
              </c:numCache>
            </c:numRef>
          </c:val>
        </c:ser>
        <c:ser>
          <c:idx val="2"/>
          <c:order val="2"/>
          <c:tx>
            <c:strRef>
              <c:f>PSPC!$D$28</c:f>
              <c:strCache>
                <c:ptCount val="1"/>
                <c:pt idx="0">
                  <c:v>2014-2015</c:v>
                </c:pt>
              </c:strCache>
            </c:strRef>
          </c:tx>
          <c:spPr>
            <a:solidFill>
              <a:schemeClr val="accent5">
                <a:lumMod val="75000"/>
              </a:schemeClr>
            </a:solidFill>
          </c:spPr>
          <c:cat>
            <c:strRef>
              <c:f>PSPC!$A$29:$A$34</c:f>
              <c:strCache>
                <c:ptCount val="6"/>
                <c:pt idx="0">
                  <c:v> 30 days or less</c:v>
                </c:pt>
                <c:pt idx="1">
                  <c:v>31-60 days</c:v>
                </c:pt>
                <c:pt idx="2">
                  <c:v>61-120 days </c:v>
                </c:pt>
                <c:pt idx="3">
                  <c:v>121-180 days </c:v>
                </c:pt>
                <c:pt idx="4">
                  <c:v>181-365 days </c:v>
                </c:pt>
                <c:pt idx="5">
                  <c:v>More than 365 days </c:v>
                </c:pt>
              </c:strCache>
            </c:strRef>
          </c:cat>
          <c:val>
            <c:numRef>
              <c:f>PSPC!$D$29:$D$34</c:f>
              <c:numCache>
                <c:formatCode>0.00%</c:formatCode>
                <c:ptCount val="6"/>
                <c:pt idx="0">
                  <c:v>0.15322580645161291</c:v>
                </c:pt>
                <c:pt idx="1">
                  <c:v>0.34946236559139787</c:v>
                </c:pt>
                <c:pt idx="2">
                  <c:v>0.30107526881720537</c:v>
                </c:pt>
                <c:pt idx="3">
                  <c:v>0.10752688172043044</c:v>
                </c:pt>
                <c:pt idx="4">
                  <c:v>8.6021505376344246E-2</c:v>
                </c:pt>
                <c:pt idx="5">
                  <c:v>2.6881720430107616E-3</c:v>
                </c:pt>
              </c:numCache>
            </c:numRef>
          </c:val>
        </c:ser>
        <c:dLbls/>
        <c:axId val="245555584"/>
        <c:axId val="245557120"/>
      </c:barChart>
      <c:catAx>
        <c:axId val="245555584"/>
        <c:scaling>
          <c:orientation val="minMax"/>
        </c:scaling>
        <c:axPos val="b"/>
        <c:numFmt formatCode="General" sourceLinked="0"/>
        <c:tickLblPos val="nextTo"/>
        <c:crossAx val="245557120"/>
        <c:crosses val="autoZero"/>
        <c:auto val="1"/>
        <c:lblAlgn val="ctr"/>
        <c:lblOffset val="100"/>
      </c:catAx>
      <c:valAx>
        <c:axId val="245557120"/>
        <c:scaling>
          <c:orientation val="minMax"/>
        </c:scaling>
        <c:axPos val="l"/>
        <c:majorGridlines/>
        <c:numFmt formatCode="0%" sourceLinked="0"/>
        <c:tickLblPos val="nextTo"/>
        <c:crossAx val="245555584"/>
        <c:crosses val="autoZero"/>
        <c:crossBetween val="between"/>
      </c:valAx>
    </c:plotArea>
    <c:legend>
      <c:legendPos val="b"/>
    </c:legend>
    <c:plotVisOnly val="1"/>
    <c:dispBlanksAs val="gap"/>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PSPC!$B$54</c:f>
              <c:strCache>
                <c:ptCount val="1"/>
                <c:pt idx="0">
                  <c:v>2014-2015</c:v>
                </c:pt>
              </c:strCache>
            </c:strRef>
          </c:tx>
          <c:dPt>
            <c:idx val="0"/>
            <c:spPr>
              <a:solidFill>
                <a:schemeClr val="accent5">
                  <a:lumMod val="75000"/>
                </a:schemeClr>
              </a:solidFill>
            </c:spPr>
          </c:dPt>
          <c:dPt>
            <c:idx val="1"/>
            <c:spPr>
              <a:solidFill>
                <a:schemeClr val="tx1">
                  <a:lumMod val="75000"/>
                  <a:lumOff val="25000"/>
                </a:schemeClr>
              </a:solidFill>
            </c:spPr>
          </c:dPt>
          <c:dPt>
            <c:idx val="2"/>
            <c:spPr>
              <a:solidFill>
                <a:schemeClr val="accent5">
                  <a:lumMod val="60000"/>
                  <a:lumOff val="40000"/>
                </a:schemeClr>
              </a:solidFill>
            </c:spPr>
          </c:dPt>
          <c:dPt>
            <c:idx val="3"/>
            <c:spPr>
              <a:solidFill>
                <a:schemeClr val="tx2">
                  <a:lumMod val="50000"/>
                </a:schemeClr>
              </a:solidFill>
            </c:spPr>
          </c:dPt>
          <c:dPt>
            <c:idx val="4"/>
            <c:spPr>
              <a:solidFill>
                <a:srgbClr val="FFC000"/>
              </a:solidFill>
            </c:spPr>
          </c:dPt>
          <c:dPt>
            <c:idx val="5"/>
            <c:spPr>
              <a:solidFill>
                <a:schemeClr val="accent6">
                  <a:lumMod val="50000"/>
                </a:schemeClr>
              </a:solidFill>
            </c:spPr>
          </c:dPt>
          <c:dLbls>
            <c:dLbl>
              <c:idx val="0"/>
              <c:layout>
                <c:manualLayout>
                  <c:x val="8.0056633242508535E-4"/>
                  <c:y val="9.2673983675579351E-3"/>
                </c:manualLayout>
              </c:layout>
              <c:showPercent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3.7732302948391581E-3"/>
                  <c:y val="8.4671450207526519E-3"/>
                </c:manualLayout>
              </c:layout>
              <c:showPercent val="1"/>
              <c:extLst>
                <c:ext xmlns:c15="http://schemas.microsoft.com/office/drawing/2012/chart" uri="{CE6537A1-D6FC-4f65-9D91-7224C49458BB}"/>
              </c:extLst>
            </c:dLbl>
            <c:dLbl>
              <c:idx val="3"/>
              <c:layout>
                <c:manualLayout>
                  <c:x val="-1.3075269953671897E-2"/>
                  <c:y val="1.305854239956902E-2"/>
                </c:manualLayout>
              </c:layout>
              <c:showPercent val="1"/>
              <c:extLst>
                <c:ext xmlns:c15="http://schemas.microsoft.com/office/drawing/2012/chart" uri="{CE6537A1-D6FC-4f65-9D91-7224C49458BB}"/>
              </c:extLst>
            </c:dLbl>
            <c:dLbl>
              <c:idx val="4"/>
              <c:layout>
                <c:manualLayout>
                  <c:x val="-9.2707166574691104E-3"/>
                  <c:y val="-1.3811550545484814E-2"/>
                </c:manualLayout>
              </c:layout>
              <c:showPercent val="1"/>
              <c:extLst>
                <c:ext xmlns:c15="http://schemas.microsoft.com/office/drawing/2012/chart" uri="{CE6537A1-D6FC-4f65-9D91-7224C49458BB}"/>
              </c:extLst>
            </c:dLbl>
            <c:dLbl>
              <c:idx val="5"/>
              <c:layout>
                <c:manualLayout>
                  <c:x val="4.5950746059126371E-2"/>
                  <c:y val="-2.7910337446836693E-2"/>
                </c:manualLayout>
              </c:layout>
              <c:showPercent val="1"/>
              <c:extLst>
                <c:ext xmlns:c15="http://schemas.microsoft.com/office/drawing/2012/chart" uri="{CE6537A1-D6FC-4f65-9D91-7224C49458BB}"/>
              </c:extLst>
            </c:dLbl>
            <c:dLbl>
              <c:idx val="6"/>
              <c:layout>
                <c:manualLayout>
                  <c:x val="3.0639408542650463E-2"/>
                  <c:y val="-0.13086718945257017"/>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PSPC!$A$55:$A$61</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PSPC!$B$55:$B$61</c:f>
              <c:numCache>
                <c:formatCode>General</c:formatCode>
                <c:ptCount val="7"/>
                <c:pt idx="0">
                  <c:v>2</c:v>
                </c:pt>
                <c:pt idx="1">
                  <c:v>0</c:v>
                </c:pt>
                <c:pt idx="2">
                  <c:v>2</c:v>
                </c:pt>
                <c:pt idx="3">
                  <c:v>4</c:v>
                </c:pt>
                <c:pt idx="4">
                  <c:v>2</c:v>
                </c:pt>
                <c:pt idx="5">
                  <c:v>7</c:v>
                </c:pt>
                <c:pt idx="6">
                  <c:v>14</c:v>
                </c:pt>
              </c:numCache>
            </c:numRef>
          </c:val>
        </c:ser>
        <c:dLbls>
          <c:showVal val="1"/>
        </c:dLbls>
        <c:firstSliceAng val="0"/>
      </c:pieChart>
    </c:plotArea>
    <c:legend>
      <c:legendPos val="r"/>
    </c:legend>
    <c:plotVisOnly val="1"/>
    <c:dispBlanksAs val="zero"/>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PSPC!$B$81</c:f>
              <c:strCache>
                <c:ptCount val="1"/>
                <c:pt idx="0">
                  <c:v>2012-2013</c:v>
                </c:pt>
              </c:strCache>
            </c:strRef>
          </c:tx>
          <c:spPr>
            <a:solidFill>
              <a:schemeClr val="bg1">
                <a:lumMod val="65000"/>
              </a:schemeClr>
            </a:solidFill>
          </c:spPr>
          <c:cat>
            <c:strRef>
              <c:f>PSPC!$A$82:$A$83</c:f>
              <c:strCache>
                <c:ptCount val="2"/>
                <c:pt idx="0">
                  <c:v>All disclosed </c:v>
                </c:pt>
                <c:pt idx="1">
                  <c:v>Disclosed in part </c:v>
                </c:pt>
              </c:strCache>
            </c:strRef>
          </c:cat>
          <c:val>
            <c:numRef>
              <c:f>PSPC!$B$82:$B$83</c:f>
              <c:numCache>
                <c:formatCode>0.00%</c:formatCode>
                <c:ptCount val="2"/>
                <c:pt idx="0">
                  <c:v>0.1586715867158672</c:v>
                </c:pt>
                <c:pt idx="1">
                  <c:v>0.5461254612546127</c:v>
                </c:pt>
              </c:numCache>
            </c:numRef>
          </c:val>
        </c:ser>
        <c:ser>
          <c:idx val="1"/>
          <c:order val="1"/>
          <c:tx>
            <c:strRef>
              <c:f>PSPC!$C$81</c:f>
              <c:strCache>
                <c:ptCount val="1"/>
                <c:pt idx="0">
                  <c:v>2013-2014</c:v>
                </c:pt>
              </c:strCache>
            </c:strRef>
          </c:tx>
          <c:spPr>
            <a:solidFill>
              <a:srgbClr val="FFC000"/>
            </a:solidFill>
          </c:spPr>
          <c:cat>
            <c:strRef>
              <c:f>PSPC!$A$82:$A$83</c:f>
              <c:strCache>
                <c:ptCount val="2"/>
                <c:pt idx="0">
                  <c:v>All disclosed </c:v>
                </c:pt>
                <c:pt idx="1">
                  <c:v>Disclosed in part </c:v>
                </c:pt>
              </c:strCache>
            </c:strRef>
          </c:cat>
          <c:val>
            <c:numRef>
              <c:f>PSPC!$C$82:$C$83</c:f>
              <c:numCache>
                <c:formatCode>0.00%</c:formatCode>
                <c:ptCount val="2"/>
                <c:pt idx="0">
                  <c:v>0.17874396135265699</c:v>
                </c:pt>
                <c:pt idx="1">
                  <c:v>0.55314009661835972</c:v>
                </c:pt>
              </c:numCache>
            </c:numRef>
          </c:val>
        </c:ser>
        <c:ser>
          <c:idx val="2"/>
          <c:order val="2"/>
          <c:tx>
            <c:strRef>
              <c:f>PSPC!$D$81</c:f>
              <c:strCache>
                <c:ptCount val="1"/>
                <c:pt idx="0">
                  <c:v>2014-2015</c:v>
                </c:pt>
              </c:strCache>
            </c:strRef>
          </c:tx>
          <c:spPr>
            <a:solidFill>
              <a:schemeClr val="accent5">
                <a:lumMod val="75000"/>
              </a:schemeClr>
            </a:solidFill>
          </c:spPr>
          <c:cat>
            <c:strRef>
              <c:f>PSPC!$A$82:$A$83</c:f>
              <c:strCache>
                <c:ptCount val="2"/>
                <c:pt idx="0">
                  <c:v>All disclosed </c:v>
                </c:pt>
                <c:pt idx="1">
                  <c:v>Disclosed in part </c:v>
                </c:pt>
              </c:strCache>
            </c:strRef>
          </c:cat>
          <c:val>
            <c:numRef>
              <c:f>PSPC!$D$82:$D$83</c:f>
              <c:numCache>
                <c:formatCode>0.00%</c:formatCode>
                <c:ptCount val="2"/>
                <c:pt idx="0">
                  <c:v>0.20904836193447787</c:v>
                </c:pt>
                <c:pt idx="1">
                  <c:v>0.54446177847113886</c:v>
                </c:pt>
              </c:numCache>
            </c:numRef>
          </c:val>
        </c:ser>
        <c:dLbls/>
        <c:axId val="245637120"/>
        <c:axId val="245638656"/>
      </c:barChart>
      <c:catAx>
        <c:axId val="245637120"/>
        <c:scaling>
          <c:orientation val="minMax"/>
        </c:scaling>
        <c:axPos val="b"/>
        <c:numFmt formatCode="General" sourceLinked="0"/>
        <c:tickLblPos val="nextTo"/>
        <c:crossAx val="245638656"/>
        <c:crosses val="autoZero"/>
        <c:auto val="1"/>
        <c:lblAlgn val="ctr"/>
        <c:lblOffset val="100"/>
      </c:catAx>
      <c:valAx>
        <c:axId val="245638656"/>
        <c:scaling>
          <c:orientation val="minMax"/>
        </c:scaling>
        <c:axPos val="l"/>
        <c:majorGridlines/>
        <c:numFmt formatCode="0%" sourceLinked="0"/>
        <c:tickLblPos val="nextTo"/>
        <c:crossAx val="245637120"/>
        <c:crosses val="autoZero"/>
        <c:crossBetween val="between"/>
      </c:valAx>
    </c:plotArea>
    <c:legend>
      <c:legendPos val="b"/>
    </c:legend>
    <c:plotVisOnly val="1"/>
    <c:dispBlanksAs val="gap"/>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NRCAN!$B$2</c:f>
              <c:strCache>
                <c:ptCount val="1"/>
                <c:pt idx="0">
                  <c:v>2012-2013</c:v>
                </c:pt>
              </c:strCache>
            </c:strRef>
          </c:tx>
          <c:spPr>
            <a:solidFill>
              <a:schemeClr val="bg1">
                <a:lumMod val="65000"/>
              </a:schemeClr>
            </a:solidFill>
          </c:spPr>
          <c:cat>
            <c:strRef>
              <c:f>NRCAN!$A$3:$A$8</c:f>
              <c:strCache>
                <c:ptCount val="6"/>
                <c:pt idx="0">
                  <c:v>30 days or less</c:v>
                </c:pt>
                <c:pt idx="1">
                  <c:v>31-60 days</c:v>
                </c:pt>
                <c:pt idx="2">
                  <c:v>61-120 days</c:v>
                </c:pt>
                <c:pt idx="3">
                  <c:v>121-180 days</c:v>
                </c:pt>
                <c:pt idx="4">
                  <c:v>181-365 days</c:v>
                </c:pt>
                <c:pt idx="5">
                  <c:v>More than 365 days</c:v>
                </c:pt>
              </c:strCache>
            </c:strRef>
          </c:cat>
          <c:val>
            <c:numRef>
              <c:f>NRCAN!$B$3:$B$8</c:f>
              <c:numCache>
                <c:formatCode>0.00%</c:formatCode>
                <c:ptCount val="6"/>
                <c:pt idx="0">
                  <c:v>0.60262008733624461</c:v>
                </c:pt>
                <c:pt idx="1">
                  <c:v>8.8791848617176497E-2</c:v>
                </c:pt>
                <c:pt idx="2">
                  <c:v>0.15720524017467297</c:v>
                </c:pt>
                <c:pt idx="3">
                  <c:v>9.1703056768559041E-2</c:v>
                </c:pt>
                <c:pt idx="4">
                  <c:v>5.2401746724890827E-2</c:v>
                </c:pt>
                <c:pt idx="5">
                  <c:v>7.2780203784570726E-3</c:v>
                </c:pt>
              </c:numCache>
            </c:numRef>
          </c:val>
        </c:ser>
        <c:ser>
          <c:idx val="1"/>
          <c:order val="1"/>
          <c:tx>
            <c:strRef>
              <c:f>NRCAN!$C$2</c:f>
              <c:strCache>
                <c:ptCount val="1"/>
                <c:pt idx="0">
                  <c:v>2013-2014</c:v>
                </c:pt>
              </c:strCache>
            </c:strRef>
          </c:tx>
          <c:spPr>
            <a:solidFill>
              <a:srgbClr val="FFC000"/>
            </a:solidFill>
          </c:spPr>
          <c:cat>
            <c:strRef>
              <c:f>NRCAN!$A$3:$A$8</c:f>
              <c:strCache>
                <c:ptCount val="6"/>
                <c:pt idx="0">
                  <c:v>30 days or less</c:v>
                </c:pt>
                <c:pt idx="1">
                  <c:v>31-60 days</c:v>
                </c:pt>
                <c:pt idx="2">
                  <c:v>61-120 days</c:v>
                </c:pt>
                <c:pt idx="3">
                  <c:v>121-180 days</c:v>
                </c:pt>
                <c:pt idx="4">
                  <c:v>181-365 days</c:v>
                </c:pt>
                <c:pt idx="5">
                  <c:v>More than 365 days</c:v>
                </c:pt>
              </c:strCache>
            </c:strRef>
          </c:cat>
          <c:val>
            <c:numRef>
              <c:f>NRCAN!$C$3:$C$8</c:f>
              <c:numCache>
                <c:formatCode>0.00%</c:formatCode>
                <c:ptCount val="6"/>
                <c:pt idx="0">
                  <c:v>0.4978102189781029</c:v>
                </c:pt>
                <c:pt idx="1">
                  <c:v>0.10072992700729948</c:v>
                </c:pt>
                <c:pt idx="2">
                  <c:v>0.23211678832116794</c:v>
                </c:pt>
                <c:pt idx="3">
                  <c:v>8.1751824817518234E-2</c:v>
                </c:pt>
                <c:pt idx="4">
                  <c:v>8.4671532846715331E-2</c:v>
                </c:pt>
                <c:pt idx="5">
                  <c:v>2.9197080291970797E-3</c:v>
                </c:pt>
              </c:numCache>
            </c:numRef>
          </c:val>
        </c:ser>
        <c:ser>
          <c:idx val="2"/>
          <c:order val="2"/>
          <c:tx>
            <c:strRef>
              <c:f>NRCAN!$D$2</c:f>
              <c:strCache>
                <c:ptCount val="1"/>
                <c:pt idx="0">
                  <c:v>2014-2015</c:v>
                </c:pt>
              </c:strCache>
            </c:strRef>
          </c:tx>
          <c:spPr>
            <a:solidFill>
              <a:schemeClr val="accent5">
                <a:lumMod val="75000"/>
              </a:schemeClr>
            </a:solidFill>
          </c:spPr>
          <c:cat>
            <c:strRef>
              <c:f>NRCAN!$A$3:$A$8</c:f>
              <c:strCache>
                <c:ptCount val="6"/>
                <c:pt idx="0">
                  <c:v>30 days or less</c:v>
                </c:pt>
                <c:pt idx="1">
                  <c:v>31-60 days</c:v>
                </c:pt>
                <c:pt idx="2">
                  <c:v>61-120 days</c:v>
                </c:pt>
                <c:pt idx="3">
                  <c:v>121-180 days</c:v>
                </c:pt>
                <c:pt idx="4">
                  <c:v>181-365 days</c:v>
                </c:pt>
                <c:pt idx="5">
                  <c:v>More than 365 days</c:v>
                </c:pt>
              </c:strCache>
            </c:strRef>
          </c:cat>
          <c:val>
            <c:numRef>
              <c:f>NRCAN!$D$3:$D$8</c:f>
              <c:numCache>
                <c:formatCode>0.00%</c:formatCode>
                <c:ptCount val="6"/>
                <c:pt idx="0">
                  <c:v>0.44292237442922444</c:v>
                </c:pt>
                <c:pt idx="1">
                  <c:v>0.13242009132420091</c:v>
                </c:pt>
                <c:pt idx="2">
                  <c:v>0.19634703196347067</c:v>
                </c:pt>
                <c:pt idx="3">
                  <c:v>0.10654490106544916</c:v>
                </c:pt>
                <c:pt idx="4">
                  <c:v>8.8280060882800743E-2</c:v>
                </c:pt>
                <c:pt idx="5">
                  <c:v>3.3485540334855401E-2</c:v>
                </c:pt>
              </c:numCache>
            </c:numRef>
          </c:val>
        </c:ser>
        <c:dLbls/>
        <c:axId val="245693824"/>
        <c:axId val="245699712"/>
      </c:barChart>
      <c:catAx>
        <c:axId val="245693824"/>
        <c:scaling>
          <c:orientation val="minMax"/>
        </c:scaling>
        <c:axPos val="b"/>
        <c:numFmt formatCode="General" sourceLinked="0"/>
        <c:tickLblPos val="nextTo"/>
        <c:crossAx val="245699712"/>
        <c:crosses val="autoZero"/>
        <c:auto val="1"/>
        <c:lblAlgn val="ctr"/>
        <c:lblOffset val="100"/>
      </c:catAx>
      <c:valAx>
        <c:axId val="245699712"/>
        <c:scaling>
          <c:orientation val="minMax"/>
        </c:scaling>
        <c:axPos val="l"/>
        <c:majorGridlines/>
        <c:numFmt formatCode="0%" sourceLinked="0"/>
        <c:tickLblPos val="nextTo"/>
        <c:crossAx val="245693824"/>
        <c:crosses val="autoZero"/>
        <c:crossBetween val="between"/>
      </c:valAx>
    </c:plotArea>
    <c:legend>
      <c:legendPos val="b"/>
    </c:legend>
    <c:plotVisOnly val="1"/>
    <c:dispBlanksAs val="gap"/>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NRCAN!$B$30</c:f>
              <c:strCache>
                <c:ptCount val="1"/>
                <c:pt idx="0">
                  <c:v>2012-2013</c:v>
                </c:pt>
              </c:strCache>
            </c:strRef>
          </c:tx>
          <c:spPr>
            <a:solidFill>
              <a:schemeClr val="bg1">
                <a:lumMod val="65000"/>
              </a:schemeClr>
            </a:solidFill>
          </c:spPr>
          <c:cat>
            <c:strRef>
              <c:f>NRCAN!$A$31:$A$36</c:f>
              <c:strCache>
                <c:ptCount val="6"/>
                <c:pt idx="0">
                  <c:v> 30 days or less</c:v>
                </c:pt>
                <c:pt idx="1">
                  <c:v>31-60 days</c:v>
                </c:pt>
                <c:pt idx="2">
                  <c:v>61-120 days </c:v>
                </c:pt>
                <c:pt idx="3">
                  <c:v>121-180 days </c:v>
                </c:pt>
                <c:pt idx="4">
                  <c:v>181-365 days </c:v>
                </c:pt>
                <c:pt idx="5">
                  <c:v>More than 365 days </c:v>
                </c:pt>
              </c:strCache>
            </c:strRef>
          </c:cat>
          <c:val>
            <c:numRef>
              <c:f>NRCAN!$B$31:$B$36</c:f>
              <c:numCache>
                <c:formatCode>0.00%</c:formatCode>
                <c:ptCount val="6"/>
                <c:pt idx="0">
                  <c:v>8.0000000000000043E-2</c:v>
                </c:pt>
                <c:pt idx="1">
                  <c:v>0.31333333333333335</c:v>
                </c:pt>
                <c:pt idx="2">
                  <c:v>0.42000000000000032</c:v>
                </c:pt>
                <c:pt idx="3">
                  <c:v>0.11333333333333333</c:v>
                </c:pt>
                <c:pt idx="4">
                  <c:v>6.0000000000000032E-2</c:v>
                </c:pt>
                <c:pt idx="5">
                  <c:v>1.3333333333333341E-2</c:v>
                </c:pt>
              </c:numCache>
            </c:numRef>
          </c:val>
        </c:ser>
        <c:ser>
          <c:idx val="1"/>
          <c:order val="1"/>
          <c:tx>
            <c:strRef>
              <c:f>NRCAN!$C$30</c:f>
              <c:strCache>
                <c:ptCount val="1"/>
                <c:pt idx="0">
                  <c:v>2013-2014</c:v>
                </c:pt>
              </c:strCache>
            </c:strRef>
          </c:tx>
          <c:spPr>
            <a:solidFill>
              <a:srgbClr val="FFC000"/>
            </a:solidFill>
          </c:spPr>
          <c:cat>
            <c:strRef>
              <c:f>NRCAN!$A$31:$A$36</c:f>
              <c:strCache>
                <c:ptCount val="6"/>
                <c:pt idx="0">
                  <c:v> 30 days or less</c:v>
                </c:pt>
                <c:pt idx="1">
                  <c:v>31-60 days</c:v>
                </c:pt>
                <c:pt idx="2">
                  <c:v>61-120 days </c:v>
                </c:pt>
                <c:pt idx="3">
                  <c:v>121-180 days </c:v>
                </c:pt>
                <c:pt idx="4">
                  <c:v>181-365 days </c:v>
                </c:pt>
                <c:pt idx="5">
                  <c:v>More than 365 days </c:v>
                </c:pt>
              </c:strCache>
            </c:strRef>
          </c:cat>
          <c:val>
            <c:numRef>
              <c:f>NRCAN!$C$31:$C$36</c:f>
              <c:numCache>
                <c:formatCode>0.00%</c:formatCode>
                <c:ptCount val="6"/>
                <c:pt idx="0">
                  <c:v>0.12359550561797752</c:v>
                </c:pt>
                <c:pt idx="1">
                  <c:v>0.15730337078651691</c:v>
                </c:pt>
                <c:pt idx="2">
                  <c:v>0.36235955056179775</c:v>
                </c:pt>
                <c:pt idx="3">
                  <c:v>0.11797752808988764</c:v>
                </c:pt>
                <c:pt idx="4">
                  <c:v>0.2387640449438205</c:v>
                </c:pt>
                <c:pt idx="5">
                  <c:v>0</c:v>
                </c:pt>
              </c:numCache>
            </c:numRef>
          </c:val>
        </c:ser>
        <c:ser>
          <c:idx val="2"/>
          <c:order val="2"/>
          <c:tx>
            <c:strRef>
              <c:f>NRCAN!$D$30</c:f>
              <c:strCache>
                <c:ptCount val="1"/>
                <c:pt idx="0">
                  <c:v>2014-2015</c:v>
                </c:pt>
              </c:strCache>
            </c:strRef>
          </c:tx>
          <c:spPr>
            <a:solidFill>
              <a:schemeClr val="accent5">
                <a:lumMod val="75000"/>
              </a:schemeClr>
            </a:solidFill>
          </c:spPr>
          <c:cat>
            <c:strRef>
              <c:f>NRCAN!$A$31:$A$36</c:f>
              <c:strCache>
                <c:ptCount val="6"/>
                <c:pt idx="0">
                  <c:v> 30 days or less</c:v>
                </c:pt>
                <c:pt idx="1">
                  <c:v>31-60 days</c:v>
                </c:pt>
                <c:pt idx="2">
                  <c:v>61-120 days </c:v>
                </c:pt>
                <c:pt idx="3">
                  <c:v>121-180 days </c:v>
                </c:pt>
                <c:pt idx="4">
                  <c:v>181-365 days </c:v>
                </c:pt>
                <c:pt idx="5">
                  <c:v>More than 365 days </c:v>
                </c:pt>
              </c:strCache>
            </c:strRef>
          </c:cat>
          <c:val>
            <c:numRef>
              <c:f>NRCAN!$D$31:$D$36</c:f>
              <c:numCache>
                <c:formatCode>0.00%</c:formatCode>
                <c:ptCount val="6"/>
                <c:pt idx="0">
                  <c:v>0.17061611374407584</c:v>
                </c:pt>
                <c:pt idx="1">
                  <c:v>0.20379146919431318</c:v>
                </c:pt>
                <c:pt idx="2">
                  <c:v>0.44075829383886311</c:v>
                </c:pt>
                <c:pt idx="3">
                  <c:v>0.10189573459715642</c:v>
                </c:pt>
                <c:pt idx="4">
                  <c:v>7.8199052132701424E-2</c:v>
                </c:pt>
                <c:pt idx="5">
                  <c:v>4.7393364928910182E-3</c:v>
                </c:pt>
              </c:numCache>
            </c:numRef>
          </c:val>
        </c:ser>
        <c:dLbls/>
        <c:axId val="245730304"/>
        <c:axId val="245744384"/>
      </c:barChart>
      <c:catAx>
        <c:axId val="245730304"/>
        <c:scaling>
          <c:orientation val="minMax"/>
        </c:scaling>
        <c:axPos val="b"/>
        <c:numFmt formatCode="General" sourceLinked="0"/>
        <c:tickLblPos val="nextTo"/>
        <c:crossAx val="245744384"/>
        <c:crosses val="autoZero"/>
        <c:auto val="1"/>
        <c:lblAlgn val="ctr"/>
        <c:lblOffset val="100"/>
      </c:catAx>
      <c:valAx>
        <c:axId val="245744384"/>
        <c:scaling>
          <c:orientation val="minMax"/>
        </c:scaling>
        <c:axPos val="l"/>
        <c:majorGridlines/>
        <c:numFmt formatCode="0%" sourceLinked="0"/>
        <c:tickLblPos val="nextTo"/>
        <c:crossAx val="245730304"/>
        <c:crosses val="autoZero"/>
        <c:crossBetween val="between"/>
      </c:valAx>
    </c:plotArea>
    <c:legend>
      <c:legendPos val="b"/>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NRCAN!$B$55</c:f>
              <c:strCache>
                <c:ptCount val="1"/>
                <c:pt idx="0">
                  <c:v>2014-2015</c:v>
                </c:pt>
              </c:strCache>
            </c:strRef>
          </c:tx>
          <c:dPt>
            <c:idx val="0"/>
            <c:spPr>
              <a:solidFill>
                <a:schemeClr val="accent5">
                  <a:lumMod val="50000"/>
                </a:schemeClr>
              </a:solidFill>
            </c:spPr>
          </c:dPt>
          <c:dPt>
            <c:idx val="1"/>
            <c:spPr>
              <a:solidFill>
                <a:schemeClr val="accent6">
                  <a:lumMod val="50000"/>
                </a:schemeClr>
              </a:solidFill>
            </c:spPr>
          </c:dPt>
          <c:dPt>
            <c:idx val="2"/>
            <c:spPr>
              <a:solidFill>
                <a:schemeClr val="tx1">
                  <a:lumMod val="75000"/>
                  <a:lumOff val="25000"/>
                </a:schemeClr>
              </a:solidFill>
            </c:spPr>
          </c:dPt>
          <c:dPt>
            <c:idx val="3"/>
            <c:spPr>
              <a:solidFill>
                <a:schemeClr val="accent5">
                  <a:lumMod val="60000"/>
                  <a:lumOff val="40000"/>
                </a:schemeClr>
              </a:solidFill>
            </c:spPr>
          </c:dPt>
          <c:dPt>
            <c:idx val="4"/>
            <c:spPr>
              <a:solidFill>
                <a:schemeClr val="tx2">
                  <a:lumMod val="50000"/>
                </a:schemeClr>
              </a:solidFill>
            </c:spPr>
          </c:dPt>
          <c:dPt>
            <c:idx val="5"/>
            <c:spPr>
              <a:solidFill>
                <a:srgbClr val="FFC000"/>
              </a:solidFill>
              <a:ln>
                <a:solidFill>
                  <a:srgbClr val="FFC000"/>
                </a:solidFill>
              </a:ln>
            </c:spPr>
          </c:dPt>
          <c:dPt>
            <c:idx val="6"/>
            <c:spPr>
              <a:solidFill>
                <a:schemeClr val="bg2">
                  <a:lumMod val="50000"/>
                </a:schemeClr>
              </a:solidFill>
            </c:spPr>
          </c:dPt>
          <c:dLbls>
            <c:dLbl>
              <c:idx val="0"/>
              <c:layout>
                <c:manualLayout>
                  <c:x val="1.4936615370353044E-2"/>
                  <c:y val="1.5777157847807796E-2"/>
                </c:manualLayout>
              </c:layout>
              <c:showPercent val="1"/>
              <c:extLst>
                <c:ext xmlns:c15="http://schemas.microsoft.com/office/drawing/2012/chart" uri="{CE6537A1-D6FC-4f65-9D91-7224C49458BB}"/>
              </c:extLst>
            </c:dLbl>
            <c:dLbl>
              <c:idx val="1"/>
              <c:layout>
                <c:manualLayout>
                  <c:x val="3.0069547651414117E-3"/>
                  <c:y val="-9.5045352579732779E-3"/>
                </c:manualLayout>
              </c:layout>
              <c:showPercent val="1"/>
              <c:extLst>
                <c:ext xmlns:c15="http://schemas.microsoft.com/office/drawing/2012/chart" uri="{CE6537A1-D6FC-4f65-9D91-7224C49458BB}"/>
              </c:extLst>
            </c:dLbl>
            <c:dLbl>
              <c:idx val="2"/>
              <c:layout>
                <c:manualLayout>
                  <c:x val="4.2647803883496139E-3"/>
                  <c:y val="-8.7606748030251078E-4"/>
                </c:manualLayout>
              </c:layout>
              <c:showPercent val="1"/>
              <c:extLst>
                <c:ext xmlns:c15="http://schemas.microsoft.com/office/drawing/2012/chart" uri="{CE6537A1-D6FC-4f65-9D91-7224C49458BB}"/>
              </c:extLst>
            </c:dLbl>
            <c:dLbl>
              <c:idx val="3"/>
              <c:layout>
                <c:manualLayout>
                  <c:x val="1.6731245046278475E-3"/>
                  <c:y val="2.8931198570893253E-3"/>
                </c:manualLayout>
              </c:layout>
              <c:showPercent val="1"/>
              <c:extLst>
                <c:ext xmlns:c15="http://schemas.microsoft.com/office/drawing/2012/chart" uri="{CE6537A1-D6FC-4f65-9D91-7224C49458BB}"/>
              </c:extLst>
            </c:dLbl>
            <c:dLbl>
              <c:idx val="4"/>
              <c:layout>
                <c:manualLayout>
                  <c:x val="7.0565022904491475E-3"/>
                  <c:y val="1.1342764890378804E-2"/>
                </c:manualLayout>
              </c:layout>
              <c:tx>
                <c:rich>
                  <a:bodyPr/>
                  <a:lstStyle/>
                  <a:p>
                    <a:pPr>
                      <a:defRPr>
                        <a:solidFill>
                          <a:schemeClr val="bg1"/>
                        </a:solidFill>
                      </a:defRPr>
                    </a:pPr>
                    <a:r>
                      <a:rPr lang="en-US">
                        <a:solidFill>
                          <a:sysClr val="windowText" lastClr="000000"/>
                        </a:solidFill>
                      </a:rPr>
                      <a:t>14%</a:t>
                    </a:r>
                  </a:p>
                </c:rich>
              </c:tx>
              <c:numFmt formatCode="0.00%" sourceLinked="0"/>
              <c:spPr/>
              <c:showPercent val="1"/>
              <c:extLst>
                <c:ext xmlns:c15="http://schemas.microsoft.com/office/drawing/2012/chart" uri="{CE6537A1-D6FC-4f65-9D91-7224C49458BB}"/>
              </c:extLst>
            </c:dLbl>
            <c:dLbl>
              <c:idx val="5"/>
              <c:layout>
                <c:manualLayout>
                  <c:x val="1.4635153030906451E-3"/>
                  <c:y val="-4.6463936100858807E-3"/>
                </c:manualLayout>
              </c:layout>
              <c:showPercent val="1"/>
              <c:extLst>
                <c:ext xmlns:c15="http://schemas.microsoft.com/office/drawing/2012/chart" uri="{CE6537A1-D6FC-4f65-9D91-7224C49458BB}"/>
              </c:extLst>
            </c:dLbl>
            <c:dLbl>
              <c:idx val="6"/>
              <c:layout>
                <c:manualLayout>
                  <c:x val="1.7036626907379827E-2"/>
                  <c:y val="-1.8500361896646503E-3"/>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NRCAN!$A$56:$A$62</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NRCAN!$B$56:$B$62</c:f>
              <c:numCache>
                <c:formatCode>General</c:formatCode>
                <c:ptCount val="7"/>
                <c:pt idx="0">
                  <c:v>13</c:v>
                </c:pt>
                <c:pt idx="1">
                  <c:v>8</c:v>
                </c:pt>
                <c:pt idx="2">
                  <c:v>5</c:v>
                </c:pt>
                <c:pt idx="3">
                  <c:v>6</c:v>
                </c:pt>
                <c:pt idx="4">
                  <c:v>8</c:v>
                </c:pt>
                <c:pt idx="5">
                  <c:v>12</c:v>
                </c:pt>
                <c:pt idx="6">
                  <c:v>7</c:v>
                </c:pt>
              </c:numCache>
            </c:numRef>
          </c:val>
        </c:ser>
        <c:dLbls/>
        <c:firstSliceAng val="0"/>
      </c:pieChart>
    </c:plotArea>
    <c:legend>
      <c:legendPos val="r"/>
    </c:legend>
    <c:plotVisOnly val="1"/>
    <c:dispBlanksAs val="zero"/>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NRCAN!$B$84</c:f>
              <c:strCache>
                <c:ptCount val="1"/>
                <c:pt idx="0">
                  <c:v>2012-2013</c:v>
                </c:pt>
              </c:strCache>
            </c:strRef>
          </c:tx>
          <c:spPr>
            <a:solidFill>
              <a:schemeClr val="bg1">
                <a:lumMod val="65000"/>
              </a:schemeClr>
            </a:solidFill>
          </c:spPr>
          <c:cat>
            <c:strRef>
              <c:f>NRCAN!$A$85:$A$86</c:f>
              <c:strCache>
                <c:ptCount val="2"/>
                <c:pt idx="0">
                  <c:v>All disclosed </c:v>
                </c:pt>
                <c:pt idx="1">
                  <c:v>Disclosed in part </c:v>
                </c:pt>
              </c:strCache>
            </c:strRef>
          </c:cat>
          <c:val>
            <c:numRef>
              <c:f>NRCAN!$B$85:$B$86</c:f>
              <c:numCache>
                <c:formatCode>0.00%</c:formatCode>
                <c:ptCount val="2"/>
                <c:pt idx="0">
                  <c:v>0.2692867540029113</c:v>
                </c:pt>
                <c:pt idx="1">
                  <c:v>0.48180494905385857</c:v>
                </c:pt>
              </c:numCache>
            </c:numRef>
          </c:val>
        </c:ser>
        <c:ser>
          <c:idx val="1"/>
          <c:order val="1"/>
          <c:tx>
            <c:strRef>
              <c:f>NRCAN!$C$84</c:f>
              <c:strCache>
                <c:ptCount val="1"/>
                <c:pt idx="0">
                  <c:v>2013-2014</c:v>
                </c:pt>
              </c:strCache>
            </c:strRef>
          </c:tx>
          <c:spPr>
            <a:solidFill>
              <a:srgbClr val="FFC000"/>
            </a:solidFill>
          </c:spPr>
          <c:cat>
            <c:strRef>
              <c:f>NRCAN!$A$85:$A$86</c:f>
              <c:strCache>
                <c:ptCount val="2"/>
                <c:pt idx="0">
                  <c:v>All disclosed </c:v>
                </c:pt>
                <c:pt idx="1">
                  <c:v>Disclosed in part </c:v>
                </c:pt>
              </c:strCache>
            </c:strRef>
          </c:cat>
          <c:val>
            <c:numRef>
              <c:f>NRCAN!$C$85:$C$86</c:f>
              <c:numCache>
                <c:formatCode>0.00%</c:formatCode>
                <c:ptCount val="2"/>
                <c:pt idx="0">
                  <c:v>0.20875912408759154</c:v>
                </c:pt>
                <c:pt idx="1">
                  <c:v>0.48905109489051096</c:v>
                </c:pt>
              </c:numCache>
            </c:numRef>
          </c:val>
        </c:ser>
        <c:ser>
          <c:idx val="2"/>
          <c:order val="2"/>
          <c:tx>
            <c:strRef>
              <c:f>NRCAN!$D$84</c:f>
              <c:strCache>
                <c:ptCount val="1"/>
                <c:pt idx="0">
                  <c:v>2014-2015</c:v>
                </c:pt>
              </c:strCache>
            </c:strRef>
          </c:tx>
          <c:spPr>
            <a:solidFill>
              <a:schemeClr val="accent5">
                <a:lumMod val="75000"/>
              </a:schemeClr>
            </a:solidFill>
          </c:spPr>
          <c:cat>
            <c:strRef>
              <c:f>NRCAN!$A$85:$A$86</c:f>
              <c:strCache>
                <c:ptCount val="2"/>
                <c:pt idx="0">
                  <c:v>All disclosed </c:v>
                </c:pt>
                <c:pt idx="1">
                  <c:v>Disclosed in part </c:v>
                </c:pt>
              </c:strCache>
            </c:strRef>
          </c:cat>
          <c:val>
            <c:numRef>
              <c:f>NRCAN!$D$85:$D$86</c:f>
              <c:numCache>
                <c:formatCode>0.00%</c:formatCode>
                <c:ptCount val="2"/>
                <c:pt idx="0">
                  <c:v>0.23287671232876681</c:v>
                </c:pt>
                <c:pt idx="1">
                  <c:v>0.54337899543379065</c:v>
                </c:pt>
              </c:numCache>
            </c:numRef>
          </c:val>
        </c:ser>
        <c:dLbls/>
        <c:axId val="245910912"/>
        <c:axId val="245924992"/>
      </c:barChart>
      <c:catAx>
        <c:axId val="245910912"/>
        <c:scaling>
          <c:orientation val="minMax"/>
        </c:scaling>
        <c:axPos val="b"/>
        <c:numFmt formatCode="General" sourceLinked="0"/>
        <c:tickLblPos val="nextTo"/>
        <c:crossAx val="245924992"/>
        <c:crosses val="autoZero"/>
        <c:auto val="1"/>
        <c:lblAlgn val="ctr"/>
        <c:lblOffset val="100"/>
      </c:catAx>
      <c:valAx>
        <c:axId val="245924992"/>
        <c:scaling>
          <c:orientation val="minMax"/>
        </c:scaling>
        <c:axPos val="l"/>
        <c:majorGridlines/>
        <c:numFmt formatCode="0%" sourceLinked="0"/>
        <c:tickLblPos val="nextTo"/>
        <c:crossAx val="245910912"/>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CBSA!$B$28</c:f>
              <c:strCache>
                <c:ptCount val="1"/>
                <c:pt idx="0">
                  <c:v>2012-2013</c:v>
                </c:pt>
              </c:strCache>
            </c:strRef>
          </c:tx>
          <c:spPr>
            <a:solidFill>
              <a:schemeClr val="bg1">
                <a:lumMod val="65000"/>
              </a:schemeClr>
            </a:solidFill>
          </c:spPr>
          <c:cat>
            <c:strRef>
              <c:f>CBSA!$A$29:$A$34</c:f>
              <c:strCache>
                <c:ptCount val="6"/>
                <c:pt idx="0">
                  <c:v> 30 days or less</c:v>
                </c:pt>
                <c:pt idx="1">
                  <c:v>31-60 days</c:v>
                </c:pt>
                <c:pt idx="2">
                  <c:v>61-120 days </c:v>
                </c:pt>
                <c:pt idx="3">
                  <c:v>121-180 days </c:v>
                </c:pt>
                <c:pt idx="4">
                  <c:v>181-365 days </c:v>
                </c:pt>
                <c:pt idx="5">
                  <c:v>More than 365 days </c:v>
                </c:pt>
              </c:strCache>
            </c:strRef>
          </c:cat>
          <c:val>
            <c:numRef>
              <c:f>CBSA!$B$29:$B$34</c:f>
              <c:numCache>
                <c:formatCode>0.00%</c:formatCode>
                <c:ptCount val="6"/>
                <c:pt idx="0">
                  <c:v>0.53680000000000005</c:v>
                </c:pt>
                <c:pt idx="1">
                  <c:v>0.25979999999999998</c:v>
                </c:pt>
                <c:pt idx="2">
                  <c:v>0.1716</c:v>
                </c:pt>
                <c:pt idx="3">
                  <c:v>2.4500000000000001E-2</c:v>
                </c:pt>
                <c:pt idx="4">
                  <c:v>2.5000000000000092E-3</c:v>
                </c:pt>
                <c:pt idx="5">
                  <c:v>4.9000000000000241E-3</c:v>
                </c:pt>
              </c:numCache>
            </c:numRef>
          </c:val>
        </c:ser>
        <c:ser>
          <c:idx val="1"/>
          <c:order val="1"/>
          <c:tx>
            <c:strRef>
              <c:f>CBSA!$C$28</c:f>
              <c:strCache>
                <c:ptCount val="1"/>
                <c:pt idx="0">
                  <c:v>2013-2014</c:v>
                </c:pt>
              </c:strCache>
            </c:strRef>
          </c:tx>
          <c:spPr>
            <a:solidFill>
              <a:srgbClr val="FFC000"/>
            </a:solidFill>
          </c:spPr>
          <c:cat>
            <c:strRef>
              <c:f>CBSA!$A$29:$A$34</c:f>
              <c:strCache>
                <c:ptCount val="6"/>
                <c:pt idx="0">
                  <c:v> 30 days or less</c:v>
                </c:pt>
                <c:pt idx="1">
                  <c:v>31-60 days</c:v>
                </c:pt>
                <c:pt idx="2">
                  <c:v>61-120 days </c:v>
                </c:pt>
                <c:pt idx="3">
                  <c:v>121-180 days </c:v>
                </c:pt>
                <c:pt idx="4">
                  <c:v>181-365 days </c:v>
                </c:pt>
                <c:pt idx="5">
                  <c:v>More than 365 days </c:v>
                </c:pt>
              </c:strCache>
            </c:strRef>
          </c:cat>
          <c:val>
            <c:numRef>
              <c:f>CBSA!$C$29:$C$34</c:f>
              <c:numCache>
                <c:formatCode>0.00%</c:formatCode>
                <c:ptCount val="6"/>
                <c:pt idx="0">
                  <c:v>0.41540000000000032</c:v>
                </c:pt>
                <c:pt idx="1">
                  <c:v>0.3255000000000014</c:v>
                </c:pt>
                <c:pt idx="2">
                  <c:v>0.18420000000000064</c:v>
                </c:pt>
                <c:pt idx="3">
                  <c:v>6.2100000000000023E-2</c:v>
                </c:pt>
                <c:pt idx="4">
                  <c:v>1.0699999999999998E-2</c:v>
                </c:pt>
                <c:pt idx="5">
                  <c:v>2.0999999999999999E-3</c:v>
                </c:pt>
              </c:numCache>
            </c:numRef>
          </c:val>
        </c:ser>
        <c:ser>
          <c:idx val="2"/>
          <c:order val="2"/>
          <c:tx>
            <c:strRef>
              <c:f>CBSA!$D$28</c:f>
              <c:strCache>
                <c:ptCount val="1"/>
                <c:pt idx="0">
                  <c:v>2014-2015</c:v>
                </c:pt>
              </c:strCache>
            </c:strRef>
          </c:tx>
          <c:spPr>
            <a:solidFill>
              <a:schemeClr val="accent5">
                <a:lumMod val="75000"/>
              </a:schemeClr>
            </a:solidFill>
          </c:spPr>
          <c:cat>
            <c:strRef>
              <c:f>CBSA!$A$29:$A$34</c:f>
              <c:strCache>
                <c:ptCount val="6"/>
                <c:pt idx="0">
                  <c:v> 30 days or less</c:v>
                </c:pt>
                <c:pt idx="1">
                  <c:v>31-60 days</c:v>
                </c:pt>
                <c:pt idx="2">
                  <c:v>61-120 days </c:v>
                </c:pt>
                <c:pt idx="3">
                  <c:v>121-180 days </c:v>
                </c:pt>
                <c:pt idx="4">
                  <c:v>181-365 days </c:v>
                </c:pt>
                <c:pt idx="5">
                  <c:v>More than 365 days </c:v>
                </c:pt>
              </c:strCache>
            </c:strRef>
          </c:cat>
          <c:val>
            <c:numRef>
              <c:f>CBSA!$D$29:$D$34</c:f>
              <c:numCache>
                <c:formatCode>0.00%</c:formatCode>
                <c:ptCount val="6"/>
                <c:pt idx="0">
                  <c:v>0.45840000000000031</c:v>
                </c:pt>
                <c:pt idx="1">
                  <c:v>0.25169999999999998</c:v>
                </c:pt>
                <c:pt idx="2">
                  <c:v>0.1326</c:v>
                </c:pt>
                <c:pt idx="3">
                  <c:v>9.4400000000000026E-2</c:v>
                </c:pt>
                <c:pt idx="4">
                  <c:v>4.9400000000000034E-2</c:v>
                </c:pt>
                <c:pt idx="5">
                  <c:v>1.3500000000000057E-2</c:v>
                </c:pt>
              </c:numCache>
            </c:numRef>
          </c:val>
        </c:ser>
        <c:dLbls/>
        <c:axId val="217752320"/>
        <c:axId val="217753856"/>
      </c:barChart>
      <c:catAx>
        <c:axId val="217752320"/>
        <c:scaling>
          <c:orientation val="minMax"/>
        </c:scaling>
        <c:axPos val="b"/>
        <c:numFmt formatCode="General" sourceLinked="0"/>
        <c:tickLblPos val="nextTo"/>
        <c:crossAx val="217753856"/>
        <c:crosses val="autoZero"/>
        <c:auto val="1"/>
        <c:lblAlgn val="ctr"/>
        <c:lblOffset val="100"/>
      </c:catAx>
      <c:valAx>
        <c:axId val="217753856"/>
        <c:scaling>
          <c:orientation val="minMax"/>
        </c:scaling>
        <c:axPos val="l"/>
        <c:majorGridlines/>
        <c:numFmt formatCode="0%" sourceLinked="0"/>
        <c:tickLblPos val="nextTo"/>
        <c:crossAx val="217752320"/>
        <c:crosses val="autoZero"/>
        <c:crossBetween val="between"/>
      </c:valAx>
    </c:plotArea>
    <c:legend>
      <c:legendPos val="b"/>
    </c:legend>
    <c:plotVisOnly val="1"/>
    <c:dispBlanksAs val="gap"/>
  </c:chart>
  <c:txPr>
    <a:bodyPr/>
    <a:lstStyle/>
    <a:p>
      <a:pPr>
        <a:defRPr sz="1100"/>
      </a:pPr>
      <a:endParaRPr lang="en-US"/>
    </a:p>
  </c:tx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PCO!$B$2</c:f>
              <c:strCache>
                <c:ptCount val="1"/>
                <c:pt idx="0">
                  <c:v>2012-2013</c:v>
                </c:pt>
              </c:strCache>
            </c:strRef>
          </c:tx>
          <c:spPr>
            <a:solidFill>
              <a:schemeClr val="bg1">
                <a:lumMod val="65000"/>
              </a:schemeClr>
            </a:solidFill>
          </c:spPr>
          <c:cat>
            <c:strRef>
              <c:f>PCO!$A$3:$A$8</c:f>
              <c:strCache>
                <c:ptCount val="6"/>
                <c:pt idx="0">
                  <c:v>30 days or less</c:v>
                </c:pt>
                <c:pt idx="1">
                  <c:v>31-60 days</c:v>
                </c:pt>
                <c:pt idx="2">
                  <c:v>61-120 days</c:v>
                </c:pt>
                <c:pt idx="3">
                  <c:v>121-180 days</c:v>
                </c:pt>
                <c:pt idx="4">
                  <c:v>181-365 days</c:v>
                </c:pt>
                <c:pt idx="5">
                  <c:v>More than 365 days</c:v>
                </c:pt>
              </c:strCache>
            </c:strRef>
          </c:cat>
          <c:val>
            <c:numRef>
              <c:f>PCO!$B$3:$B$8</c:f>
              <c:numCache>
                <c:formatCode>0.00%</c:formatCode>
                <c:ptCount val="6"/>
                <c:pt idx="0">
                  <c:v>0.58068965517241433</c:v>
                </c:pt>
                <c:pt idx="1">
                  <c:v>0.11448275862068991</c:v>
                </c:pt>
                <c:pt idx="2">
                  <c:v>0.19862068965517238</c:v>
                </c:pt>
                <c:pt idx="3">
                  <c:v>6.8965517241379323E-2</c:v>
                </c:pt>
                <c:pt idx="4">
                  <c:v>2.4827586206896547E-2</c:v>
                </c:pt>
                <c:pt idx="5">
                  <c:v>1.2413793103448274E-2</c:v>
                </c:pt>
              </c:numCache>
            </c:numRef>
          </c:val>
        </c:ser>
        <c:ser>
          <c:idx val="1"/>
          <c:order val="1"/>
          <c:tx>
            <c:strRef>
              <c:f>PCO!$C$2</c:f>
              <c:strCache>
                <c:ptCount val="1"/>
                <c:pt idx="0">
                  <c:v>2013-2014</c:v>
                </c:pt>
              </c:strCache>
            </c:strRef>
          </c:tx>
          <c:spPr>
            <a:solidFill>
              <a:srgbClr val="FFC000"/>
            </a:solidFill>
          </c:spPr>
          <c:cat>
            <c:strRef>
              <c:f>PCO!$A$3:$A$8</c:f>
              <c:strCache>
                <c:ptCount val="6"/>
                <c:pt idx="0">
                  <c:v>30 days or less</c:v>
                </c:pt>
                <c:pt idx="1">
                  <c:v>31-60 days</c:v>
                </c:pt>
                <c:pt idx="2">
                  <c:v>61-120 days</c:v>
                </c:pt>
                <c:pt idx="3">
                  <c:v>121-180 days</c:v>
                </c:pt>
                <c:pt idx="4">
                  <c:v>181-365 days</c:v>
                </c:pt>
                <c:pt idx="5">
                  <c:v>More than 365 days</c:v>
                </c:pt>
              </c:strCache>
            </c:strRef>
          </c:cat>
          <c:val>
            <c:numRef>
              <c:f>PCO!$C$3:$C$8</c:f>
              <c:numCache>
                <c:formatCode>0.00%</c:formatCode>
                <c:ptCount val="6"/>
                <c:pt idx="0">
                  <c:v>0.50518134715025786</c:v>
                </c:pt>
                <c:pt idx="1">
                  <c:v>0.10880829015544041</c:v>
                </c:pt>
                <c:pt idx="2">
                  <c:v>0.23834196891191708</c:v>
                </c:pt>
                <c:pt idx="3">
                  <c:v>6.9948186528497408E-2</c:v>
                </c:pt>
                <c:pt idx="4">
                  <c:v>6.3471502590673565E-2</c:v>
                </c:pt>
                <c:pt idx="5">
                  <c:v>1.4248704663212481E-2</c:v>
                </c:pt>
              </c:numCache>
            </c:numRef>
          </c:val>
        </c:ser>
        <c:ser>
          <c:idx val="2"/>
          <c:order val="2"/>
          <c:tx>
            <c:strRef>
              <c:f>PCO!$D$2</c:f>
              <c:strCache>
                <c:ptCount val="1"/>
                <c:pt idx="0">
                  <c:v>2014-2015</c:v>
                </c:pt>
              </c:strCache>
            </c:strRef>
          </c:tx>
          <c:spPr>
            <a:solidFill>
              <a:schemeClr val="accent5">
                <a:lumMod val="75000"/>
              </a:schemeClr>
            </a:solidFill>
          </c:spPr>
          <c:cat>
            <c:strRef>
              <c:f>PCO!$A$3:$A$8</c:f>
              <c:strCache>
                <c:ptCount val="6"/>
                <c:pt idx="0">
                  <c:v>30 days or less</c:v>
                </c:pt>
                <c:pt idx="1">
                  <c:v>31-60 days</c:v>
                </c:pt>
                <c:pt idx="2">
                  <c:v>61-120 days</c:v>
                </c:pt>
                <c:pt idx="3">
                  <c:v>121-180 days</c:v>
                </c:pt>
                <c:pt idx="4">
                  <c:v>181-365 days</c:v>
                </c:pt>
                <c:pt idx="5">
                  <c:v>More than 365 days</c:v>
                </c:pt>
              </c:strCache>
            </c:strRef>
          </c:cat>
          <c:val>
            <c:numRef>
              <c:f>PCO!$D$3:$D$8</c:f>
              <c:numCache>
                <c:formatCode>0.00%</c:formatCode>
                <c:ptCount val="6"/>
                <c:pt idx="0">
                  <c:v>0.39143279172821377</c:v>
                </c:pt>
                <c:pt idx="1">
                  <c:v>0.11521418020679484</c:v>
                </c:pt>
                <c:pt idx="2">
                  <c:v>0.29246676514032593</c:v>
                </c:pt>
                <c:pt idx="3">
                  <c:v>0.10782865583456425</c:v>
                </c:pt>
                <c:pt idx="4">
                  <c:v>6.4992614475627958E-2</c:v>
                </c:pt>
                <c:pt idx="5">
                  <c:v>2.8064992614475683E-2</c:v>
                </c:pt>
              </c:numCache>
            </c:numRef>
          </c:val>
        </c:ser>
        <c:dLbls/>
        <c:axId val="245947392"/>
        <c:axId val="245965568"/>
      </c:barChart>
      <c:catAx>
        <c:axId val="245947392"/>
        <c:scaling>
          <c:orientation val="minMax"/>
        </c:scaling>
        <c:axPos val="b"/>
        <c:numFmt formatCode="General" sourceLinked="0"/>
        <c:tickLblPos val="nextTo"/>
        <c:crossAx val="245965568"/>
        <c:crosses val="autoZero"/>
        <c:auto val="1"/>
        <c:lblAlgn val="ctr"/>
        <c:lblOffset val="100"/>
      </c:catAx>
      <c:valAx>
        <c:axId val="245965568"/>
        <c:scaling>
          <c:orientation val="minMax"/>
        </c:scaling>
        <c:axPos val="l"/>
        <c:majorGridlines/>
        <c:numFmt formatCode="0%" sourceLinked="0"/>
        <c:tickLblPos val="nextTo"/>
        <c:crossAx val="245947392"/>
        <c:crosses val="autoZero"/>
        <c:crossBetween val="between"/>
      </c:valAx>
    </c:plotArea>
    <c:legend>
      <c:legendPos val="b"/>
    </c:legend>
    <c:plotVisOnly val="1"/>
    <c:dispBlanksAs val="gap"/>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PCO!$B$29</c:f>
              <c:strCache>
                <c:ptCount val="1"/>
                <c:pt idx="0">
                  <c:v>2012-2013</c:v>
                </c:pt>
              </c:strCache>
            </c:strRef>
          </c:tx>
          <c:spPr>
            <a:solidFill>
              <a:schemeClr val="bg1">
                <a:lumMod val="65000"/>
              </a:schemeClr>
            </a:solidFill>
          </c:spPr>
          <c:cat>
            <c:strRef>
              <c:f>PCO!$A$30:$A$35</c:f>
              <c:strCache>
                <c:ptCount val="6"/>
                <c:pt idx="0">
                  <c:v> 30 days or less</c:v>
                </c:pt>
                <c:pt idx="1">
                  <c:v>31-60 days</c:v>
                </c:pt>
                <c:pt idx="2">
                  <c:v>61-120 days </c:v>
                </c:pt>
                <c:pt idx="3">
                  <c:v>121-180 days </c:v>
                </c:pt>
                <c:pt idx="4">
                  <c:v>181-365 days </c:v>
                </c:pt>
                <c:pt idx="5">
                  <c:v>More than 365 days </c:v>
                </c:pt>
              </c:strCache>
            </c:strRef>
          </c:cat>
          <c:val>
            <c:numRef>
              <c:f>PCO!$B$30:$B$35</c:f>
              <c:numCache>
                <c:formatCode>0.00%</c:formatCode>
                <c:ptCount val="6"/>
                <c:pt idx="0">
                  <c:v>0.24464831804281378</c:v>
                </c:pt>
                <c:pt idx="1">
                  <c:v>0.25993883792048983</c:v>
                </c:pt>
                <c:pt idx="2">
                  <c:v>0.40672782874617724</c:v>
                </c:pt>
                <c:pt idx="3">
                  <c:v>5.8103975535168197E-2</c:v>
                </c:pt>
                <c:pt idx="4">
                  <c:v>9.1743119266055051E-3</c:v>
                </c:pt>
                <c:pt idx="5">
                  <c:v>2.1406727828746225E-2</c:v>
                </c:pt>
              </c:numCache>
            </c:numRef>
          </c:val>
        </c:ser>
        <c:ser>
          <c:idx val="1"/>
          <c:order val="1"/>
          <c:tx>
            <c:strRef>
              <c:f>PCO!$C$29</c:f>
              <c:strCache>
                <c:ptCount val="1"/>
                <c:pt idx="0">
                  <c:v>2013-2014</c:v>
                </c:pt>
              </c:strCache>
            </c:strRef>
          </c:tx>
          <c:spPr>
            <a:solidFill>
              <a:srgbClr val="FFC000"/>
            </a:solidFill>
          </c:spPr>
          <c:cat>
            <c:strRef>
              <c:f>PCO!$A$30:$A$35</c:f>
              <c:strCache>
                <c:ptCount val="6"/>
                <c:pt idx="0">
                  <c:v> 30 days or less</c:v>
                </c:pt>
                <c:pt idx="1">
                  <c:v>31-60 days</c:v>
                </c:pt>
                <c:pt idx="2">
                  <c:v>61-120 days </c:v>
                </c:pt>
                <c:pt idx="3">
                  <c:v>121-180 days </c:v>
                </c:pt>
                <c:pt idx="4">
                  <c:v>181-365 days </c:v>
                </c:pt>
                <c:pt idx="5">
                  <c:v>More than 365 days </c:v>
                </c:pt>
              </c:strCache>
            </c:strRef>
          </c:cat>
          <c:val>
            <c:numRef>
              <c:f>PCO!$C$30:$C$35</c:f>
              <c:numCache>
                <c:formatCode>0.00%</c:formatCode>
                <c:ptCount val="6"/>
                <c:pt idx="0">
                  <c:v>0.14583333333333368</c:v>
                </c:pt>
                <c:pt idx="1">
                  <c:v>0.31250000000000056</c:v>
                </c:pt>
                <c:pt idx="2">
                  <c:v>0.39583333333333331</c:v>
                </c:pt>
                <c:pt idx="3">
                  <c:v>0.11574074074074094</c:v>
                </c:pt>
                <c:pt idx="4">
                  <c:v>2.5462962962962982E-2</c:v>
                </c:pt>
                <c:pt idx="5">
                  <c:v>4.6296296296296424E-3</c:v>
                </c:pt>
              </c:numCache>
            </c:numRef>
          </c:val>
        </c:ser>
        <c:ser>
          <c:idx val="2"/>
          <c:order val="2"/>
          <c:tx>
            <c:strRef>
              <c:f>PCO!$D$29</c:f>
              <c:strCache>
                <c:ptCount val="1"/>
                <c:pt idx="0">
                  <c:v>2014-2015</c:v>
                </c:pt>
              </c:strCache>
            </c:strRef>
          </c:tx>
          <c:spPr>
            <a:solidFill>
              <a:schemeClr val="accent5">
                <a:lumMod val="75000"/>
              </a:schemeClr>
            </a:solidFill>
          </c:spPr>
          <c:cat>
            <c:strRef>
              <c:f>PCO!$A$30:$A$35</c:f>
              <c:strCache>
                <c:ptCount val="6"/>
                <c:pt idx="0">
                  <c:v> 30 days or less</c:v>
                </c:pt>
                <c:pt idx="1">
                  <c:v>31-60 days</c:v>
                </c:pt>
                <c:pt idx="2">
                  <c:v>61-120 days </c:v>
                </c:pt>
                <c:pt idx="3">
                  <c:v>121-180 days </c:v>
                </c:pt>
                <c:pt idx="4">
                  <c:v>181-365 days </c:v>
                </c:pt>
                <c:pt idx="5">
                  <c:v>More than 365 days </c:v>
                </c:pt>
              </c:strCache>
            </c:strRef>
          </c:cat>
          <c:val>
            <c:numRef>
              <c:f>PCO!$D$30:$D$35</c:f>
              <c:numCache>
                <c:formatCode>0.00%</c:formatCode>
                <c:ptCount val="6"/>
                <c:pt idx="0">
                  <c:v>0.18300653594771241</c:v>
                </c:pt>
                <c:pt idx="1">
                  <c:v>0.20043572984749508</c:v>
                </c:pt>
                <c:pt idx="2">
                  <c:v>0.52723311546840967</c:v>
                </c:pt>
                <c:pt idx="3">
                  <c:v>4.1394335511982565E-2</c:v>
                </c:pt>
                <c:pt idx="4">
                  <c:v>1.9607843137254902E-2</c:v>
                </c:pt>
                <c:pt idx="5">
                  <c:v>2.8322440087145972E-2</c:v>
                </c:pt>
              </c:numCache>
            </c:numRef>
          </c:val>
        </c:ser>
        <c:dLbls/>
        <c:axId val="245992064"/>
        <c:axId val="246010240"/>
      </c:barChart>
      <c:catAx>
        <c:axId val="245992064"/>
        <c:scaling>
          <c:orientation val="minMax"/>
        </c:scaling>
        <c:axPos val="b"/>
        <c:numFmt formatCode="General" sourceLinked="0"/>
        <c:tickLblPos val="nextTo"/>
        <c:crossAx val="246010240"/>
        <c:crosses val="autoZero"/>
        <c:auto val="1"/>
        <c:lblAlgn val="ctr"/>
        <c:lblOffset val="100"/>
      </c:catAx>
      <c:valAx>
        <c:axId val="246010240"/>
        <c:scaling>
          <c:orientation val="minMax"/>
        </c:scaling>
        <c:axPos val="l"/>
        <c:majorGridlines/>
        <c:numFmt formatCode="0%" sourceLinked="0"/>
        <c:tickLblPos val="nextTo"/>
        <c:crossAx val="245992064"/>
        <c:crosses val="autoZero"/>
        <c:crossBetween val="between"/>
      </c:valAx>
    </c:plotArea>
    <c:legend>
      <c:legendPos val="b"/>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PCO!$B$55</c:f>
              <c:strCache>
                <c:ptCount val="1"/>
                <c:pt idx="0">
                  <c:v>2014-2015</c:v>
                </c:pt>
              </c:strCache>
            </c:strRef>
          </c:tx>
          <c:dPt>
            <c:idx val="0"/>
            <c:spPr>
              <a:solidFill>
                <a:schemeClr val="accent5">
                  <a:lumMod val="75000"/>
                </a:schemeClr>
              </a:solidFill>
            </c:spPr>
          </c:dPt>
          <c:dPt>
            <c:idx val="1"/>
            <c:spPr>
              <a:solidFill>
                <a:schemeClr val="accent5">
                  <a:lumMod val="60000"/>
                  <a:lumOff val="40000"/>
                </a:schemeClr>
              </a:solidFill>
            </c:spPr>
          </c:dPt>
          <c:dPt>
            <c:idx val="2"/>
            <c:spPr>
              <a:solidFill>
                <a:schemeClr val="tx1">
                  <a:lumMod val="65000"/>
                  <a:lumOff val="35000"/>
                </a:schemeClr>
              </a:solidFill>
            </c:spPr>
          </c:dPt>
          <c:dPt>
            <c:idx val="3"/>
            <c:spPr>
              <a:solidFill>
                <a:srgbClr val="FFC000"/>
              </a:solidFill>
            </c:spPr>
          </c:dPt>
          <c:dPt>
            <c:idx val="4"/>
            <c:spPr>
              <a:solidFill>
                <a:schemeClr val="tx2">
                  <a:lumMod val="75000"/>
                </a:schemeClr>
              </a:solidFill>
            </c:spPr>
          </c:dPt>
          <c:dLbls>
            <c:dLbl>
              <c:idx val="0"/>
              <c:layout>
                <c:manualLayout>
                  <c:x val="4.5220868158949871E-2"/>
                  <c:y val="7.4323321377900986E-2"/>
                </c:manualLayout>
              </c:layout>
              <c:showPercent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1.1433253504534594E-2"/>
                  <c:y val="9.4120289191593747E-3"/>
                </c:manualLayout>
              </c:layout>
              <c:showPercent val="1"/>
              <c:extLst>
                <c:ext xmlns:c15="http://schemas.microsoft.com/office/drawing/2012/chart" uri="{CE6537A1-D6FC-4f65-9D91-7224C49458BB}"/>
              </c:extLst>
            </c:dLbl>
            <c:dLbl>
              <c:idx val="3"/>
              <c:layout>
                <c:manualLayout>
                  <c:x val="-0.10959795407668435"/>
                  <c:y val="-1.4042549515854577E-2"/>
                </c:manualLayout>
              </c:layout>
              <c:showPercent val="1"/>
              <c:extLst>
                <c:ext xmlns:c15="http://schemas.microsoft.com/office/drawing/2012/chart" uri="{CE6537A1-D6FC-4f65-9D91-7224C49458BB}"/>
              </c:extLst>
            </c:dLbl>
            <c:dLbl>
              <c:idx val="4"/>
              <c:layout>
                <c:manualLayout>
                  <c:x val="-1.3128322928756063E-2"/>
                  <c:y val="-1.2527489613115551E-2"/>
                </c:manualLayout>
              </c:layout>
              <c:showPercent val="1"/>
              <c:extLst>
                <c:ext xmlns:c15="http://schemas.microsoft.com/office/drawing/2012/chart" uri="{CE6537A1-D6FC-4f65-9D91-7224C49458BB}"/>
              </c:extLst>
            </c:dLbl>
            <c:dLbl>
              <c:idx val="5"/>
              <c:layout>
                <c:manualLayout>
                  <c:x val="1.0942459695327868E-2"/>
                  <c:y val="-3.6826839191161864E-2"/>
                </c:manualLayout>
              </c:layout>
              <c:showPercent val="1"/>
              <c:extLst>
                <c:ext xmlns:c15="http://schemas.microsoft.com/office/drawing/2012/chart" uri="{CE6537A1-D6FC-4f65-9D91-7224C49458BB}"/>
              </c:extLst>
            </c:dLbl>
            <c:dLbl>
              <c:idx val="6"/>
              <c:layout>
                <c:manualLayout>
                  <c:x val="-2.0031252389244306E-2"/>
                  <c:y val="1.9690596090558087E-2"/>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PCO!$A$56:$A$62</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PCO!$B$56:$B$62</c:f>
              <c:numCache>
                <c:formatCode>General</c:formatCode>
                <c:ptCount val="7"/>
                <c:pt idx="0">
                  <c:v>8</c:v>
                </c:pt>
                <c:pt idx="1">
                  <c:v>0</c:v>
                </c:pt>
                <c:pt idx="2">
                  <c:v>2</c:v>
                </c:pt>
                <c:pt idx="3">
                  <c:v>12</c:v>
                </c:pt>
                <c:pt idx="4">
                  <c:v>2</c:v>
                </c:pt>
                <c:pt idx="5">
                  <c:v>4</c:v>
                </c:pt>
                <c:pt idx="6">
                  <c:v>4</c:v>
                </c:pt>
              </c:numCache>
            </c:numRef>
          </c:val>
        </c:ser>
        <c:dLbls/>
        <c:firstSliceAng val="0"/>
      </c:pieChart>
    </c:plotArea>
    <c:legend>
      <c:legendPos val="r"/>
    </c:legend>
    <c:plotVisOnly val="1"/>
    <c:dispBlanksAs val="zero"/>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PCO!$B$82</c:f>
              <c:strCache>
                <c:ptCount val="1"/>
                <c:pt idx="0">
                  <c:v>2012-2013</c:v>
                </c:pt>
              </c:strCache>
            </c:strRef>
          </c:tx>
          <c:spPr>
            <a:solidFill>
              <a:schemeClr val="bg1">
                <a:lumMod val="65000"/>
              </a:schemeClr>
            </a:solidFill>
          </c:spPr>
          <c:cat>
            <c:strRef>
              <c:f>PCO!$A$83:$A$84</c:f>
              <c:strCache>
                <c:ptCount val="2"/>
                <c:pt idx="0">
                  <c:v>All disclosed </c:v>
                </c:pt>
                <c:pt idx="1">
                  <c:v>Disclosed in part </c:v>
                </c:pt>
              </c:strCache>
            </c:strRef>
          </c:cat>
          <c:val>
            <c:numRef>
              <c:f>PCO!$B$83:$B$84</c:f>
              <c:numCache>
                <c:formatCode>0.00%</c:formatCode>
                <c:ptCount val="2"/>
                <c:pt idx="0">
                  <c:v>4.8275862068965336E-2</c:v>
                </c:pt>
                <c:pt idx="1">
                  <c:v>0.42344827586207018</c:v>
                </c:pt>
              </c:numCache>
            </c:numRef>
          </c:val>
        </c:ser>
        <c:ser>
          <c:idx val="1"/>
          <c:order val="1"/>
          <c:tx>
            <c:strRef>
              <c:f>PCO!$C$82</c:f>
              <c:strCache>
                <c:ptCount val="1"/>
                <c:pt idx="0">
                  <c:v>2013-2014</c:v>
                </c:pt>
              </c:strCache>
            </c:strRef>
          </c:tx>
          <c:spPr>
            <a:solidFill>
              <a:srgbClr val="FFC000"/>
            </a:solidFill>
          </c:spPr>
          <c:cat>
            <c:strRef>
              <c:f>PCO!$A$83:$A$84</c:f>
              <c:strCache>
                <c:ptCount val="2"/>
                <c:pt idx="0">
                  <c:v>All disclosed </c:v>
                </c:pt>
                <c:pt idx="1">
                  <c:v>Disclosed in part </c:v>
                </c:pt>
              </c:strCache>
            </c:strRef>
          </c:cat>
          <c:val>
            <c:numRef>
              <c:f>PCO!$C$83:$C$84</c:f>
              <c:numCache>
                <c:formatCode>0.00%</c:formatCode>
                <c:ptCount val="2"/>
                <c:pt idx="0">
                  <c:v>2.072538860103627E-2</c:v>
                </c:pt>
                <c:pt idx="1">
                  <c:v>0.53367875647668572</c:v>
                </c:pt>
              </c:numCache>
            </c:numRef>
          </c:val>
        </c:ser>
        <c:ser>
          <c:idx val="2"/>
          <c:order val="2"/>
          <c:tx>
            <c:strRef>
              <c:f>PCO!$D$82</c:f>
              <c:strCache>
                <c:ptCount val="1"/>
                <c:pt idx="0">
                  <c:v>2014-2015</c:v>
                </c:pt>
              </c:strCache>
            </c:strRef>
          </c:tx>
          <c:spPr>
            <a:solidFill>
              <a:schemeClr val="accent5">
                <a:lumMod val="75000"/>
              </a:schemeClr>
            </a:solidFill>
          </c:spPr>
          <c:cat>
            <c:strRef>
              <c:f>PCO!$A$83:$A$84</c:f>
              <c:strCache>
                <c:ptCount val="2"/>
                <c:pt idx="0">
                  <c:v>All disclosed </c:v>
                </c:pt>
                <c:pt idx="1">
                  <c:v>Disclosed in part </c:v>
                </c:pt>
              </c:strCache>
            </c:strRef>
          </c:cat>
          <c:val>
            <c:numRef>
              <c:f>PCO!$D$83:$D$84</c:f>
              <c:numCache>
                <c:formatCode>0.00%</c:formatCode>
                <c:ptCount val="2"/>
                <c:pt idx="0">
                  <c:v>4.5790251107828847E-2</c:v>
                </c:pt>
                <c:pt idx="1">
                  <c:v>0.58493353028064865</c:v>
                </c:pt>
              </c:numCache>
            </c:numRef>
          </c:val>
        </c:ser>
        <c:dLbls/>
        <c:axId val="246077312"/>
        <c:axId val="246078848"/>
      </c:barChart>
      <c:catAx>
        <c:axId val="246077312"/>
        <c:scaling>
          <c:orientation val="minMax"/>
        </c:scaling>
        <c:axPos val="b"/>
        <c:numFmt formatCode="General" sourceLinked="0"/>
        <c:tickLblPos val="nextTo"/>
        <c:crossAx val="246078848"/>
        <c:crosses val="autoZero"/>
        <c:auto val="1"/>
        <c:lblAlgn val="ctr"/>
        <c:lblOffset val="100"/>
      </c:catAx>
      <c:valAx>
        <c:axId val="246078848"/>
        <c:scaling>
          <c:orientation val="minMax"/>
        </c:scaling>
        <c:axPos val="l"/>
        <c:majorGridlines/>
        <c:numFmt formatCode="0%" sourceLinked="0"/>
        <c:tickLblPos val="nextTo"/>
        <c:crossAx val="246077312"/>
        <c:crosses val="autoZero"/>
        <c:crossBetween val="between"/>
      </c:valAx>
    </c:plotArea>
    <c:legend>
      <c:legendPos val="b"/>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CSC!$B$2</c:f>
              <c:strCache>
                <c:ptCount val="1"/>
                <c:pt idx="0">
                  <c:v>2012-2013</c:v>
                </c:pt>
              </c:strCache>
            </c:strRef>
          </c:tx>
          <c:spPr>
            <a:solidFill>
              <a:schemeClr val="bg1">
                <a:lumMod val="65000"/>
              </a:schemeClr>
            </a:solidFill>
          </c:spPr>
          <c:cat>
            <c:strRef>
              <c:f>CSC!$A$3:$A$8</c:f>
              <c:strCache>
                <c:ptCount val="6"/>
                <c:pt idx="0">
                  <c:v>30 days or less</c:v>
                </c:pt>
                <c:pt idx="1">
                  <c:v>31-60 days</c:v>
                </c:pt>
                <c:pt idx="2">
                  <c:v>61-120 days</c:v>
                </c:pt>
                <c:pt idx="3">
                  <c:v>121-180 days</c:v>
                </c:pt>
                <c:pt idx="4">
                  <c:v>181-365 days</c:v>
                </c:pt>
                <c:pt idx="5">
                  <c:v>More than 365 days</c:v>
                </c:pt>
              </c:strCache>
            </c:strRef>
          </c:cat>
          <c:val>
            <c:numRef>
              <c:f>CSC!$B$3:$B$8</c:f>
              <c:numCache>
                <c:formatCode>0.00%</c:formatCode>
                <c:ptCount val="6"/>
                <c:pt idx="0">
                  <c:v>0.73314606741573063</c:v>
                </c:pt>
                <c:pt idx="1">
                  <c:v>0.125</c:v>
                </c:pt>
                <c:pt idx="2">
                  <c:v>8.1460674157303334E-2</c:v>
                </c:pt>
                <c:pt idx="3">
                  <c:v>2.949438202247201E-2</c:v>
                </c:pt>
                <c:pt idx="4">
                  <c:v>1.123595505617978E-2</c:v>
                </c:pt>
                <c:pt idx="5">
                  <c:v>1.9662921348314696E-2</c:v>
                </c:pt>
              </c:numCache>
            </c:numRef>
          </c:val>
        </c:ser>
        <c:ser>
          <c:idx val="1"/>
          <c:order val="1"/>
          <c:tx>
            <c:strRef>
              <c:f>CSC!$C$2</c:f>
              <c:strCache>
                <c:ptCount val="1"/>
                <c:pt idx="0">
                  <c:v>2013-2014</c:v>
                </c:pt>
              </c:strCache>
            </c:strRef>
          </c:tx>
          <c:spPr>
            <a:solidFill>
              <a:srgbClr val="FFC000"/>
            </a:solidFill>
          </c:spPr>
          <c:cat>
            <c:strRef>
              <c:f>CSC!$A$3:$A$8</c:f>
              <c:strCache>
                <c:ptCount val="6"/>
                <c:pt idx="0">
                  <c:v>30 days or less</c:v>
                </c:pt>
                <c:pt idx="1">
                  <c:v>31-60 days</c:v>
                </c:pt>
                <c:pt idx="2">
                  <c:v>61-120 days</c:v>
                </c:pt>
                <c:pt idx="3">
                  <c:v>121-180 days</c:v>
                </c:pt>
                <c:pt idx="4">
                  <c:v>181-365 days</c:v>
                </c:pt>
                <c:pt idx="5">
                  <c:v>More than 365 days</c:v>
                </c:pt>
              </c:strCache>
            </c:strRef>
          </c:cat>
          <c:val>
            <c:numRef>
              <c:f>CSC!$C$3:$C$8</c:f>
              <c:numCache>
                <c:formatCode>0.00%</c:formatCode>
                <c:ptCount val="6"/>
                <c:pt idx="0">
                  <c:v>0.66666666666666663</c:v>
                </c:pt>
                <c:pt idx="1">
                  <c:v>0.13106796116504901</c:v>
                </c:pt>
                <c:pt idx="2">
                  <c:v>0.11326860841423986</c:v>
                </c:pt>
                <c:pt idx="3">
                  <c:v>4.6925566343042069E-2</c:v>
                </c:pt>
                <c:pt idx="4">
                  <c:v>2.2653721682847971E-2</c:v>
                </c:pt>
                <c:pt idx="5">
                  <c:v>1.9417475728155404E-2</c:v>
                </c:pt>
              </c:numCache>
            </c:numRef>
          </c:val>
        </c:ser>
        <c:ser>
          <c:idx val="2"/>
          <c:order val="2"/>
          <c:tx>
            <c:strRef>
              <c:f>CSC!$D$2</c:f>
              <c:strCache>
                <c:ptCount val="1"/>
                <c:pt idx="0">
                  <c:v>2014-2015</c:v>
                </c:pt>
              </c:strCache>
            </c:strRef>
          </c:tx>
          <c:spPr>
            <a:solidFill>
              <a:schemeClr val="accent5">
                <a:lumMod val="75000"/>
              </a:schemeClr>
            </a:solidFill>
          </c:spPr>
          <c:cat>
            <c:strRef>
              <c:f>CSC!$A$3:$A$8</c:f>
              <c:strCache>
                <c:ptCount val="6"/>
                <c:pt idx="0">
                  <c:v>30 days or less</c:v>
                </c:pt>
                <c:pt idx="1">
                  <c:v>31-60 days</c:v>
                </c:pt>
                <c:pt idx="2">
                  <c:v>61-120 days</c:v>
                </c:pt>
                <c:pt idx="3">
                  <c:v>121-180 days</c:v>
                </c:pt>
                <c:pt idx="4">
                  <c:v>181-365 days</c:v>
                </c:pt>
                <c:pt idx="5">
                  <c:v>More than 365 days</c:v>
                </c:pt>
              </c:strCache>
            </c:strRef>
          </c:cat>
          <c:val>
            <c:numRef>
              <c:f>CSC!$D$3:$D$8</c:f>
              <c:numCache>
                <c:formatCode>0.00%</c:formatCode>
                <c:ptCount val="6"/>
                <c:pt idx="0">
                  <c:v>0.59381044487427459</c:v>
                </c:pt>
                <c:pt idx="1">
                  <c:v>0.18181818181818246</c:v>
                </c:pt>
                <c:pt idx="2">
                  <c:v>0.13152804642166344</c:v>
                </c:pt>
                <c:pt idx="3">
                  <c:v>3.2882011605416005E-2</c:v>
                </c:pt>
                <c:pt idx="4">
                  <c:v>2.7079303675048488E-2</c:v>
                </c:pt>
                <c:pt idx="5">
                  <c:v>3.2882011605416005E-2</c:v>
                </c:pt>
              </c:numCache>
            </c:numRef>
          </c:val>
        </c:ser>
        <c:dLbls/>
        <c:axId val="246113408"/>
        <c:axId val="246114944"/>
      </c:barChart>
      <c:catAx>
        <c:axId val="246113408"/>
        <c:scaling>
          <c:orientation val="minMax"/>
        </c:scaling>
        <c:axPos val="b"/>
        <c:numFmt formatCode="General" sourceLinked="0"/>
        <c:tickLblPos val="nextTo"/>
        <c:crossAx val="246114944"/>
        <c:crosses val="autoZero"/>
        <c:auto val="1"/>
        <c:lblAlgn val="ctr"/>
        <c:lblOffset val="100"/>
      </c:catAx>
      <c:valAx>
        <c:axId val="246114944"/>
        <c:scaling>
          <c:orientation val="minMax"/>
        </c:scaling>
        <c:axPos val="l"/>
        <c:majorGridlines/>
        <c:numFmt formatCode="0%" sourceLinked="0"/>
        <c:tickLblPos val="nextTo"/>
        <c:crossAx val="246113408"/>
        <c:crosses val="autoZero"/>
        <c:crossBetween val="between"/>
      </c:valAx>
    </c:plotArea>
    <c:legend>
      <c:legendPos val="b"/>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CSC!$B$29</c:f>
              <c:strCache>
                <c:ptCount val="1"/>
                <c:pt idx="0">
                  <c:v>2012-2013</c:v>
                </c:pt>
              </c:strCache>
            </c:strRef>
          </c:tx>
          <c:spPr>
            <a:solidFill>
              <a:schemeClr val="bg1">
                <a:lumMod val="65000"/>
              </a:schemeClr>
            </a:solidFill>
          </c:spPr>
          <c:cat>
            <c:strRef>
              <c:f>CSC!$A$30:$A$35</c:f>
              <c:strCache>
                <c:ptCount val="6"/>
                <c:pt idx="0">
                  <c:v> 30 days or less</c:v>
                </c:pt>
                <c:pt idx="1">
                  <c:v>31-60 days</c:v>
                </c:pt>
                <c:pt idx="2">
                  <c:v>61-120 days </c:v>
                </c:pt>
                <c:pt idx="3">
                  <c:v>121-180 days </c:v>
                </c:pt>
                <c:pt idx="4">
                  <c:v>181-365 days </c:v>
                </c:pt>
                <c:pt idx="5">
                  <c:v>More than 365 days </c:v>
                </c:pt>
              </c:strCache>
            </c:strRef>
          </c:cat>
          <c:val>
            <c:numRef>
              <c:f>CSC!$B$30:$B$35</c:f>
              <c:numCache>
                <c:formatCode>0.00%</c:formatCode>
                <c:ptCount val="6"/>
                <c:pt idx="0">
                  <c:v>0.52229299363057502</c:v>
                </c:pt>
                <c:pt idx="1">
                  <c:v>0.22929936305732579</c:v>
                </c:pt>
                <c:pt idx="2">
                  <c:v>0.19108280254777071</c:v>
                </c:pt>
                <c:pt idx="3">
                  <c:v>5.0955414012739009E-2</c:v>
                </c:pt>
                <c:pt idx="4">
                  <c:v>6.3694267515923761E-3</c:v>
                </c:pt>
                <c:pt idx="5">
                  <c:v>0</c:v>
                </c:pt>
              </c:numCache>
            </c:numRef>
          </c:val>
        </c:ser>
        <c:ser>
          <c:idx val="1"/>
          <c:order val="1"/>
          <c:tx>
            <c:strRef>
              <c:f>CSC!$C$29</c:f>
              <c:strCache>
                <c:ptCount val="1"/>
                <c:pt idx="0">
                  <c:v>2013-2014</c:v>
                </c:pt>
              </c:strCache>
            </c:strRef>
          </c:tx>
          <c:spPr>
            <a:solidFill>
              <a:srgbClr val="FFC000"/>
            </a:solidFill>
          </c:spPr>
          <c:cat>
            <c:strRef>
              <c:f>CSC!$A$30:$A$35</c:f>
              <c:strCache>
                <c:ptCount val="6"/>
                <c:pt idx="0">
                  <c:v> 30 days or less</c:v>
                </c:pt>
                <c:pt idx="1">
                  <c:v>31-60 days</c:v>
                </c:pt>
                <c:pt idx="2">
                  <c:v>61-120 days </c:v>
                </c:pt>
                <c:pt idx="3">
                  <c:v>121-180 days </c:v>
                </c:pt>
                <c:pt idx="4">
                  <c:v>181-365 days </c:v>
                </c:pt>
                <c:pt idx="5">
                  <c:v>More than 365 days </c:v>
                </c:pt>
              </c:strCache>
            </c:strRef>
          </c:cat>
          <c:val>
            <c:numRef>
              <c:f>CSC!$C$30:$C$35</c:f>
              <c:numCache>
                <c:formatCode>0.00%</c:formatCode>
                <c:ptCount val="6"/>
                <c:pt idx="0">
                  <c:v>0.3298969072164965</c:v>
                </c:pt>
                <c:pt idx="1">
                  <c:v>0.29381443298969251</c:v>
                </c:pt>
                <c:pt idx="2">
                  <c:v>0.32474226804123718</c:v>
                </c:pt>
                <c:pt idx="3">
                  <c:v>2.5773195876288658E-2</c:v>
                </c:pt>
                <c:pt idx="4">
                  <c:v>2.0618556701030927E-2</c:v>
                </c:pt>
                <c:pt idx="5">
                  <c:v>5.1546391752577319E-3</c:v>
                </c:pt>
              </c:numCache>
            </c:numRef>
          </c:val>
        </c:ser>
        <c:ser>
          <c:idx val="2"/>
          <c:order val="2"/>
          <c:tx>
            <c:strRef>
              <c:f>CSC!$D$29</c:f>
              <c:strCache>
                <c:ptCount val="1"/>
                <c:pt idx="0">
                  <c:v>2014-2015</c:v>
                </c:pt>
              </c:strCache>
            </c:strRef>
          </c:tx>
          <c:spPr>
            <a:solidFill>
              <a:schemeClr val="accent5">
                <a:lumMod val="75000"/>
              </a:schemeClr>
            </a:solidFill>
          </c:spPr>
          <c:cat>
            <c:strRef>
              <c:f>CSC!$A$30:$A$35</c:f>
              <c:strCache>
                <c:ptCount val="6"/>
                <c:pt idx="0">
                  <c:v> 30 days or less</c:v>
                </c:pt>
                <c:pt idx="1">
                  <c:v>31-60 days</c:v>
                </c:pt>
                <c:pt idx="2">
                  <c:v>61-120 days </c:v>
                </c:pt>
                <c:pt idx="3">
                  <c:v>121-180 days </c:v>
                </c:pt>
                <c:pt idx="4">
                  <c:v>181-365 days </c:v>
                </c:pt>
                <c:pt idx="5">
                  <c:v>More than 365 days </c:v>
                </c:pt>
              </c:strCache>
            </c:strRef>
          </c:cat>
          <c:val>
            <c:numRef>
              <c:f>CSC!$D$30:$D$35</c:f>
              <c:numCache>
                <c:formatCode>0.00%</c:formatCode>
                <c:ptCount val="6"/>
                <c:pt idx="0">
                  <c:v>0.55813953488372092</c:v>
                </c:pt>
                <c:pt idx="1">
                  <c:v>0.23255813953488391</c:v>
                </c:pt>
                <c:pt idx="2">
                  <c:v>0.18604651162790739</c:v>
                </c:pt>
                <c:pt idx="3">
                  <c:v>1.7441860465116327E-2</c:v>
                </c:pt>
                <c:pt idx="4">
                  <c:v>5.8139534883721103E-3</c:v>
                </c:pt>
                <c:pt idx="5">
                  <c:v>0</c:v>
                </c:pt>
              </c:numCache>
            </c:numRef>
          </c:val>
        </c:ser>
        <c:dLbls/>
        <c:axId val="246170368"/>
        <c:axId val="246171904"/>
      </c:barChart>
      <c:catAx>
        <c:axId val="246170368"/>
        <c:scaling>
          <c:orientation val="minMax"/>
        </c:scaling>
        <c:axPos val="b"/>
        <c:numFmt formatCode="General" sourceLinked="0"/>
        <c:tickLblPos val="nextTo"/>
        <c:crossAx val="246171904"/>
        <c:crosses val="autoZero"/>
        <c:auto val="1"/>
        <c:lblAlgn val="ctr"/>
        <c:lblOffset val="100"/>
      </c:catAx>
      <c:valAx>
        <c:axId val="246171904"/>
        <c:scaling>
          <c:orientation val="minMax"/>
        </c:scaling>
        <c:axPos val="l"/>
        <c:majorGridlines/>
        <c:numFmt formatCode="0%" sourceLinked="0"/>
        <c:tickLblPos val="nextTo"/>
        <c:crossAx val="246170368"/>
        <c:crosses val="autoZero"/>
        <c:crossBetween val="between"/>
      </c:valAx>
    </c:plotArea>
    <c:legend>
      <c:legendPos val="b"/>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CSC!$B$54</c:f>
              <c:strCache>
                <c:ptCount val="1"/>
                <c:pt idx="0">
                  <c:v>2014-2015</c:v>
                </c:pt>
              </c:strCache>
            </c:strRef>
          </c:tx>
          <c:dPt>
            <c:idx val="0"/>
            <c:spPr>
              <a:solidFill>
                <a:schemeClr val="accent5">
                  <a:lumMod val="75000"/>
                </a:schemeClr>
              </a:solidFill>
            </c:spPr>
          </c:dPt>
          <c:dPt>
            <c:idx val="2"/>
            <c:spPr>
              <a:solidFill>
                <a:srgbClr val="FFC000"/>
              </a:solidFill>
            </c:spPr>
          </c:dPt>
          <c:dPt>
            <c:idx val="3"/>
            <c:spPr>
              <a:solidFill>
                <a:schemeClr val="tx2">
                  <a:lumMod val="50000"/>
                </a:schemeClr>
              </a:solidFill>
            </c:spPr>
          </c:dPt>
          <c:dPt>
            <c:idx val="4"/>
            <c:spPr>
              <a:solidFill>
                <a:schemeClr val="bg1">
                  <a:lumMod val="50000"/>
                </a:schemeClr>
              </a:solidFill>
            </c:spPr>
          </c:dPt>
          <c:dPt>
            <c:idx val="5"/>
            <c:spPr>
              <a:solidFill>
                <a:schemeClr val="accent6">
                  <a:lumMod val="50000"/>
                </a:schemeClr>
              </a:solidFill>
            </c:spPr>
          </c:dPt>
          <c:dPt>
            <c:idx val="6"/>
            <c:spPr>
              <a:solidFill>
                <a:schemeClr val="accent5">
                  <a:lumMod val="60000"/>
                  <a:lumOff val="40000"/>
                </a:schemeClr>
              </a:solidFill>
            </c:spPr>
          </c:dPt>
          <c:dLbls>
            <c:dLbl>
              <c:idx val="0"/>
              <c:layout>
                <c:manualLayout>
                  <c:x val="2.392012777733981E-2"/>
                  <c:y val="9.0336388091977651E-2"/>
                </c:manualLayout>
              </c:layout>
              <c:showPercent val="1"/>
              <c:extLst>
                <c:ext xmlns:c15="http://schemas.microsoft.com/office/drawing/2012/chart" uri="{CE6537A1-D6FC-4f65-9D91-7224C49458BB}"/>
              </c:extLst>
            </c:dLbl>
            <c:dLbl>
              <c:idx val="1"/>
              <c:layout>
                <c:manualLayout>
                  <c:x val="5.791829819738247E-3"/>
                  <c:y val="-3.1018729434741803E-2"/>
                </c:manualLayout>
              </c:layout>
              <c:showPercent val="1"/>
              <c:extLst>
                <c:ext xmlns:c15="http://schemas.microsoft.com/office/drawing/2012/chart" uri="{CE6537A1-D6FC-4f65-9D91-7224C49458BB}"/>
              </c:extLst>
            </c:dLbl>
            <c:dLbl>
              <c:idx val="2"/>
              <c:layout>
                <c:manualLayout>
                  <c:x val="-1.3068403623348039E-2"/>
                  <c:y val="-2.9109366318234308E-2"/>
                </c:manualLayout>
              </c:layout>
              <c:showPercent val="1"/>
              <c:extLst>
                <c:ext xmlns:c15="http://schemas.microsoft.com/office/drawing/2012/chart" uri="{CE6537A1-D6FC-4f65-9D91-7224C49458BB}"/>
              </c:extLst>
            </c:dLbl>
            <c:dLbl>
              <c:idx val="3"/>
              <c:layout>
                <c:manualLayout>
                  <c:x val="7.847045321521166E-3"/>
                  <c:y val="2.6981218537197749E-3"/>
                </c:manualLayout>
              </c:layout>
              <c:showPercent val="1"/>
              <c:extLst>
                <c:ext xmlns:c15="http://schemas.microsoft.com/office/drawing/2012/chart" uri="{CE6537A1-D6FC-4f65-9D91-7224C49458BB}"/>
              </c:extLst>
            </c:dLbl>
            <c:dLbl>
              <c:idx val="4"/>
              <c:layout>
                <c:manualLayout>
                  <c:x val="1.0149286893352187E-3"/>
                  <c:y val="4.4770813058509582E-3"/>
                </c:manualLayout>
              </c:layout>
              <c:showPercent val="1"/>
              <c:extLst>
                <c:ext xmlns:c15="http://schemas.microsoft.com/office/drawing/2012/chart" uri="{CE6537A1-D6FC-4f65-9D91-7224C49458BB}"/>
              </c:extLst>
            </c:dLbl>
            <c:dLbl>
              <c:idx val="5"/>
              <c:layout>
                <c:manualLayout>
                  <c:x val="-3.2895695829485796E-3"/>
                  <c:y val="5.2358238543321074E-3"/>
                </c:manualLayout>
              </c:layout>
              <c:showPercent val="1"/>
              <c:extLst>
                <c:ext xmlns:c15="http://schemas.microsoft.com/office/drawing/2012/chart" uri="{CE6537A1-D6FC-4f65-9D91-7224C49458BB}"/>
              </c:extLst>
            </c:dLbl>
            <c:dLbl>
              <c:idx val="6"/>
              <c:layout>
                <c:manualLayout>
                  <c:x val="1.4491908602424133E-2"/>
                  <c:y val="2.9702686315486154E-3"/>
                </c:manualLayout>
              </c:layout>
              <c:showPercent val="1"/>
              <c:extLst>
                <c:ext xmlns:c15="http://schemas.microsoft.com/office/drawing/2012/chart" uri="{CE6537A1-D6FC-4f65-9D91-7224C49458BB}"/>
              </c:extLst>
            </c:dLbl>
            <c:numFmt formatCode="0.00%" sourceLinked="0"/>
            <c:spPr>
              <a:noFill/>
              <a:ln>
                <a:noFill/>
              </a:ln>
              <a:effectLst/>
            </c:spPr>
            <c:showPercent val="1"/>
            <c:extLst>
              <c:ext xmlns:c15="http://schemas.microsoft.com/office/drawing/2012/chart" uri="{CE6537A1-D6FC-4f65-9D91-7224C49458BB}"/>
            </c:extLst>
          </c:dLbls>
          <c:cat>
            <c:strRef>
              <c:f>CSC!$A$55:$A$61</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CSC!$B$55:$B$61</c:f>
              <c:numCache>
                <c:formatCode>General</c:formatCode>
                <c:ptCount val="7"/>
                <c:pt idx="0">
                  <c:v>36</c:v>
                </c:pt>
                <c:pt idx="1">
                  <c:v>19</c:v>
                </c:pt>
                <c:pt idx="2">
                  <c:v>18</c:v>
                </c:pt>
                <c:pt idx="3">
                  <c:v>16</c:v>
                </c:pt>
                <c:pt idx="4">
                  <c:v>5</c:v>
                </c:pt>
                <c:pt idx="5">
                  <c:v>11</c:v>
                </c:pt>
                <c:pt idx="6">
                  <c:v>12</c:v>
                </c:pt>
              </c:numCache>
            </c:numRef>
          </c:val>
        </c:ser>
        <c:dLbls/>
        <c:firstSliceAng val="0"/>
      </c:pieChart>
    </c:plotArea>
    <c:legend>
      <c:legendPos val="r"/>
    </c:legend>
    <c:plotVisOnly val="1"/>
    <c:dispBlanksAs val="zero"/>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CSC!$B$81</c:f>
              <c:strCache>
                <c:ptCount val="1"/>
                <c:pt idx="0">
                  <c:v>2012-2013</c:v>
                </c:pt>
              </c:strCache>
            </c:strRef>
          </c:tx>
          <c:spPr>
            <a:solidFill>
              <a:schemeClr val="bg1">
                <a:lumMod val="65000"/>
              </a:schemeClr>
            </a:solidFill>
          </c:spPr>
          <c:cat>
            <c:strRef>
              <c:f>CSC!$A$82:$A$83</c:f>
              <c:strCache>
                <c:ptCount val="2"/>
                <c:pt idx="0">
                  <c:v>All disclosed </c:v>
                </c:pt>
                <c:pt idx="1">
                  <c:v>Disclosed in part </c:v>
                </c:pt>
              </c:strCache>
            </c:strRef>
          </c:cat>
          <c:val>
            <c:numRef>
              <c:f>CSC!$B$82:$B$83</c:f>
              <c:numCache>
                <c:formatCode>0.00%</c:formatCode>
                <c:ptCount val="2"/>
                <c:pt idx="0">
                  <c:v>0.25280898876404662</c:v>
                </c:pt>
                <c:pt idx="1">
                  <c:v>0.3609550561797753</c:v>
                </c:pt>
              </c:numCache>
            </c:numRef>
          </c:val>
        </c:ser>
        <c:ser>
          <c:idx val="1"/>
          <c:order val="1"/>
          <c:tx>
            <c:strRef>
              <c:f>CSC!$C$81</c:f>
              <c:strCache>
                <c:ptCount val="1"/>
                <c:pt idx="0">
                  <c:v>2013-2014</c:v>
                </c:pt>
              </c:strCache>
            </c:strRef>
          </c:tx>
          <c:spPr>
            <a:solidFill>
              <a:srgbClr val="FFC000"/>
            </a:solidFill>
          </c:spPr>
          <c:cat>
            <c:strRef>
              <c:f>CSC!$A$82:$A$83</c:f>
              <c:strCache>
                <c:ptCount val="2"/>
                <c:pt idx="0">
                  <c:v>All disclosed </c:v>
                </c:pt>
                <c:pt idx="1">
                  <c:v>Disclosed in part </c:v>
                </c:pt>
              </c:strCache>
            </c:strRef>
          </c:cat>
          <c:val>
            <c:numRef>
              <c:f>CSC!$C$82:$C$83</c:f>
              <c:numCache>
                <c:formatCode>0.00%</c:formatCode>
                <c:ptCount val="2"/>
                <c:pt idx="0">
                  <c:v>0.22330097087378617</c:v>
                </c:pt>
                <c:pt idx="1">
                  <c:v>0.36407766990291446</c:v>
                </c:pt>
              </c:numCache>
            </c:numRef>
          </c:val>
        </c:ser>
        <c:ser>
          <c:idx val="2"/>
          <c:order val="2"/>
          <c:tx>
            <c:strRef>
              <c:f>CSC!$D$81</c:f>
              <c:strCache>
                <c:ptCount val="1"/>
                <c:pt idx="0">
                  <c:v>2014-2015</c:v>
                </c:pt>
              </c:strCache>
            </c:strRef>
          </c:tx>
          <c:spPr>
            <a:solidFill>
              <a:schemeClr val="accent5">
                <a:lumMod val="75000"/>
              </a:schemeClr>
            </a:solidFill>
          </c:spPr>
          <c:cat>
            <c:strRef>
              <c:f>CSC!$A$82:$A$83</c:f>
              <c:strCache>
                <c:ptCount val="2"/>
                <c:pt idx="0">
                  <c:v>All disclosed </c:v>
                </c:pt>
                <c:pt idx="1">
                  <c:v>Disclosed in part </c:v>
                </c:pt>
              </c:strCache>
            </c:strRef>
          </c:cat>
          <c:val>
            <c:numRef>
              <c:f>CSC!$D$82:$D$83</c:f>
              <c:numCache>
                <c:formatCode>0.00%</c:formatCode>
                <c:ptCount val="2"/>
                <c:pt idx="0">
                  <c:v>0.23791102514506823</c:v>
                </c:pt>
                <c:pt idx="1">
                  <c:v>0.34235976789168415</c:v>
                </c:pt>
              </c:numCache>
            </c:numRef>
          </c:val>
        </c:ser>
        <c:dLbls/>
        <c:axId val="246256000"/>
        <c:axId val="246257536"/>
      </c:barChart>
      <c:catAx>
        <c:axId val="246256000"/>
        <c:scaling>
          <c:orientation val="minMax"/>
        </c:scaling>
        <c:axPos val="b"/>
        <c:numFmt formatCode="General" sourceLinked="0"/>
        <c:tickLblPos val="nextTo"/>
        <c:crossAx val="246257536"/>
        <c:crosses val="autoZero"/>
        <c:auto val="1"/>
        <c:lblAlgn val="ctr"/>
        <c:lblOffset val="100"/>
      </c:catAx>
      <c:valAx>
        <c:axId val="246257536"/>
        <c:scaling>
          <c:orientation val="minMax"/>
        </c:scaling>
        <c:axPos val="l"/>
        <c:majorGridlines/>
        <c:numFmt formatCode="0%" sourceLinked="0"/>
        <c:tickLblPos val="nextTo"/>
        <c:crossAx val="246256000"/>
        <c:crosses val="autoZero"/>
        <c:crossBetween val="between"/>
      </c:valAx>
    </c:plotArea>
    <c:legend>
      <c:legendPos val="b"/>
    </c:legend>
    <c:plotVisOnly val="1"/>
    <c:dispBlanksAs val="gap"/>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JUS!$B$2</c:f>
              <c:strCache>
                <c:ptCount val="1"/>
                <c:pt idx="0">
                  <c:v>2012-2013</c:v>
                </c:pt>
              </c:strCache>
            </c:strRef>
          </c:tx>
          <c:spPr>
            <a:solidFill>
              <a:schemeClr val="bg1">
                <a:lumMod val="65000"/>
              </a:schemeClr>
            </a:solidFill>
          </c:spPr>
          <c:cat>
            <c:strRef>
              <c:f>JUS!$A$3:$A$8</c:f>
              <c:strCache>
                <c:ptCount val="6"/>
                <c:pt idx="0">
                  <c:v>30 days or less</c:v>
                </c:pt>
                <c:pt idx="1">
                  <c:v>31-60 days</c:v>
                </c:pt>
                <c:pt idx="2">
                  <c:v>61-120 days</c:v>
                </c:pt>
                <c:pt idx="3">
                  <c:v>121-180 days</c:v>
                </c:pt>
                <c:pt idx="4">
                  <c:v>181-365 days</c:v>
                </c:pt>
                <c:pt idx="5">
                  <c:v>More than 365 days</c:v>
                </c:pt>
              </c:strCache>
            </c:strRef>
          </c:cat>
          <c:val>
            <c:numRef>
              <c:f>JUS!$B$3:$B$8</c:f>
              <c:numCache>
                <c:formatCode>0.00%</c:formatCode>
                <c:ptCount val="6"/>
                <c:pt idx="0">
                  <c:v>0.72136222910216541</c:v>
                </c:pt>
                <c:pt idx="1">
                  <c:v>6.1919504643962862E-2</c:v>
                </c:pt>
                <c:pt idx="2">
                  <c:v>6.5015479876161131E-2</c:v>
                </c:pt>
                <c:pt idx="3">
                  <c:v>3.7151702786377874E-2</c:v>
                </c:pt>
                <c:pt idx="4">
                  <c:v>5.8823529411764705E-2</c:v>
                </c:pt>
                <c:pt idx="5">
                  <c:v>5.5727554179566666E-2</c:v>
                </c:pt>
              </c:numCache>
            </c:numRef>
          </c:val>
        </c:ser>
        <c:ser>
          <c:idx val="1"/>
          <c:order val="1"/>
          <c:tx>
            <c:strRef>
              <c:f>JUS!$C$2</c:f>
              <c:strCache>
                <c:ptCount val="1"/>
                <c:pt idx="0">
                  <c:v>2013-2014</c:v>
                </c:pt>
              </c:strCache>
            </c:strRef>
          </c:tx>
          <c:spPr>
            <a:solidFill>
              <a:srgbClr val="FFC000"/>
            </a:solidFill>
          </c:spPr>
          <c:cat>
            <c:strRef>
              <c:f>JUS!$A$3:$A$8</c:f>
              <c:strCache>
                <c:ptCount val="6"/>
                <c:pt idx="0">
                  <c:v>30 days or less</c:v>
                </c:pt>
                <c:pt idx="1">
                  <c:v>31-60 days</c:v>
                </c:pt>
                <c:pt idx="2">
                  <c:v>61-120 days</c:v>
                </c:pt>
                <c:pt idx="3">
                  <c:v>121-180 days</c:v>
                </c:pt>
                <c:pt idx="4">
                  <c:v>181-365 days</c:v>
                </c:pt>
                <c:pt idx="5">
                  <c:v>More than 365 days</c:v>
                </c:pt>
              </c:strCache>
            </c:strRef>
          </c:cat>
          <c:val>
            <c:numRef>
              <c:f>JUS!$C$3:$C$8</c:f>
              <c:numCache>
                <c:formatCode>0.00%</c:formatCode>
                <c:ptCount val="6"/>
                <c:pt idx="0">
                  <c:v>0.7196969696969695</c:v>
                </c:pt>
                <c:pt idx="1">
                  <c:v>9.0909090909091189E-2</c:v>
                </c:pt>
                <c:pt idx="2">
                  <c:v>7.0075757575757555E-2</c:v>
                </c:pt>
                <c:pt idx="3">
                  <c:v>3.7878787878787984E-2</c:v>
                </c:pt>
                <c:pt idx="4">
                  <c:v>4.7348484848485035E-2</c:v>
                </c:pt>
                <c:pt idx="5">
                  <c:v>3.4090909090909095E-2</c:v>
                </c:pt>
              </c:numCache>
            </c:numRef>
          </c:val>
        </c:ser>
        <c:ser>
          <c:idx val="2"/>
          <c:order val="2"/>
          <c:tx>
            <c:strRef>
              <c:f>JUS!$D$2</c:f>
              <c:strCache>
                <c:ptCount val="1"/>
                <c:pt idx="0">
                  <c:v>2014-2015</c:v>
                </c:pt>
              </c:strCache>
            </c:strRef>
          </c:tx>
          <c:spPr>
            <a:solidFill>
              <a:schemeClr val="accent5">
                <a:lumMod val="75000"/>
              </a:schemeClr>
            </a:solidFill>
          </c:spPr>
          <c:cat>
            <c:strRef>
              <c:f>JUS!$A$3:$A$8</c:f>
              <c:strCache>
                <c:ptCount val="6"/>
                <c:pt idx="0">
                  <c:v>30 days or less</c:v>
                </c:pt>
                <c:pt idx="1">
                  <c:v>31-60 days</c:v>
                </c:pt>
                <c:pt idx="2">
                  <c:v>61-120 days</c:v>
                </c:pt>
                <c:pt idx="3">
                  <c:v>121-180 days</c:v>
                </c:pt>
                <c:pt idx="4">
                  <c:v>181-365 days</c:v>
                </c:pt>
                <c:pt idx="5">
                  <c:v>More than 365 days</c:v>
                </c:pt>
              </c:strCache>
            </c:strRef>
          </c:cat>
          <c:val>
            <c:numRef>
              <c:f>JUS!$D$3:$D$8</c:f>
              <c:numCache>
                <c:formatCode>0.00%</c:formatCode>
                <c:ptCount val="6"/>
                <c:pt idx="0">
                  <c:v>0.74410163339383284</c:v>
                </c:pt>
                <c:pt idx="1">
                  <c:v>9.0744101633393845E-2</c:v>
                </c:pt>
                <c:pt idx="2">
                  <c:v>7.8039927404718934E-2</c:v>
                </c:pt>
                <c:pt idx="3">
                  <c:v>3.0852994555354004E-2</c:v>
                </c:pt>
                <c:pt idx="4">
                  <c:v>1.9963702359346649E-2</c:v>
                </c:pt>
                <c:pt idx="5">
                  <c:v>3.6297640653357638E-2</c:v>
                </c:pt>
              </c:numCache>
            </c:numRef>
          </c:val>
        </c:ser>
        <c:dLbls/>
        <c:axId val="246366208"/>
        <c:axId val="246367744"/>
      </c:barChart>
      <c:catAx>
        <c:axId val="246366208"/>
        <c:scaling>
          <c:orientation val="minMax"/>
        </c:scaling>
        <c:axPos val="b"/>
        <c:numFmt formatCode="General" sourceLinked="0"/>
        <c:tickLblPos val="nextTo"/>
        <c:crossAx val="246367744"/>
        <c:crosses val="autoZero"/>
        <c:auto val="1"/>
        <c:lblAlgn val="ctr"/>
        <c:lblOffset val="100"/>
      </c:catAx>
      <c:valAx>
        <c:axId val="246367744"/>
        <c:scaling>
          <c:orientation val="minMax"/>
        </c:scaling>
        <c:axPos val="l"/>
        <c:majorGridlines/>
        <c:numFmt formatCode="0%" sourceLinked="0"/>
        <c:tickLblPos val="nextTo"/>
        <c:crossAx val="246366208"/>
        <c:crosses val="autoZero"/>
        <c:crossBetween val="between"/>
      </c:valAx>
    </c:plotArea>
    <c:legend>
      <c:legendPos val="b"/>
    </c:legend>
    <c:plotVisOnly val="1"/>
    <c:dispBlanksAs val="gap"/>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JUS!$B$31</c:f>
              <c:strCache>
                <c:ptCount val="1"/>
                <c:pt idx="0">
                  <c:v>2012-2013</c:v>
                </c:pt>
              </c:strCache>
            </c:strRef>
          </c:tx>
          <c:spPr>
            <a:solidFill>
              <a:schemeClr val="bg1">
                <a:lumMod val="65000"/>
              </a:schemeClr>
            </a:solidFill>
          </c:spPr>
          <c:cat>
            <c:strRef>
              <c:f>JUS!$A$32:$A$37</c:f>
              <c:strCache>
                <c:ptCount val="6"/>
                <c:pt idx="0">
                  <c:v> 30 days or less</c:v>
                </c:pt>
                <c:pt idx="1">
                  <c:v>31-60 days</c:v>
                </c:pt>
                <c:pt idx="2">
                  <c:v>61-120 days </c:v>
                </c:pt>
                <c:pt idx="3">
                  <c:v>121-180 days </c:v>
                </c:pt>
                <c:pt idx="4">
                  <c:v>181-365 days </c:v>
                </c:pt>
                <c:pt idx="5">
                  <c:v>More than 365 days </c:v>
                </c:pt>
              </c:strCache>
            </c:strRef>
          </c:cat>
          <c:val>
            <c:numRef>
              <c:f>JUS!$B$32:$B$37</c:f>
              <c:numCache>
                <c:formatCode>0.00%</c:formatCode>
                <c:ptCount val="6"/>
                <c:pt idx="0">
                  <c:v>0.29629629629629628</c:v>
                </c:pt>
                <c:pt idx="1">
                  <c:v>0.17283950617283983</c:v>
                </c:pt>
                <c:pt idx="2">
                  <c:v>0.12345679012345678</c:v>
                </c:pt>
                <c:pt idx="3">
                  <c:v>0.29629629629629628</c:v>
                </c:pt>
                <c:pt idx="4">
                  <c:v>9.876543209876576E-2</c:v>
                </c:pt>
                <c:pt idx="5">
                  <c:v>1.2345679012345708E-2</c:v>
                </c:pt>
              </c:numCache>
            </c:numRef>
          </c:val>
        </c:ser>
        <c:ser>
          <c:idx val="1"/>
          <c:order val="1"/>
          <c:tx>
            <c:strRef>
              <c:f>JUS!$C$31</c:f>
              <c:strCache>
                <c:ptCount val="1"/>
                <c:pt idx="0">
                  <c:v>2013-2014</c:v>
                </c:pt>
              </c:strCache>
            </c:strRef>
          </c:tx>
          <c:spPr>
            <a:solidFill>
              <a:srgbClr val="FFC000"/>
            </a:solidFill>
          </c:spPr>
          <c:cat>
            <c:strRef>
              <c:f>JUS!$A$32:$A$37</c:f>
              <c:strCache>
                <c:ptCount val="6"/>
                <c:pt idx="0">
                  <c:v> 30 days or less</c:v>
                </c:pt>
                <c:pt idx="1">
                  <c:v>31-60 days</c:v>
                </c:pt>
                <c:pt idx="2">
                  <c:v>61-120 days </c:v>
                </c:pt>
                <c:pt idx="3">
                  <c:v>121-180 days </c:v>
                </c:pt>
                <c:pt idx="4">
                  <c:v>181-365 days </c:v>
                </c:pt>
                <c:pt idx="5">
                  <c:v>More than 365 days </c:v>
                </c:pt>
              </c:strCache>
            </c:strRef>
          </c:cat>
          <c:val>
            <c:numRef>
              <c:f>JUS!$C$32:$C$37</c:f>
              <c:numCache>
                <c:formatCode>0.00%</c:formatCode>
                <c:ptCount val="6"/>
                <c:pt idx="0">
                  <c:v>0.33571428571428719</c:v>
                </c:pt>
                <c:pt idx="1">
                  <c:v>0.17857142857142913</c:v>
                </c:pt>
                <c:pt idx="2">
                  <c:v>0.26428571428571435</c:v>
                </c:pt>
                <c:pt idx="3">
                  <c:v>0.16428571428571417</c:v>
                </c:pt>
                <c:pt idx="4">
                  <c:v>2.8571428571428591E-2</c:v>
                </c:pt>
                <c:pt idx="5">
                  <c:v>2.8571428571428591E-2</c:v>
                </c:pt>
              </c:numCache>
            </c:numRef>
          </c:val>
        </c:ser>
        <c:ser>
          <c:idx val="2"/>
          <c:order val="2"/>
          <c:tx>
            <c:strRef>
              <c:f>JUS!$D$31</c:f>
              <c:strCache>
                <c:ptCount val="1"/>
                <c:pt idx="0">
                  <c:v>2014-2015</c:v>
                </c:pt>
              </c:strCache>
            </c:strRef>
          </c:tx>
          <c:spPr>
            <a:solidFill>
              <a:schemeClr val="accent5">
                <a:lumMod val="75000"/>
              </a:schemeClr>
            </a:solidFill>
          </c:spPr>
          <c:cat>
            <c:strRef>
              <c:f>JUS!$A$32:$A$37</c:f>
              <c:strCache>
                <c:ptCount val="6"/>
                <c:pt idx="0">
                  <c:v> 30 days or less</c:v>
                </c:pt>
                <c:pt idx="1">
                  <c:v>31-60 days</c:v>
                </c:pt>
                <c:pt idx="2">
                  <c:v>61-120 days </c:v>
                </c:pt>
                <c:pt idx="3">
                  <c:v>121-180 days </c:v>
                </c:pt>
                <c:pt idx="4">
                  <c:v>181-365 days </c:v>
                </c:pt>
                <c:pt idx="5">
                  <c:v>More than 365 days </c:v>
                </c:pt>
              </c:strCache>
            </c:strRef>
          </c:cat>
          <c:val>
            <c:numRef>
              <c:f>JUS!$D$32:$D$37</c:f>
              <c:numCache>
                <c:formatCode>0.00%</c:formatCode>
                <c:ptCount val="6"/>
                <c:pt idx="0">
                  <c:v>0.38372093023255938</c:v>
                </c:pt>
                <c:pt idx="1">
                  <c:v>0.20930232558139597</c:v>
                </c:pt>
                <c:pt idx="2">
                  <c:v>0.31395348837209403</c:v>
                </c:pt>
                <c:pt idx="3">
                  <c:v>5.2325581395348965E-2</c:v>
                </c:pt>
                <c:pt idx="4">
                  <c:v>3.4883720930232558E-2</c:v>
                </c:pt>
                <c:pt idx="5">
                  <c:v>5.8139534883721077E-3</c:v>
                </c:pt>
              </c:numCache>
            </c:numRef>
          </c:val>
        </c:ser>
        <c:dLbls/>
        <c:axId val="246406528"/>
        <c:axId val="246416512"/>
      </c:barChart>
      <c:catAx>
        <c:axId val="246406528"/>
        <c:scaling>
          <c:orientation val="minMax"/>
        </c:scaling>
        <c:axPos val="b"/>
        <c:numFmt formatCode="General" sourceLinked="0"/>
        <c:tickLblPos val="nextTo"/>
        <c:crossAx val="246416512"/>
        <c:crosses val="autoZero"/>
        <c:auto val="1"/>
        <c:lblAlgn val="ctr"/>
        <c:lblOffset val="100"/>
      </c:catAx>
      <c:valAx>
        <c:axId val="246416512"/>
        <c:scaling>
          <c:orientation val="minMax"/>
        </c:scaling>
        <c:axPos val="l"/>
        <c:majorGridlines/>
        <c:numFmt formatCode="0%" sourceLinked="0"/>
        <c:tickLblPos val="nextTo"/>
        <c:crossAx val="246406528"/>
        <c:crosses val="autoZero"/>
        <c:crossBetween val="between"/>
      </c:valAx>
    </c:plotArea>
    <c:legend>
      <c:legendPos val="b"/>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CBSA!$B$58</c:f>
              <c:strCache>
                <c:ptCount val="1"/>
                <c:pt idx="0">
                  <c:v>2014-2015</c:v>
                </c:pt>
              </c:strCache>
            </c:strRef>
          </c:tx>
          <c:dPt>
            <c:idx val="0"/>
            <c:spPr>
              <a:solidFill>
                <a:schemeClr val="accent5">
                  <a:lumMod val="75000"/>
                </a:schemeClr>
              </a:solidFill>
            </c:spPr>
          </c:dPt>
          <c:dPt>
            <c:idx val="1"/>
            <c:spPr>
              <a:solidFill>
                <a:schemeClr val="accent6">
                  <a:lumMod val="50000"/>
                </a:schemeClr>
              </a:solidFill>
            </c:spPr>
          </c:dPt>
          <c:dPt>
            <c:idx val="3"/>
            <c:spPr>
              <a:solidFill>
                <a:schemeClr val="bg1">
                  <a:lumMod val="50000"/>
                </a:schemeClr>
              </a:solidFill>
            </c:spPr>
          </c:dPt>
          <c:dPt>
            <c:idx val="4"/>
            <c:spPr>
              <a:solidFill>
                <a:schemeClr val="accent5">
                  <a:lumMod val="50000"/>
                </a:schemeClr>
              </a:solidFill>
            </c:spPr>
          </c:dPt>
          <c:dPt>
            <c:idx val="6"/>
            <c:spPr>
              <a:solidFill>
                <a:schemeClr val="accent5">
                  <a:lumMod val="60000"/>
                  <a:lumOff val="40000"/>
                </a:schemeClr>
              </a:solidFill>
            </c:spPr>
          </c:dPt>
          <c:dLbls>
            <c:dLbl>
              <c:idx val="0"/>
              <c:layout>
                <c:manualLayout>
                  <c:x val="-7.7024025842923531E-4"/>
                  <c:y val="2.3396353144460474E-3"/>
                </c:manualLayout>
              </c:layout>
              <c:showPercent val="1"/>
              <c:extLst>
                <c:ext xmlns:c15="http://schemas.microsoft.com/office/drawing/2012/chart" uri="{CE6537A1-D6FC-4f65-9D91-7224C49458BB}">
                  <c15:layout/>
                </c:ext>
              </c:extLst>
            </c:dLbl>
            <c:dLbl>
              <c:idx val="1"/>
              <c:layout>
                <c:manualLayout>
                  <c:x val="-1.9266101352715538E-2"/>
                  <c:y val="-7.0918502763398557E-3"/>
                </c:manualLayout>
              </c:layout>
              <c:showPercent val="1"/>
              <c:extLst>
                <c:ext xmlns:c15="http://schemas.microsoft.com/office/drawing/2012/chart" uri="{CE6537A1-D6FC-4f65-9D91-7224C49458BB}">
                  <c15:layout/>
                </c:ext>
              </c:extLst>
            </c:dLbl>
            <c:dLbl>
              <c:idx val="2"/>
              <c:layout>
                <c:manualLayout>
                  <c:x val="1.2419240864122751E-2"/>
                  <c:y val="-1.2261147934357322E-2"/>
                </c:manualLayout>
              </c:layout>
              <c:showPercent val="1"/>
              <c:extLst>
                <c:ext xmlns:c15="http://schemas.microsoft.com/office/drawing/2012/chart" uri="{CE6537A1-D6FC-4f65-9D91-7224C49458BB}">
                  <c15:layout/>
                </c:ext>
              </c:extLst>
            </c:dLbl>
            <c:dLbl>
              <c:idx val="3"/>
              <c:layout>
                <c:manualLayout>
                  <c:x val="3.9770509455548829E-3"/>
                  <c:y val="-2.3100603596300055E-2"/>
                </c:manualLayout>
              </c:layout>
              <c:showPercent val="1"/>
              <c:extLst>
                <c:ext xmlns:c15="http://schemas.microsoft.com/office/drawing/2012/chart" uri="{CE6537A1-D6FC-4f65-9D91-7224C49458BB}">
                  <c15:layout/>
                </c:ext>
              </c:extLst>
            </c:dLbl>
            <c:dLbl>
              <c:idx val="4"/>
              <c:layout>
                <c:manualLayout>
                  <c:x val="6.4545056867891517E-3"/>
                  <c:y val="-1.7417819434154692E-3"/>
                </c:manualLayout>
              </c:layout>
              <c:showPercent val="1"/>
              <c:extLst>
                <c:ext xmlns:c15="http://schemas.microsoft.com/office/drawing/2012/chart" uri="{CE6537A1-D6FC-4f65-9D91-7224C49458BB}">
                  <c15:layout/>
                </c:ext>
              </c:extLst>
            </c:dLbl>
            <c:dLbl>
              <c:idx val="5"/>
              <c:layout>
                <c:manualLayout>
                  <c:x val="6.7491082845413577E-3"/>
                  <c:y val="5.9923998014815207E-3"/>
                </c:manualLayout>
              </c:layout>
              <c:showPercent val="1"/>
              <c:extLst>
                <c:ext xmlns:c15="http://schemas.microsoft.com/office/drawing/2012/chart" uri="{CE6537A1-D6FC-4f65-9D91-7224C49458BB}">
                  <c15:layout/>
                </c:ext>
              </c:extLst>
            </c:dLbl>
            <c:dLbl>
              <c:idx val="6"/>
              <c:layout>
                <c:manualLayout>
                  <c:x val="-1.0008917154586442E-2"/>
                  <c:y val="1.4805829647114006E-2"/>
                </c:manualLayout>
              </c:layout>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CBSA!$A$59:$A$65</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CBSA!$B$59:$B$65</c:f>
              <c:numCache>
                <c:formatCode>General</c:formatCode>
                <c:ptCount val="7"/>
                <c:pt idx="0">
                  <c:v>188</c:v>
                </c:pt>
                <c:pt idx="1">
                  <c:v>39</c:v>
                </c:pt>
                <c:pt idx="2">
                  <c:v>34</c:v>
                </c:pt>
                <c:pt idx="3">
                  <c:v>44</c:v>
                </c:pt>
                <c:pt idx="4">
                  <c:v>26</c:v>
                </c:pt>
                <c:pt idx="5">
                  <c:v>27</c:v>
                </c:pt>
                <c:pt idx="6">
                  <c:v>83</c:v>
                </c:pt>
              </c:numCache>
            </c:numRef>
          </c:val>
        </c:ser>
        <c:dLbls/>
        <c:firstSliceAng val="0"/>
      </c:pieChart>
    </c:plotArea>
    <c:legend>
      <c:legendPos val="r"/>
    </c:legend>
    <c:plotVisOnly val="1"/>
    <c:dispBlanksAs val="zero"/>
  </c:chart>
  <c:txPr>
    <a:bodyPr/>
    <a:lstStyle/>
    <a:p>
      <a:pPr>
        <a:defRPr sz="1100"/>
      </a:pPr>
      <a:endParaRPr lang="en-US"/>
    </a:p>
  </c:tx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JUS!$B$57</c:f>
              <c:strCache>
                <c:ptCount val="1"/>
                <c:pt idx="0">
                  <c:v>2014-2015</c:v>
                </c:pt>
              </c:strCache>
            </c:strRef>
          </c:tx>
          <c:dPt>
            <c:idx val="0"/>
            <c:spPr>
              <a:solidFill>
                <a:schemeClr val="accent5">
                  <a:lumMod val="75000"/>
                </a:schemeClr>
              </a:solidFill>
            </c:spPr>
          </c:dPt>
          <c:dPt>
            <c:idx val="1"/>
            <c:spPr>
              <a:solidFill>
                <a:srgbClr val="984807"/>
              </a:solidFill>
            </c:spPr>
          </c:dPt>
          <c:dPt>
            <c:idx val="3"/>
            <c:spPr>
              <a:solidFill>
                <a:srgbClr val="10253F"/>
              </a:solidFill>
            </c:spPr>
          </c:dPt>
          <c:dPt>
            <c:idx val="4"/>
            <c:spPr>
              <a:solidFill>
                <a:schemeClr val="accent5">
                  <a:lumMod val="60000"/>
                  <a:lumOff val="40000"/>
                </a:schemeClr>
              </a:solidFill>
            </c:spPr>
          </c:dPt>
          <c:dPt>
            <c:idx val="5"/>
            <c:spPr>
              <a:solidFill>
                <a:schemeClr val="bg2">
                  <a:lumMod val="25000"/>
                </a:schemeClr>
              </a:solidFill>
            </c:spPr>
          </c:dPt>
          <c:dPt>
            <c:idx val="6"/>
            <c:spPr>
              <a:solidFill>
                <a:srgbClr val="FFC000"/>
              </a:solidFill>
            </c:spPr>
          </c:dPt>
          <c:dLbls>
            <c:dLbl>
              <c:idx val="0"/>
              <c:layout>
                <c:manualLayout>
                  <c:x val="3.3757718633814111E-2"/>
                  <c:y val="6.0780046600110417E-2"/>
                </c:manualLayout>
              </c:layout>
              <c:showPercent val="1"/>
              <c:extLst>
                <c:ext xmlns:c15="http://schemas.microsoft.com/office/drawing/2012/chart" uri="{CE6537A1-D6FC-4f65-9D91-7224C49458BB}">
                  <c15:layout/>
                </c:ext>
              </c:extLst>
            </c:dLbl>
            <c:dLbl>
              <c:idx val="1"/>
              <c:layout>
                <c:manualLayout>
                  <c:x val="-5.2001029553582082E-3"/>
                  <c:y val="-3.1467288968562587E-2"/>
                </c:manualLayout>
              </c:layout>
              <c:showPercent val="1"/>
              <c:extLst>
                <c:ext xmlns:c15="http://schemas.microsoft.com/office/drawing/2012/chart" uri="{CE6537A1-D6FC-4f65-9D91-7224C49458BB}">
                  <c15:layout/>
                </c:ext>
              </c:extLst>
            </c:dLbl>
            <c:dLbl>
              <c:idx val="2"/>
              <c:delete val="1"/>
              <c:extLst>
                <c:ext xmlns:c15="http://schemas.microsoft.com/office/drawing/2012/chart" uri="{CE6537A1-D6FC-4f65-9D91-7224C49458BB}"/>
              </c:extLst>
            </c:dLbl>
            <c:dLbl>
              <c:idx val="3"/>
              <c:layout>
                <c:manualLayout>
                  <c:x val="7.0895231134243345E-3"/>
                  <c:y val="-2.3452718228620568E-2"/>
                </c:manualLayout>
              </c:layout>
              <c:showPercent val="1"/>
              <c:extLst>
                <c:ext xmlns:c15="http://schemas.microsoft.com/office/drawing/2012/chart" uri="{CE6537A1-D6FC-4f65-9D91-7224C49458BB}">
                  <c15:layout/>
                </c:ext>
              </c:extLst>
            </c:dLbl>
            <c:dLbl>
              <c:idx val="4"/>
              <c:layout>
                <c:manualLayout>
                  <c:x val="7.8670468370074121E-3"/>
                  <c:y val="-1.8770519143061087E-3"/>
                </c:manualLayout>
              </c:layout>
              <c:showPercent val="1"/>
              <c:extLst>
                <c:ext xmlns:c15="http://schemas.microsoft.com/office/drawing/2012/chart" uri="{CE6537A1-D6FC-4f65-9D91-7224C49458BB}">
                  <c15:layout/>
                </c:ext>
              </c:extLst>
            </c:dLbl>
            <c:dLbl>
              <c:idx val="5"/>
              <c:layout>
                <c:manualLayout>
                  <c:x val="2.8189834390840614E-2"/>
                  <c:y val="5.1914069046969363E-3"/>
                </c:manualLayout>
              </c:layout>
              <c:showPercent val="1"/>
              <c:extLst>
                <c:ext xmlns:c15="http://schemas.microsoft.com/office/drawing/2012/chart" uri="{CE6537A1-D6FC-4f65-9D91-7224C49458BB}">
                  <c15:layout/>
                </c:ext>
              </c:extLst>
            </c:dLbl>
            <c:dLbl>
              <c:idx val="6"/>
              <c:layout>
                <c:manualLayout>
                  <c:x val="3.4026710163697946E-2"/>
                  <c:y val="-0.11478369216917553"/>
                </c:manualLayout>
              </c:layout>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extLst>
          </c:dLbls>
          <c:cat>
            <c:strRef>
              <c:f>JUS!$A$58:$A$64</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JUS!$B$58:$B$64</c:f>
              <c:numCache>
                <c:formatCode>General</c:formatCode>
                <c:ptCount val="7"/>
                <c:pt idx="0">
                  <c:v>8</c:v>
                </c:pt>
                <c:pt idx="1">
                  <c:v>4</c:v>
                </c:pt>
                <c:pt idx="2">
                  <c:v>0</c:v>
                </c:pt>
                <c:pt idx="3">
                  <c:v>9</c:v>
                </c:pt>
                <c:pt idx="4">
                  <c:v>1</c:v>
                </c:pt>
                <c:pt idx="5">
                  <c:v>3</c:v>
                </c:pt>
                <c:pt idx="6">
                  <c:v>17</c:v>
                </c:pt>
              </c:numCache>
            </c:numRef>
          </c:val>
        </c:ser>
        <c:dLbls/>
        <c:firstSliceAng val="0"/>
      </c:pieChart>
    </c:plotArea>
    <c:legend>
      <c:legendPos val="r"/>
    </c:legend>
    <c:plotVisOnly val="1"/>
    <c:dispBlanksAs val="zero"/>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JUS!$B$87</c:f>
              <c:strCache>
                <c:ptCount val="1"/>
                <c:pt idx="0">
                  <c:v>2012-2013</c:v>
                </c:pt>
              </c:strCache>
            </c:strRef>
          </c:tx>
          <c:spPr>
            <a:solidFill>
              <a:schemeClr val="bg1">
                <a:lumMod val="65000"/>
              </a:schemeClr>
            </a:solidFill>
          </c:spPr>
          <c:cat>
            <c:strRef>
              <c:f>JUS!$A$88:$A$89</c:f>
              <c:strCache>
                <c:ptCount val="2"/>
                <c:pt idx="0">
                  <c:v>All disclosed </c:v>
                </c:pt>
                <c:pt idx="1">
                  <c:v>Disclosed in part </c:v>
                </c:pt>
              </c:strCache>
            </c:strRef>
          </c:cat>
          <c:val>
            <c:numRef>
              <c:f>JUS!$B$88:$B$89</c:f>
              <c:numCache>
                <c:formatCode>0.00%</c:formatCode>
                <c:ptCount val="2"/>
                <c:pt idx="0">
                  <c:v>0.12074303405572756</c:v>
                </c:pt>
                <c:pt idx="1">
                  <c:v>0.4086687306501548</c:v>
                </c:pt>
              </c:numCache>
            </c:numRef>
          </c:val>
        </c:ser>
        <c:ser>
          <c:idx val="1"/>
          <c:order val="1"/>
          <c:tx>
            <c:strRef>
              <c:f>JUS!$C$87</c:f>
              <c:strCache>
                <c:ptCount val="1"/>
                <c:pt idx="0">
                  <c:v>2013-2014</c:v>
                </c:pt>
              </c:strCache>
            </c:strRef>
          </c:tx>
          <c:spPr>
            <a:solidFill>
              <a:srgbClr val="FFC000"/>
            </a:solidFill>
          </c:spPr>
          <c:cat>
            <c:strRef>
              <c:f>JUS!$A$88:$A$89</c:f>
              <c:strCache>
                <c:ptCount val="2"/>
                <c:pt idx="0">
                  <c:v>All disclosed </c:v>
                </c:pt>
                <c:pt idx="1">
                  <c:v>Disclosed in part </c:v>
                </c:pt>
              </c:strCache>
            </c:strRef>
          </c:cat>
          <c:val>
            <c:numRef>
              <c:f>JUS!$C$88:$C$89</c:f>
              <c:numCache>
                <c:formatCode>0.00%</c:formatCode>
                <c:ptCount val="2"/>
                <c:pt idx="0">
                  <c:v>0.14204545454545525</c:v>
                </c:pt>
                <c:pt idx="1">
                  <c:v>0.43939393939394022</c:v>
                </c:pt>
              </c:numCache>
            </c:numRef>
          </c:val>
        </c:ser>
        <c:ser>
          <c:idx val="2"/>
          <c:order val="2"/>
          <c:tx>
            <c:strRef>
              <c:f>JUS!$D$87</c:f>
              <c:strCache>
                <c:ptCount val="1"/>
                <c:pt idx="0">
                  <c:v>2014-2015</c:v>
                </c:pt>
              </c:strCache>
            </c:strRef>
          </c:tx>
          <c:spPr>
            <a:solidFill>
              <a:schemeClr val="accent5">
                <a:lumMod val="75000"/>
              </a:schemeClr>
            </a:solidFill>
          </c:spPr>
          <c:cat>
            <c:strRef>
              <c:f>JUS!$A$88:$A$89</c:f>
              <c:strCache>
                <c:ptCount val="2"/>
                <c:pt idx="0">
                  <c:v>All disclosed </c:v>
                </c:pt>
                <c:pt idx="1">
                  <c:v>Disclosed in part </c:v>
                </c:pt>
              </c:strCache>
            </c:strRef>
          </c:cat>
          <c:val>
            <c:numRef>
              <c:f>JUS!$D$88:$D$89</c:f>
              <c:numCache>
                <c:formatCode>0.00%</c:formatCode>
                <c:ptCount val="2"/>
                <c:pt idx="0">
                  <c:v>8.7114337568058073E-2</c:v>
                </c:pt>
                <c:pt idx="1">
                  <c:v>0.35390199637023667</c:v>
                </c:pt>
              </c:numCache>
            </c:numRef>
          </c:val>
        </c:ser>
        <c:dLbls/>
        <c:axId val="246496256"/>
        <c:axId val="246506240"/>
      </c:barChart>
      <c:catAx>
        <c:axId val="246496256"/>
        <c:scaling>
          <c:orientation val="minMax"/>
        </c:scaling>
        <c:axPos val="b"/>
        <c:numFmt formatCode="General" sourceLinked="0"/>
        <c:tickLblPos val="nextTo"/>
        <c:crossAx val="246506240"/>
        <c:crosses val="autoZero"/>
        <c:auto val="1"/>
        <c:lblAlgn val="ctr"/>
        <c:lblOffset val="100"/>
      </c:catAx>
      <c:valAx>
        <c:axId val="246506240"/>
        <c:scaling>
          <c:orientation val="minMax"/>
        </c:scaling>
        <c:axPos val="l"/>
        <c:majorGridlines/>
        <c:numFmt formatCode="0%" sourceLinked="0"/>
        <c:tickLblPos val="nextTo"/>
        <c:crossAx val="246496256"/>
        <c:crosses val="autoZero"/>
        <c:crossBetween val="between"/>
      </c:valAx>
    </c:plotArea>
    <c:legend>
      <c:legendPos val="b"/>
    </c:legend>
    <c:plotVisOnly val="1"/>
    <c:dispBlanksAs val="gap"/>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FIN!$B$2</c:f>
              <c:strCache>
                <c:ptCount val="1"/>
                <c:pt idx="0">
                  <c:v>2012-2013</c:v>
                </c:pt>
              </c:strCache>
            </c:strRef>
          </c:tx>
          <c:spPr>
            <a:solidFill>
              <a:schemeClr val="bg1">
                <a:lumMod val="65000"/>
              </a:schemeClr>
            </a:solidFill>
          </c:spPr>
          <c:cat>
            <c:strRef>
              <c:f>FIN!$A$3:$A$8</c:f>
              <c:strCache>
                <c:ptCount val="6"/>
                <c:pt idx="0">
                  <c:v>30 days or less</c:v>
                </c:pt>
                <c:pt idx="1">
                  <c:v>31-60 days</c:v>
                </c:pt>
                <c:pt idx="2">
                  <c:v>61-120 days</c:v>
                </c:pt>
                <c:pt idx="3">
                  <c:v>121-180 days</c:v>
                </c:pt>
                <c:pt idx="4">
                  <c:v>181-365 days</c:v>
                </c:pt>
                <c:pt idx="5">
                  <c:v>More than 365 days</c:v>
                </c:pt>
              </c:strCache>
            </c:strRef>
          </c:cat>
          <c:val>
            <c:numRef>
              <c:f>FIN!$B$3:$B$8</c:f>
              <c:numCache>
                <c:formatCode>0.00%</c:formatCode>
                <c:ptCount val="6"/>
                <c:pt idx="0">
                  <c:v>0.42358078602620192</c:v>
                </c:pt>
                <c:pt idx="1">
                  <c:v>0.24454148471615786</c:v>
                </c:pt>
                <c:pt idx="2">
                  <c:v>0.21179039301310093</c:v>
                </c:pt>
                <c:pt idx="3">
                  <c:v>9.8253275109170604E-2</c:v>
                </c:pt>
                <c:pt idx="4">
                  <c:v>1.7467248908296932E-2</c:v>
                </c:pt>
                <c:pt idx="5">
                  <c:v>4.3668122270742364E-3</c:v>
                </c:pt>
              </c:numCache>
            </c:numRef>
          </c:val>
        </c:ser>
        <c:ser>
          <c:idx val="1"/>
          <c:order val="1"/>
          <c:tx>
            <c:strRef>
              <c:f>FIN!$C$2</c:f>
              <c:strCache>
                <c:ptCount val="1"/>
                <c:pt idx="0">
                  <c:v>2013-2014</c:v>
                </c:pt>
              </c:strCache>
            </c:strRef>
          </c:tx>
          <c:spPr>
            <a:solidFill>
              <a:srgbClr val="FFC000"/>
            </a:solidFill>
          </c:spPr>
          <c:cat>
            <c:strRef>
              <c:f>FIN!$A$3:$A$8</c:f>
              <c:strCache>
                <c:ptCount val="6"/>
                <c:pt idx="0">
                  <c:v>30 days or less</c:v>
                </c:pt>
                <c:pt idx="1">
                  <c:v>31-60 days</c:v>
                </c:pt>
                <c:pt idx="2">
                  <c:v>61-120 days</c:v>
                </c:pt>
                <c:pt idx="3">
                  <c:v>121-180 days</c:v>
                </c:pt>
                <c:pt idx="4">
                  <c:v>181-365 days</c:v>
                </c:pt>
                <c:pt idx="5">
                  <c:v>More than 365 days</c:v>
                </c:pt>
              </c:strCache>
            </c:strRef>
          </c:cat>
          <c:val>
            <c:numRef>
              <c:f>FIN!$C$3:$C$8</c:f>
              <c:numCache>
                <c:formatCode>0.00%</c:formatCode>
                <c:ptCount val="6"/>
                <c:pt idx="0">
                  <c:v>0.56719022687609222</c:v>
                </c:pt>
                <c:pt idx="1">
                  <c:v>0.13961605584642311</c:v>
                </c:pt>
                <c:pt idx="2">
                  <c:v>0.16404886561954618</c:v>
                </c:pt>
                <c:pt idx="3">
                  <c:v>9.2495636998254846E-2</c:v>
                </c:pt>
                <c:pt idx="4">
                  <c:v>2.4432809773124033E-2</c:v>
                </c:pt>
                <c:pt idx="5">
                  <c:v>1.2216404886561959E-2</c:v>
                </c:pt>
              </c:numCache>
            </c:numRef>
          </c:val>
        </c:ser>
        <c:ser>
          <c:idx val="2"/>
          <c:order val="2"/>
          <c:tx>
            <c:strRef>
              <c:f>FIN!$D$2</c:f>
              <c:strCache>
                <c:ptCount val="1"/>
                <c:pt idx="0">
                  <c:v>2014-2015</c:v>
                </c:pt>
              </c:strCache>
            </c:strRef>
          </c:tx>
          <c:spPr>
            <a:solidFill>
              <a:schemeClr val="accent5">
                <a:lumMod val="75000"/>
              </a:schemeClr>
            </a:solidFill>
          </c:spPr>
          <c:cat>
            <c:strRef>
              <c:f>FIN!$A$3:$A$8</c:f>
              <c:strCache>
                <c:ptCount val="6"/>
                <c:pt idx="0">
                  <c:v>30 days or less</c:v>
                </c:pt>
                <c:pt idx="1">
                  <c:v>31-60 days</c:v>
                </c:pt>
                <c:pt idx="2">
                  <c:v>61-120 days</c:v>
                </c:pt>
                <c:pt idx="3">
                  <c:v>121-180 days</c:v>
                </c:pt>
                <c:pt idx="4">
                  <c:v>181-365 days</c:v>
                </c:pt>
                <c:pt idx="5">
                  <c:v>More than 365 days</c:v>
                </c:pt>
              </c:strCache>
            </c:strRef>
          </c:cat>
          <c:val>
            <c:numRef>
              <c:f>FIN!$D$3:$D$8</c:f>
              <c:numCache>
                <c:formatCode>0.00%</c:formatCode>
                <c:ptCount val="6"/>
                <c:pt idx="0">
                  <c:v>0.53112033195020747</c:v>
                </c:pt>
                <c:pt idx="1">
                  <c:v>0.15352697095435686</c:v>
                </c:pt>
                <c:pt idx="2">
                  <c:v>0.19709543568464749</c:v>
                </c:pt>
                <c:pt idx="3">
                  <c:v>8.9211618257261427E-2</c:v>
                </c:pt>
                <c:pt idx="4">
                  <c:v>2.0746887966804992E-2</c:v>
                </c:pt>
                <c:pt idx="5">
                  <c:v>8.2987551867219986E-3</c:v>
                </c:pt>
              </c:numCache>
            </c:numRef>
          </c:val>
        </c:ser>
        <c:dLbls/>
        <c:axId val="246536832"/>
        <c:axId val="246559104"/>
      </c:barChart>
      <c:catAx>
        <c:axId val="246536832"/>
        <c:scaling>
          <c:orientation val="minMax"/>
        </c:scaling>
        <c:axPos val="b"/>
        <c:numFmt formatCode="General" sourceLinked="0"/>
        <c:tickLblPos val="nextTo"/>
        <c:crossAx val="246559104"/>
        <c:crosses val="autoZero"/>
        <c:auto val="1"/>
        <c:lblAlgn val="ctr"/>
        <c:lblOffset val="100"/>
      </c:catAx>
      <c:valAx>
        <c:axId val="246559104"/>
        <c:scaling>
          <c:orientation val="minMax"/>
        </c:scaling>
        <c:axPos val="l"/>
        <c:majorGridlines/>
        <c:numFmt formatCode="0%" sourceLinked="0"/>
        <c:tickLblPos val="nextTo"/>
        <c:crossAx val="246536832"/>
        <c:crosses val="autoZero"/>
        <c:crossBetween val="between"/>
      </c:valAx>
    </c:plotArea>
    <c:legend>
      <c:legendPos val="b"/>
    </c:legend>
    <c:plotVisOnly val="1"/>
    <c:dispBlanksAs val="gap"/>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FIN!$B$29</c:f>
              <c:strCache>
                <c:ptCount val="1"/>
                <c:pt idx="0">
                  <c:v>2012-2013</c:v>
                </c:pt>
              </c:strCache>
            </c:strRef>
          </c:tx>
          <c:spPr>
            <a:solidFill>
              <a:schemeClr val="bg1">
                <a:lumMod val="65000"/>
              </a:schemeClr>
            </a:solidFill>
          </c:spPr>
          <c:cat>
            <c:strRef>
              <c:f>FIN!$A$30:$A$35</c:f>
              <c:strCache>
                <c:ptCount val="6"/>
                <c:pt idx="0">
                  <c:v> 30 days or less</c:v>
                </c:pt>
                <c:pt idx="1">
                  <c:v>31-60 days</c:v>
                </c:pt>
                <c:pt idx="2">
                  <c:v>61-120 days </c:v>
                </c:pt>
                <c:pt idx="3">
                  <c:v>121-180 days </c:v>
                </c:pt>
                <c:pt idx="4">
                  <c:v>181-365 days </c:v>
                </c:pt>
                <c:pt idx="5">
                  <c:v>More than 365 days </c:v>
                </c:pt>
              </c:strCache>
            </c:strRef>
          </c:cat>
          <c:val>
            <c:numRef>
              <c:f>FIN!$B$30:$B$35</c:f>
              <c:numCache>
                <c:formatCode>0.00%</c:formatCode>
                <c:ptCount val="6"/>
                <c:pt idx="0">
                  <c:v>0.23986486486486491</c:v>
                </c:pt>
                <c:pt idx="1">
                  <c:v>0.48648648648648735</c:v>
                </c:pt>
                <c:pt idx="2">
                  <c:v>0.27027027027027112</c:v>
                </c:pt>
                <c:pt idx="3">
                  <c:v>3.3783783783783812E-3</c:v>
                </c:pt>
                <c:pt idx="4">
                  <c:v>0</c:v>
                </c:pt>
                <c:pt idx="5">
                  <c:v>0</c:v>
                </c:pt>
              </c:numCache>
            </c:numRef>
          </c:val>
        </c:ser>
        <c:ser>
          <c:idx val="1"/>
          <c:order val="1"/>
          <c:tx>
            <c:strRef>
              <c:f>FIN!$C$29</c:f>
              <c:strCache>
                <c:ptCount val="1"/>
                <c:pt idx="0">
                  <c:v>2013-2014</c:v>
                </c:pt>
              </c:strCache>
            </c:strRef>
          </c:tx>
          <c:spPr>
            <a:solidFill>
              <a:srgbClr val="FFC000"/>
            </a:solidFill>
          </c:spPr>
          <c:cat>
            <c:strRef>
              <c:f>FIN!$A$30:$A$35</c:f>
              <c:strCache>
                <c:ptCount val="6"/>
                <c:pt idx="0">
                  <c:v> 30 days or less</c:v>
                </c:pt>
                <c:pt idx="1">
                  <c:v>31-60 days</c:v>
                </c:pt>
                <c:pt idx="2">
                  <c:v>61-120 days </c:v>
                </c:pt>
                <c:pt idx="3">
                  <c:v>121-180 days </c:v>
                </c:pt>
                <c:pt idx="4">
                  <c:v>181-365 days </c:v>
                </c:pt>
                <c:pt idx="5">
                  <c:v>More than 365 days </c:v>
                </c:pt>
              </c:strCache>
            </c:strRef>
          </c:cat>
          <c:val>
            <c:numRef>
              <c:f>FIN!$C$30:$C$35</c:f>
              <c:numCache>
                <c:formatCode>0.00%</c:formatCode>
                <c:ptCount val="6"/>
                <c:pt idx="0">
                  <c:v>0.23076923076923153</c:v>
                </c:pt>
                <c:pt idx="1">
                  <c:v>0.29096989966555287</c:v>
                </c:pt>
                <c:pt idx="2">
                  <c:v>0.45484949832776</c:v>
                </c:pt>
                <c:pt idx="3">
                  <c:v>2.0066889632106968E-2</c:v>
                </c:pt>
                <c:pt idx="4">
                  <c:v>3.3444816053511796E-3</c:v>
                </c:pt>
                <c:pt idx="5">
                  <c:v>0</c:v>
                </c:pt>
              </c:numCache>
            </c:numRef>
          </c:val>
        </c:ser>
        <c:ser>
          <c:idx val="2"/>
          <c:order val="2"/>
          <c:tx>
            <c:strRef>
              <c:f>FIN!$D$29</c:f>
              <c:strCache>
                <c:ptCount val="1"/>
                <c:pt idx="0">
                  <c:v>2014-2015</c:v>
                </c:pt>
              </c:strCache>
            </c:strRef>
          </c:tx>
          <c:spPr>
            <a:solidFill>
              <a:schemeClr val="accent5">
                <a:lumMod val="75000"/>
              </a:schemeClr>
            </a:solidFill>
          </c:spPr>
          <c:cat>
            <c:strRef>
              <c:f>FIN!$A$30:$A$35</c:f>
              <c:strCache>
                <c:ptCount val="6"/>
                <c:pt idx="0">
                  <c:v> 30 days or less</c:v>
                </c:pt>
                <c:pt idx="1">
                  <c:v>31-60 days</c:v>
                </c:pt>
                <c:pt idx="2">
                  <c:v>61-120 days </c:v>
                </c:pt>
                <c:pt idx="3">
                  <c:v>121-180 days </c:v>
                </c:pt>
                <c:pt idx="4">
                  <c:v>181-365 days </c:v>
                </c:pt>
                <c:pt idx="5">
                  <c:v>More than 365 days </c:v>
                </c:pt>
              </c:strCache>
            </c:strRef>
          </c:cat>
          <c:val>
            <c:numRef>
              <c:f>FIN!$D$30:$D$35</c:f>
              <c:numCache>
                <c:formatCode>0.00%</c:formatCode>
                <c:ptCount val="6"/>
                <c:pt idx="0">
                  <c:v>0.30196078431372653</c:v>
                </c:pt>
                <c:pt idx="1">
                  <c:v>0.24705882352941191</c:v>
                </c:pt>
                <c:pt idx="2">
                  <c:v>0.42745098039215845</c:v>
                </c:pt>
                <c:pt idx="3">
                  <c:v>2.3529411764705879E-2</c:v>
                </c:pt>
                <c:pt idx="4">
                  <c:v>0</c:v>
                </c:pt>
                <c:pt idx="5">
                  <c:v>0</c:v>
                </c:pt>
              </c:numCache>
            </c:numRef>
          </c:val>
        </c:ser>
        <c:dLbls/>
        <c:axId val="246585600"/>
        <c:axId val="246603776"/>
      </c:barChart>
      <c:catAx>
        <c:axId val="246585600"/>
        <c:scaling>
          <c:orientation val="minMax"/>
        </c:scaling>
        <c:axPos val="b"/>
        <c:numFmt formatCode="General" sourceLinked="0"/>
        <c:tickLblPos val="nextTo"/>
        <c:crossAx val="246603776"/>
        <c:crosses val="autoZero"/>
        <c:auto val="1"/>
        <c:lblAlgn val="ctr"/>
        <c:lblOffset val="100"/>
      </c:catAx>
      <c:valAx>
        <c:axId val="246603776"/>
        <c:scaling>
          <c:orientation val="minMax"/>
        </c:scaling>
        <c:axPos val="l"/>
        <c:majorGridlines/>
        <c:numFmt formatCode="0%" sourceLinked="0"/>
        <c:tickLblPos val="nextTo"/>
        <c:crossAx val="246585600"/>
        <c:crosses val="autoZero"/>
        <c:crossBetween val="between"/>
      </c:valAx>
    </c:plotArea>
    <c:legend>
      <c:legendPos val="b"/>
    </c:legend>
    <c:plotVisOnly val="1"/>
    <c:dispBlanksAs val="gap"/>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CA"/>
  <c:chart>
    <c:autoTitleDeleted val="1"/>
    <c:plotArea>
      <c:layout>
        <c:manualLayout>
          <c:layoutTarget val="inner"/>
          <c:xMode val="edge"/>
          <c:yMode val="edge"/>
          <c:x val="0.14966082040994944"/>
          <c:y val="0.12120297834478422"/>
          <c:w val="0.49086848234404046"/>
          <c:h val="0.74169816231455976"/>
        </c:manualLayout>
      </c:layout>
      <c:pieChart>
        <c:varyColors val="1"/>
        <c:ser>
          <c:idx val="0"/>
          <c:order val="0"/>
          <c:tx>
            <c:strRef>
              <c:f>FIN!$B$55</c:f>
              <c:strCache>
                <c:ptCount val="1"/>
                <c:pt idx="0">
                  <c:v>2014-2015</c:v>
                </c:pt>
              </c:strCache>
            </c:strRef>
          </c:tx>
          <c:dPt>
            <c:idx val="0"/>
            <c:spPr>
              <a:solidFill>
                <a:schemeClr val="accent5">
                  <a:lumMod val="50000"/>
                </a:schemeClr>
              </a:solidFill>
            </c:spPr>
          </c:dPt>
          <c:dPt>
            <c:idx val="2"/>
            <c:spPr>
              <a:solidFill>
                <a:srgbClr val="FFC000"/>
              </a:solidFill>
            </c:spPr>
          </c:dPt>
          <c:dPt>
            <c:idx val="3"/>
            <c:spPr>
              <a:solidFill>
                <a:schemeClr val="accent1">
                  <a:lumMod val="50000"/>
                </a:schemeClr>
              </a:solidFill>
            </c:spPr>
          </c:dPt>
          <c:dPt>
            <c:idx val="4"/>
            <c:spPr>
              <a:solidFill>
                <a:schemeClr val="bg1">
                  <a:lumMod val="50000"/>
                </a:schemeClr>
              </a:solidFill>
            </c:spPr>
          </c:dPt>
          <c:dPt>
            <c:idx val="5"/>
            <c:spPr>
              <a:solidFill>
                <a:schemeClr val="accent6">
                  <a:lumMod val="50000"/>
                </a:schemeClr>
              </a:solidFill>
            </c:spPr>
          </c:dPt>
          <c:dPt>
            <c:idx val="6"/>
            <c:spPr>
              <a:solidFill>
                <a:schemeClr val="accent5">
                  <a:lumMod val="40000"/>
                  <a:lumOff val="60000"/>
                </a:schemeClr>
              </a:solidFill>
            </c:spPr>
          </c:dPt>
          <c:dLbls>
            <c:dLbl>
              <c:idx val="0"/>
              <c:layout>
                <c:manualLayout>
                  <c:x val="4.3021024620811688E-3"/>
                  <c:y val="8.4518280157856548E-2"/>
                </c:manualLayout>
              </c:layout>
              <c:showPercent val="1"/>
              <c:extLst>
                <c:ext xmlns:c15="http://schemas.microsoft.com/office/drawing/2012/chart" uri="{CE6537A1-D6FC-4f65-9D91-7224C49458BB}">
                  <c15:layout/>
                </c:ext>
              </c:extLst>
            </c:dLbl>
            <c:dLbl>
              <c:idx val="1"/>
              <c:layout>
                <c:manualLayout>
                  <c:x val="3.2040706495715658E-2"/>
                  <c:y val="6.6747887138741586E-3"/>
                </c:manualLayout>
              </c:layout>
              <c:showPercent val="1"/>
              <c:extLst>
                <c:ext xmlns:c15="http://schemas.microsoft.com/office/drawing/2012/chart" uri="{CE6537A1-D6FC-4f65-9D91-7224C49458BB}">
                  <c15:layout/>
                </c:ext>
              </c:extLst>
            </c:dLbl>
            <c:dLbl>
              <c:idx val="2"/>
              <c:layout>
                <c:manualLayout>
                  <c:x val="3.3794693853719956E-4"/>
                  <c:y val="1.2299162174377084E-3"/>
                </c:manualLayout>
              </c:layout>
              <c:showPercent val="1"/>
              <c:extLst>
                <c:ext xmlns:c15="http://schemas.microsoft.com/office/drawing/2012/chart" uri="{CE6537A1-D6FC-4f65-9D91-7224C49458BB}">
                  <c15:layout/>
                </c:ext>
              </c:extLst>
            </c:dLbl>
            <c:dLbl>
              <c:idx val="3"/>
              <c:layout>
                <c:manualLayout>
                  <c:x val="-1.9956830939310303E-3"/>
                  <c:y val="7.5621207110211485E-3"/>
                </c:manualLayout>
              </c:layout>
              <c:showPercent val="1"/>
              <c:extLst>
                <c:ext xmlns:c15="http://schemas.microsoft.com/office/drawing/2012/chart" uri="{CE6537A1-D6FC-4f65-9D91-7224C49458BB}">
                  <c15:layout/>
                </c:ext>
              </c:extLst>
            </c:dLbl>
            <c:dLbl>
              <c:idx val="5"/>
              <c:layout>
                <c:manualLayout>
                  <c:x val="1.7734670986319909E-2"/>
                  <c:y val="-8.438743958272734E-3"/>
                </c:manualLayout>
              </c:layout>
              <c:showPercent val="1"/>
              <c:extLst>
                <c:ext xmlns:c15="http://schemas.microsoft.com/office/drawing/2012/chart" uri="{CE6537A1-D6FC-4f65-9D91-7224C49458BB}">
                  <c15:layout/>
                </c:ext>
              </c:extLst>
            </c:dLbl>
            <c:dLbl>
              <c:idx val="6"/>
              <c:layout>
                <c:manualLayout>
                  <c:x val="2.4663281809482369E-2"/>
                  <c:y val="1.2653869054973189E-3"/>
                </c:manualLayout>
              </c:layout>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15:layout/>
              </c:ext>
            </c:extLst>
          </c:dLbls>
          <c:cat>
            <c:strRef>
              <c:f>FIN!$A$56:$A$62</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FIN!$B$56:$B$62</c:f>
              <c:numCache>
                <c:formatCode>General</c:formatCode>
                <c:ptCount val="7"/>
                <c:pt idx="0">
                  <c:v>18</c:v>
                </c:pt>
                <c:pt idx="1">
                  <c:v>5</c:v>
                </c:pt>
                <c:pt idx="2">
                  <c:v>7</c:v>
                </c:pt>
                <c:pt idx="3">
                  <c:v>2</c:v>
                </c:pt>
                <c:pt idx="4">
                  <c:v>1</c:v>
                </c:pt>
                <c:pt idx="5">
                  <c:v>2</c:v>
                </c:pt>
                <c:pt idx="6">
                  <c:v>2</c:v>
                </c:pt>
              </c:numCache>
            </c:numRef>
          </c:val>
        </c:ser>
        <c:dLbls/>
        <c:firstSliceAng val="0"/>
      </c:pieChart>
    </c:plotArea>
    <c:legend>
      <c:legendPos val="r"/>
    </c:legend>
    <c:plotVisOnly val="1"/>
    <c:dispBlanksAs val="zero"/>
  </c:chart>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FIN!$B$84</c:f>
              <c:strCache>
                <c:ptCount val="1"/>
                <c:pt idx="0">
                  <c:v>2012-2013</c:v>
                </c:pt>
              </c:strCache>
            </c:strRef>
          </c:tx>
          <c:spPr>
            <a:solidFill>
              <a:schemeClr val="bg1">
                <a:lumMod val="65000"/>
              </a:schemeClr>
            </a:solidFill>
          </c:spPr>
          <c:cat>
            <c:strRef>
              <c:f>FIN!$A$85:$A$86</c:f>
              <c:strCache>
                <c:ptCount val="2"/>
                <c:pt idx="0">
                  <c:v>All disclosed </c:v>
                </c:pt>
                <c:pt idx="1">
                  <c:v>Disclosed in part </c:v>
                </c:pt>
              </c:strCache>
            </c:strRef>
          </c:cat>
          <c:val>
            <c:numRef>
              <c:f>FIN!$B$85:$B$86</c:f>
              <c:numCache>
                <c:formatCode>0.00%</c:formatCode>
                <c:ptCount val="2"/>
                <c:pt idx="0">
                  <c:v>0.12227074235807892</c:v>
                </c:pt>
                <c:pt idx="1">
                  <c:v>0.60698689956331875</c:v>
                </c:pt>
              </c:numCache>
            </c:numRef>
          </c:val>
        </c:ser>
        <c:ser>
          <c:idx val="1"/>
          <c:order val="1"/>
          <c:tx>
            <c:strRef>
              <c:f>FIN!$C$84</c:f>
              <c:strCache>
                <c:ptCount val="1"/>
                <c:pt idx="0">
                  <c:v>2013-2014</c:v>
                </c:pt>
              </c:strCache>
            </c:strRef>
          </c:tx>
          <c:spPr>
            <a:solidFill>
              <a:srgbClr val="FFC000"/>
            </a:solidFill>
          </c:spPr>
          <c:cat>
            <c:strRef>
              <c:f>FIN!$A$85:$A$86</c:f>
              <c:strCache>
                <c:ptCount val="2"/>
                <c:pt idx="0">
                  <c:v>All disclosed </c:v>
                </c:pt>
                <c:pt idx="1">
                  <c:v>Disclosed in part </c:v>
                </c:pt>
              </c:strCache>
            </c:strRef>
          </c:cat>
          <c:val>
            <c:numRef>
              <c:f>FIN!$C$85:$C$86</c:f>
              <c:numCache>
                <c:formatCode>0.00%</c:formatCode>
                <c:ptCount val="2"/>
                <c:pt idx="0">
                  <c:v>9.7731239092495634E-2</c:v>
                </c:pt>
                <c:pt idx="1">
                  <c:v>0.61431064572425675</c:v>
                </c:pt>
              </c:numCache>
            </c:numRef>
          </c:val>
        </c:ser>
        <c:ser>
          <c:idx val="2"/>
          <c:order val="2"/>
          <c:tx>
            <c:strRef>
              <c:f>FIN!$D$84</c:f>
              <c:strCache>
                <c:ptCount val="1"/>
                <c:pt idx="0">
                  <c:v>2014-2015</c:v>
                </c:pt>
              </c:strCache>
            </c:strRef>
          </c:tx>
          <c:spPr>
            <a:solidFill>
              <a:schemeClr val="accent5">
                <a:lumMod val="75000"/>
              </a:schemeClr>
            </a:solidFill>
          </c:spPr>
          <c:cat>
            <c:strRef>
              <c:f>FIN!$A$85:$A$86</c:f>
              <c:strCache>
                <c:ptCount val="2"/>
                <c:pt idx="0">
                  <c:v>All disclosed </c:v>
                </c:pt>
                <c:pt idx="1">
                  <c:v>Disclosed in part </c:v>
                </c:pt>
              </c:strCache>
            </c:strRef>
          </c:cat>
          <c:val>
            <c:numRef>
              <c:f>FIN!$D$85:$D$86</c:f>
              <c:numCache>
                <c:formatCode>0.00%</c:formatCode>
                <c:ptCount val="2"/>
                <c:pt idx="0">
                  <c:v>8.7136929460580964E-2</c:v>
                </c:pt>
                <c:pt idx="1">
                  <c:v>0.61825726141078863</c:v>
                </c:pt>
              </c:numCache>
            </c:numRef>
          </c:val>
        </c:ser>
        <c:dLbls/>
        <c:axId val="245819264"/>
        <c:axId val="245820800"/>
      </c:barChart>
      <c:catAx>
        <c:axId val="245819264"/>
        <c:scaling>
          <c:orientation val="minMax"/>
        </c:scaling>
        <c:axPos val="b"/>
        <c:numFmt formatCode="General" sourceLinked="0"/>
        <c:tickLblPos val="nextTo"/>
        <c:crossAx val="245820800"/>
        <c:crosses val="autoZero"/>
        <c:auto val="1"/>
        <c:lblAlgn val="ctr"/>
        <c:lblOffset val="100"/>
      </c:catAx>
      <c:valAx>
        <c:axId val="245820800"/>
        <c:scaling>
          <c:orientation val="minMax"/>
        </c:scaling>
        <c:axPos val="l"/>
        <c:majorGridlines/>
        <c:numFmt formatCode="0%" sourceLinked="0"/>
        <c:tickLblPos val="nextTo"/>
        <c:crossAx val="245819264"/>
        <c:crosses val="autoZero"/>
        <c:crossBetween val="between"/>
      </c:valAx>
    </c:plotArea>
    <c:legend>
      <c:legendPos val="b"/>
    </c:legend>
    <c:plotVisOnly val="1"/>
    <c:dispBlanksAs val="gap"/>
  </c:chart>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DFO!$B$2</c:f>
              <c:strCache>
                <c:ptCount val="1"/>
                <c:pt idx="0">
                  <c:v>2012-2013</c:v>
                </c:pt>
              </c:strCache>
            </c:strRef>
          </c:tx>
          <c:spPr>
            <a:solidFill>
              <a:schemeClr val="bg1">
                <a:lumMod val="65000"/>
              </a:schemeClr>
            </a:solidFill>
          </c:spPr>
          <c:cat>
            <c:strRef>
              <c:f>DFO!$A$3:$A$8</c:f>
              <c:strCache>
                <c:ptCount val="6"/>
                <c:pt idx="0">
                  <c:v>30 days or less</c:v>
                </c:pt>
                <c:pt idx="1">
                  <c:v>31-60 days</c:v>
                </c:pt>
                <c:pt idx="2">
                  <c:v>61-120 days</c:v>
                </c:pt>
                <c:pt idx="3">
                  <c:v>121-180 days</c:v>
                </c:pt>
                <c:pt idx="4">
                  <c:v>181-365 days</c:v>
                </c:pt>
                <c:pt idx="5">
                  <c:v>More than 365 days</c:v>
                </c:pt>
              </c:strCache>
            </c:strRef>
          </c:cat>
          <c:val>
            <c:numRef>
              <c:f>DFO!$B$3:$B$8</c:f>
              <c:numCache>
                <c:formatCode>0.00%</c:formatCode>
                <c:ptCount val="6"/>
                <c:pt idx="0">
                  <c:v>0.59161147902869793</c:v>
                </c:pt>
                <c:pt idx="1">
                  <c:v>0.15452538631346627</c:v>
                </c:pt>
                <c:pt idx="2">
                  <c:v>0.14790286975717479</c:v>
                </c:pt>
                <c:pt idx="3">
                  <c:v>5.7395143487858707E-2</c:v>
                </c:pt>
                <c:pt idx="4">
                  <c:v>3.5320088300220751E-2</c:v>
                </c:pt>
                <c:pt idx="5">
                  <c:v>1.3245033112582799E-2</c:v>
                </c:pt>
              </c:numCache>
            </c:numRef>
          </c:val>
        </c:ser>
        <c:ser>
          <c:idx val="1"/>
          <c:order val="1"/>
          <c:tx>
            <c:strRef>
              <c:f>DFO!$C$2</c:f>
              <c:strCache>
                <c:ptCount val="1"/>
                <c:pt idx="0">
                  <c:v>2013-2014</c:v>
                </c:pt>
              </c:strCache>
            </c:strRef>
          </c:tx>
          <c:spPr>
            <a:solidFill>
              <a:srgbClr val="FFC000"/>
            </a:solidFill>
          </c:spPr>
          <c:cat>
            <c:strRef>
              <c:f>DFO!$A$3:$A$8</c:f>
              <c:strCache>
                <c:ptCount val="6"/>
                <c:pt idx="0">
                  <c:v>30 days or less</c:v>
                </c:pt>
                <c:pt idx="1">
                  <c:v>31-60 days</c:v>
                </c:pt>
                <c:pt idx="2">
                  <c:v>61-120 days</c:v>
                </c:pt>
                <c:pt idx="3">
                  <c:v>121-180 days</c:v>
                </c:pt>
                <c:pt idx="4">
                  <c:v>181-365 days</c:v>
                </c:pt>
                <c:pt idx="5">
                  <c:v>More than 365 days</c:v>
                </c:pt>
              </c:strCache>
            </c:strRef>
          </c:cat>
          <c:val>
            <c:numRef>
              <c:f>DFO!$C$3:$C$8</c:f>
              <c:numCache>
                <c:formatCode>0.00%</c:formatCode>
                <c:ptCount val="6"/>
                <c:pt idx="0">
                  <c:v>0.46347607052896789</c:v>
                </c:pt>
                <c:pt idx="1">
                  <c:v>0.12090680100755667</c:v>
                </c:pt>
                <c:pt idx="2">
                  <c:v>0.17632241813602051</c:v>
                </c:pt>
                <c:pt idx="3">
                  <c:v>6.5491183879093334E-2</c:v>
                </c:pt>
                <c:pt idx="4">
                  <c:v>9.3198992443325177E-2</c:v>
                </c:pt>
                <c:pt idx="5">
                  <c:v>8.0604534005037795E-2</c:v>
                </c:pt>
              </c:numCache>
            </c:numRef>
          </c:val>
        </c:ser>
        <c:ser>
          <c:idx val="2"/>
          <c:order val="2"/>
          <c:tx>
            <c:strRef>
              <c:f>DFO!$D$2</c:f>
              <c:strCache>
                <c:ptCount val="1"/>
                <c:pt idx="0">
                  <c:v>2014-2015</c:v>
                </c:pt>
              </c:strCache>
            </c:strRef>
          </c:tx>
          <c:spPr>
            <a:solidFill>
              <a:schemeClr val="accent5">
                <a:lumMod val="75000"/>
              </a:schemeClr>
            </a:solidFill>
          </c:spPr>
          <c:cat>
            <c:strRef>
              <c:f>DFO!$A$3:$A$8</c:f>
              <c:strCache>
                <c:ptCount val="6"/>
                <c:pt idx="0">
                  <c:v>30 days or less</c:v>
                </c:pt>
                <c:pt idx="1">
                  <c:v>31-60 days</c:v>
                </c:pt>
                <c:pt idx="2">
                  <c:v>61-120 days</c:v>
                </c:pt>
                <c:pt idx="3">
                  <c:v>121-180 days</c:v>
                </c:pt>
                <c:pt idx="4">
                  <c:v>181-365 days</c:v>
                </c:pt>
                <c:pt idx="5">
                  <c:v>More than 365 days</c:v>
                </c:pt>
              </c:strCache>
            </c:strRef>
          </c:cat>
          <c:val>
            <c:numRef>
              <c:f>DFO!$D$3:$D$8</c:f>
              <c:numCache>
                <c:formatCode>0.00%</c:formatCode>
                <c:ptCount val="6"/>
                <c:pt idx="0">
                  <c:v>0.44532803180914637</c:v>
                </c:pt>
                <c:pt idx="1">
                  <c:v>0.13121272365805167</c:v>
                </c:pt>
                <c:pt idx="2">
                  <c:v>0.18290258449304206</c:v>
                </c:pt>
                <c:pt idx="3">
                  <c:v>6.1630218687872745E-2</c:v>
                </c:pt>
                <c:pt idx="4">
                  <c:v>8.1510934393638226E-2</c:v>
                </c:pt>
                <c:pt idx="5">
                  <c:v>9.7415506958250506E-2</c:v>
                </c:pt>
              </c:numCache>
            </c:numRef>
          </c:val>
        </c:ser>
        <c:dLbls/>
        <c:axId val="246646272"/>
        <c:axId val="246647808"/>
      </c:barChart>
      <c:catAx>
        <c:axId val="246646272"/>
        <c:scaling>
          <c:orientation val="minMax"/>
        </c:scaling>
        <c:axPos val="b"/>
        <c:numFmt formatCode="General" sourceLinked="0"/>
        <c:tickLblPos val="nextTo"/>
        <c:crossAx val="246647808"/>
        <c:crosses val="autoZero"/>
        <c:auto val="1"/>
        <c:lblAlgn val="ctr"/>
        <c:lblOffset val="100"/>
      </c:catAx>
      <c:valAx>
        <c:axId val="246647808"/>
        <c:scaling>
          <c:orientation val="minMax"/>
        </c:scaling>
        <c:axPos val="l"/>
        <c:majorGridlines/>
        <c:numFmt formatCode="0%" sourceLinked="0"/>
        <c:tickLblPos val="nextTo"/>
        <c:crossAx val="246646272"/>
        <c:crosses val="autoZero"/>
        <c:crossBetween val="between"/>
      </c:valAx>
    </c:plotArea>
    <c:legend>
      <c:legendPos val="b"/>
    </c:legend>
    <c:plotVisOnly val="1"/>
    <c:dispBlanksAs val="gap"/>
  </c:chart>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DFO!$B$30</c:f>
              <c:strCache>
                <c:ptCount val="1"/>
                <c:pt idx="0">
                  <c:v>2012-2013</c:v>
                </c:pt>
              </c:strCache>
            </c:strRef>
          </c:tx>
          <c:spPr>
            <a:solidFill>
              <a:schemeClr val="bg1">
                <a:lumMod val="65000"/>
              </a:schemeClr>
            </a:solidFill>
          </c:spPr>
          <c:cat>
            <c:strRef>
              <c:f>DFO!$A$31:$A$36</c:f>
              <c:strCache>
                <c:ptCount val="6"/>
                <c:pt idx="0">
                  <c:v> 30 days or less</c:v>
                </c:pt>
                <c:pt idx="1">
                  <c:v>31-60 days</c:v>
                </c:pt>
                <c:pt idx="2">
                  <c:v>61-120 days </c:v>
                </c:pt>
                <c:pt idx="3">
                  <c:v>121-180 days </c:v>
                </c:pt>
                <c:pt idx="4">
                  <c:v>181-365 days </c:v>
                </c:pt>
                <c:pt idx="5">
                  <c:v>More than 365 days </c:v>
                </c:pt>
              </c:strCache>
            </c:strRef>
          </c:cat>
          <c:val>
            <c:numRef>
              <c:f>DFO!$B$31:$B$36</c:f>
              <c:numCache>
                <c:formatCode>0.00%</c:formatCode>
                <c:ptCount val="6"/>
                <c:pt idx="0">
                  <c:v>0.35260000000000002</c:v>
                </c:pt>
                <c:pt idx="1">
                  <c:v>0.30060000000000031</c:v>
                </c:pt>
                <c:pt idx="2">
                  <c:v>0.20810000000000001</c:v>
                </c:pt>
                <c:pt idx="3">
                  <c:v>9.2500000000000027E-2</c:v>
                </c:pt>
                <c:pt idx="4">
                  <c:v>4.0500000000000001E-2</c:v>
                </c:pt>
                <c:pt idx="5">
                  <c:v>5.8000000000000013E-3</c:v>
                </c:pt>
              </c:numCache>
            </c:numRef>
          </c:val>
        </c:ser>
        <c:ser>
          <c:idx val="1"/>
          <c:order val="1"/>
          <c:tx>
            <c:strRef>
              <c:f>DFO!$C$30</c:f>
              <c:strCache>
                <c:ptCount val="1"/>
                <c:pt idx="0">
                  <c:v>2013-2014</c:v>
                </c:pt>
              </c:strCache>
            </c:strRef>
          </c:tx>
          <c:spPr>
            <a:solidFill>
              <a:srgbClr val="FFC000"/>
            </a:solidFill>
          </c:spPr>
          <c:cat>
            <c:strRef>
              <c:f>DFO!$A$31:$A$36</c:f>
              <c:strCache>
                <c:ptCount val="6"/>
                <c:pt idx="0">
                  <c:v> 30 days or less</c:v>
                </c:pt>
                <c:pt idx="1">
                  <c:v>31-60 days</c:v>
                </c:pt>
                <c:pt idx="2">
                  <c:v>61-120 days </c:v>
                </c:pt>
                <c:pt idx="3">
                  <c:v>121-180 days </c:v>
                </c:pt>
                <c:pt idx="4">
                  <c:v>181-365 days </c:v>
                </c:pt>
                <c:pt idx="5">
                  <c:v>More than 365 days </c:v>
                </c:pt>
              </c:strCache>
            </c:strRef>
          </c:cat>
          <c:val>
            <c:numRef>
              <c:f>DFO!$C$31:$C$36</c:f>
              <c:numCache>
                <c:formatCode>0.00%</c:formatCode>
                <c:ptCount val="6"/>
                <c:pt idx="0">
                  <c:v>0.34150000000000008</c:v>
                </c:pt>
                <c:pt idx="1">
                  <c:v>0.29620000000000002</c:v>
                </c:pt>
                <c:pt idx="2">
                  <c:v>0.15330000000000021</c:v>
                </c:pt>
                <c:pt idx="3">
                  <c:v>8.3600000000000257E-2</c:v>
                </c:pt>
                <c:pt idx="4">
                  <c:v>0.12200000000000009</c:v>
                </c:pt>
                <c:pt idx="5">
                  <c:v>3.5000000000000053E-3</c:v>
                </c:pt>
              </c:numCache>
            </c:numRef>
          </c:val>
        </c:ser>
        <c:ser>
          <c:idx val="2"/>
          <c:order val="2"/>
          <c:tx>
            <c:strRef>
              <c:f>DFO!$D$30</c:f>
              <c:strCache>
                <c:ptCount val="1"/>
                <c:pt idx="0">
                  <c:v>2014-2015</c:v>
                </c:pt>
              </c:strCache>
            </c:strRef>
          </c:tx>
          <c:spPr>
            <a:solidFill>
              <a:schemeClr val="accent5">
                <a:lumMod val="75000"/>
              </a:schemeClr>
            </a:solidFill>
          </c:spPr>
          <c:cat>
            <c:strRef>
              <c:f>DFO!$A$31:$A$36</c:f>
              <c:strCache>
                <c:ptCount val="6"/>
                <c:pt idx="0">
                  <c:v> 30 days or less</c:v>
                </c:pt>
                <c:pt idx="1">
                  <c:v>31-60 days</c:v>
                </c:pt>
                <c:pt idx="2">
                  <c:v>61-120 days </c:v>
                </c:pt>
                <c:pt idx="3">
                  <c:v>121-180 days </c:v>
                </c:pt>
                <c:pt idx="4">
                  <c:v>181-365 days </c:v>
                </c:pt>
                <c:pt idx="5">
                  <c:v>More than 365 days </c:v>
                </c:pt>
              </c:strCache>
            </c:strRef>
          </c:cat>
          <c:val>
            <c:numRef>
              <c:f>DFO!$D$31:$D$36</c:f>
              <c:numCache>
                <c:formatCode>0.00%</c:formatCode>
                <c:ptCount val="6"/>
                <c:pt idx="0">
                  <c:v>0.29040000000000032</c:v>
                </c:pt>
                <c:pt idx="1">
                  <c:v>0.33420000000000061</c:v>
                </c:pt>
                <c:pt idx="2">
                  <c:v>0.1699000000000003</c:v>
                </c:pt>
                <c:pt idx="3">
                  <c:v>0.13969999999999999</c:v>
                </c:pt>
                <c:pt idx="4">
                  <c:v>6.3E-2</c:v>
                </c:pt>
                <c:pt idx="5">
                  <c:v>2.7000000000000053E-3</c:v>
                </c:pt>
              </c:numCache>
            </c:numRef>
          </c:val>
        </c:ser>
        <c:dLbls/>
        <c:axId val="246772864"/>
        <c:axId val="246774400"/>
      </c:barChart>
      <c:catAx>
        <c:axId val="246772864"/>
        <c:scaling>
          <c:orientation val="minMax"/>
        </c:scaling>
        <c:axPos val="b"/>
        <c:numFmt formatCode="General" sourceLinked="0"/>
        <c:tickLblPos val="nextTo"/>
        <c:crossAx val="246774400"/>
        <c:crosses val="autoZero"/>
        <c:auto val="1"/>
        <c:lblAlgn val="ctr"/>
        <c:lblOffset val="100"/>
      </c:catAx>
      <c:valAx>
        <c:axId val="246774400"/>
        <c:scaling>
          <c:orientation val="minMax"/>
        </c:scaling>
        <c:axPos val="l"/>
        <c:majorGridlines/>
        <c:numFmt formatCode="0%" sourceLinked="0"/>
        <c:tickLblPos val="nextTo"/>
        <c:crossAx val="246772864"/>
        <c:crosses val="autoZero"/>
        <c:crossBetween val="between"/>
      </c:valAx>
    </c:plotArea>
    <c:legend>
      <c:legendPos val="b"/>
    </c:legend>
    <c:plotVisOnly val="1"/>
    <c:dispBlanksAs val="gap"/>
  </c:chart>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lang val="en-CA"/>
  <c:chart>
    <c:autoTitleDeleted val="1"/>
    <c:plotArea>
      <c:layout/>
      <c:pieChart>
        <c:varyColors val="1"/>
        <c:ser>
          <c:idx val="0"/>
          <c:order val="0"/>
          <c:tx>
            <c:strRef>
              <c:f>DFO!$B$56</c:f>
              <c:strCache>
                <c:ptCount val="1"/>
                <c:pt idx="0">
                  <c:v>2014-2015</c:v>
                </c:pt>
              </c:strCache>
            </c:strRef>
          </c:tx>
          <c:dPt>
            <c:idx val="2"/>
            <c:spPr>
              <a:solidFill>
                <a:schemeClr val="bg1">
                  <a:lumMod val="50000"/>
                </a:schemeClr>
              </a:solidFill>
            </c:spPr>
          </c:dPt>
          <c:dPt>
            <c:idx val="3"/>
            <c:spPr>
              <a:solidFill>
                <a:schemeClr val="accent5">
                  <a:lumMod val="60000"/>
                  <a:lumOff val="40000"/>
                </a:schemeClr>
              </a:solidFill>
            </c:spPr>
          </c:dPt>
          <c:dPt>
            <c:idx val="4"/>
            <c:spPr>
              <a:solidFill>
                <a:schemeClr val="accent6">
                  <a:lumMod val="50000"/>
                </a:schemeClr>
              </a:solidFill>
            </c:spPr>
          </c:dPt>
          <c:dPt>
            <c:idx val="5"/>
            <c:spPr>
              <a:solidFill>
                <a:srgbClr val="FFC000"/>
              </a:solidFill>
            </c:spPr>
          </c:dPt>
          <c:dPt>
            <c:idx val="6"/>
            <c:spPr>
              <a:solidFill>
                <a:schemeClr val="accent5">
                  <a:lumMod val="50000"/>
                </a:schemeClr>
              </a:solidFill>
            </c:spPr>
          </c:dPt>
          <c:dLbls>
            <c:dLbl>
              <c:idx val="0"/>
              <c:layout>
                <c:manualLayout>
                  <c:x val="-4.00480097510909E-2"/>
                  <c:y val="-1.05379096657314E-2"/>
                </c:manualLayout>
              </c:layout>
              <c:showPercent val="1"/>
              <c:extLst>
                <c:ext xmlns:c15="http://schemas.microsoft.com/office/drawing/2012/chart" uri="{CE6537A1-D6FC-4f65-9D91-7224C49458BB}">
                  <c15:layout/>
                </c:ext>
              </c:extLst>
            </c:dLbl>
            <c:dLbl>
              <c:idx val="2"/>
              <c:layout>
                <c:manualLayout>
                  <c:x val="6.1451905170911893E-3"/>
                  <c:y val="1.4578140637061273E-2"/>
                </c:manualLayout>
              </c:layout>
              <c:showPercent val="1"/>
              <c:extLst>
                <c:ext xmlns:c15="http://schemas.microsoft.com/office/drawing/2012/chart" uri="{CE6537A1-D6FC-4f65-9D91-7224C49458BB}">
                  <c15:layout/>
                </c:ext>
              </c:extLst>
            </c:dLbl>
            <c:dLbl>
              <c:idx val="3"/>
              <c:layout>
                <c:manualLayout>
                  <c:x val="1.5354375280062544E-2"/>
                  <c:y val="-2.204633744735166E-3"/>
                </c:manualLayout>
              </c:layout>
              <c:showPercent val="1"/>
              <c:extLst>
                <c:ext xmlns:c15="http://schemas.microsoft.com/office/drawing/2012/chart" uri="{CE6537A1-D6FC-4f65-9D91-7224C49458BB}">
                  <c15:layout/>
                </c:ext>
              </c:extLst>
            </c:dLbl>
            <c:dLbl>
              <c:idx val="4"/>
              <c:layout>
                <c:manualLayout>
                  <c:x val="2.8850084433980475E-2"/>
                  <c:y val="-4.516533704686318E-2"/>
                </c:manualLayout>
              </c:layout>
              <c:showPercent val="1"/>
              <c:extLst>
                <c:ext xmlns:c15="http://schemas.microsoft.com/office/drawing/2012/chart" uri="{CE6537A1-D6FC-4f65-9D91-7224C49458BB}">
                  <c15:layout/>
                </c:ext>
              </c:extLst>
            </c:dLbl>
            <c:dLbl>
              <c:idx val="5"/>
              <c:layout>
                <c:manualLayout>
                  <c:x val="-6.2624269803683394E-2"/>
                  <c:y val="-3.2474914053731388E-2"/>
                </c:manualLayout>
              </c:layout>
              <c:showPercent val="1"/>
              <c:extLst>
                <c:ext xmlns:c15="http://schemas.microsoft.com/office/drawing/2012/chart" uri="{CE6537A1-D6FC-4f65-9D91-7224C49458BB}">
                  <c15:layout/>
                </c:ext>
              </c:extLst>
            </c:dLbl>
            <c:dLbl>
              <c:idx val="6"/>
              <c:layout>
                <c:manualLayout>
                  <c:x val="1.2410202038211204E-2"/>
                  <c:y val="-2.9833846699474611E-2"/>
                </c:manualLayout>
              </c:layout>
              <c:showPercent val="1"/>
              <c:extLst>
                <c:ext xmlns:c15="http://schemas.microsoft.com/office/drawing/2012/chart" uri="{CE6537A1-D6FC-4f65-9D91-7224C49458BB}">
                  <c15:layout/>
                </c:ext>
              </c:extLst>
            </c:dLbl>
            <c:numFmt formatCode="0.00%" sourceLinked="0"/>
            <c:spPr>
              <a:noFill/>
              <a:ln>
                <a:noFill/>
              </a:ln>
              <a:effectLst/>
            </c:spPr>
            <c:showPercent val="1"/>
            <c:extLst>
              <c:ext xmlns:c15="http://schemas.microsoft.com/office/drawing/2012/chart" uri="{CE6537A1-D6FC-4f65-9D91-7224C49458BB}">
                <c15:layout/>
              </c:ext>
            </c:extLst>
          </c:dLbls>
          <c:cat>
            <c:strRef>
              <c:f>DFO!$A$57:$A$63</c:f>
              <c:strCache>
                <c:ptCount val="7"/>
                <c:pt idx="0">
                  <c:v>1 to 15 days </c:v>
                </c:pt>
                <c:pt idx="1">
                  <c:v>16 to 30 days</c:v>
                </c:pt>
                <c:pt idx="2">
                  <c:v>31 to 60 days </c:v>
                </c:pt>
                <c:pt idx="3">
                  <c:v>61 to 120 days </c:v>
                </c:pt>
                <c:pt idx="4">
                  <c:v>121 to 180 days</c:v>
                </c:pt>
                <c:pt idx="5">
                  <c:v>181 to 365 days </c:v>
                </c:pt>
                <c:pt idx="6">
                  <c:v>more than 365 days </c:v>
                </c:pt>
              </c:strCache>
            </c:strRef>
          </c:cat>
          <c:val>
            <c:numRef>
              <c:f>DFO!$B$57:$B$63</c:f>
              <c:numCache>
                <c:formatCode>General</c:formatCode>
                <c:ptCount val="7"/>
                <c:pt idx="0">
                  <c:v>11</c:v>
                </c:pt>
                <c:pt idx="1">
                  <c:v>1</c:v>
                </c:pt>
                <c:pt idx="2">
                  <c:v>6</c:v>
                </c:pt>
                <c:pt idx="3">
                  <c:v>10</c:v>
                </c:pt>
                <c:pt idx="4">
                  <c:v>13</c:v>
                </c:pt>
                <c:pt idx="5">
                  <c:v>15</c:v>
                </c:pt>
                <c:pt idx="6">
                  <c:v>35</c:v>
                </c:pt>
              </c:numCache>
            </c:numRef>
          </c:val>
        </c:ser>
        <c:dLbls/>
        <c:firstSliceAng val="0"/>
      </c:pieChart>
    </c:plotArea>
    <c:legend>
      <c:legendPos val="r"/>
      <c:layout>
        <c:manualLayout>
          <c:xMode val="edge"/>
          <c:yMode val="edge"/>
          <c:x val="0.78456787821883867"/>
          <c:y val="0.30341606817706607"/>
          <c:w val="0.2154321217811615"/>
          <c:h val="0.39316786364586903"/>
        </c:manualLayout>
      </c:layout>
    </c:legend>
    <c:plotVisOnly val="1"/>
    <c:dispBlanksAs val="zero"/>
  </c:chart>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DFO!$B$85</c:f>
              <c:strCache>
                <c:ptCount val="1"/>
                <c:pt idx="0">
                  <c:v>2012-2013</c:v>
                </c:pt>
              </c:strCache>
            </c:strRef>
          </c:tx>
          <c:spPr>
            <a:solidFill>
              <a:schemeClr val="bg1">
                <a:lumMod val="65000"/>
              </a:schemeClr>
            </a:solidFill>
          </c:spPr>
          <c:cat>
            <c:strRef>
              <c:f>DFO!$A$86:$A$87</c:f>
              <c:strCache>
                <c:ptCount val="2"/>
                <c:pt idx="0">
                  <c:v>All disclosed </c:v>
                </c:pt>
                <c:pt idx="1">
                  <c:v>Disclosed in part </c:v>
                </c:pt>
              </c:strCache>
            </c:strRef>
          </c:cat>
          <c:val>
            <c:numRef>
              <c:f>DFO!$B$86:$B$87</c:f>
              <c:numCache>
                <c:formatCode>0.00%</c:formatCode>
                <c:ptCount val="2"/>
                <c:pt idx="0">
                  <c:v>0.18101545253863188</c:v>
                </c:pt>
                <c:pt idx="1">
                  <c:v>0.43708609271523252</c:v>
                </c:pt>
              </c:numCache>
            </c:numRef>
          </c:val>
        </c:ser>
        <c:ser>
          <c:idx val="1"/>
          <c:order val="1"/>
          <c:tx>
            <c:strRef>
              <c:f>DFO!$C$85</c:f>
              <c:strCache>
                <c:ptCount val="1"/>
                <c:pt idx="0">
                  <c:v>2013-2014</c:v>
                </c:pt>
              </c:strCache>
            </c:strRef>
          </c:tx>
          <c:spPr>
            <a:solidFill>
              <a:srgbClr val="FFC000"/>
            </a:solidFill>
          </c:spPr>
          <c:cat>
            <c:strRef>
              <c:f>DFO!$A$86:$A$87</c:f>
              <c:strCache>
                <c:ptCount val="2"/>
                <c:pt idx="0">
                  <c:v>All disclosed </c:v>
                </c:pt>
                <c:pt idx="1">
                  <c:v>Disclosed in part </c:v>
                </c:pt>
              </c:strCache>
            </c:strRef>
          </c:cat>
          <c:val>
            <c:numRef>
              <c:f>DFO!$C$86:$C$87</c:f>
              <c:numCache>
                <c:formatCode>0.00%</c:formatCode>
                <c:ptCount val="2"/>
                <c:pt idx="0">
                  <c:v>0.16624685138539097</c:v>
                </c:pt>
                <c:pt idx="1">
                  <c:v>0.50629722921914355</c:v>
                </c:pt>
              </c:numCache>
            </c:numRef>
          </c:val>
        </c:ser>
        <c:ser>
          <c:idx val="2"/>
          <c:order val="2"/>
          <c:tx>
            <c:strRef>
              <c:f>DFO!$D$85</c:f>
              <c:strCache>
                <c:ptCount val="1"/>
                <c:pt idx="0">
                  <c:v>2014-2015</c:v>
                </c:pt>
              </c:strCache>
            </c:strRef>
          </c:tx>
          <c:spPr>
            <a:solidFill>
              <a:schemeClr val="accent5">
                <a:lumMod val="75000"/>
              </a:schemeClr>
            </a:solidFill>
          </c:spPr>
          <c:cat>
            <c:strRef>
              <c:f>DFO!$A$86:$A$87</c:f>
              <c:strCache>
                <c:ptCount val="2"/>
                <c:pt idx="0">
                  <c:v>All disclosed </c:v>
                </c:pt>
                <c:pt idx="1">
                  <c:v>Disclosed in part </c:v>
                </c:pt>
              </c:strCache>
            </c:strRef>
          </c:cat>
          <c:val>
            <c:numRef>
              <c:f>DFO!$D$86:$D$87</c:f>
              <c:numCache>
                <c:formatCode>0.00%</c:formatCode>
                <c:ptCount val="2"/>
                <c:pt idx="0">
                  <c:v>0.12922465208747524</c:v>
                </c:pt>
                <c:pt idx="1">
                  <c:v>0.55467196819085485</c:v>
                </c:pt>
              </c:numCache>
            </c:numRef>
          </c:val>
        </c:ser>
        <c:dLbls/>
        <c:axId val="246915456"/>
        <c:axId val="246916992"/>
      </c:barChart>
      <c:catAx>
        <c:axId val="246915456"/>
        <c:scaling>
          <c:orientation val="minMax"/>
        </c:scaling>
        <c:axPos val="b"/>
        <c:numFmt formatCode="General" sourceLinked="0"/>
        <c:tickLblPos val="nextTo"/>
        <c:crossAx val="246916992"/>
        <c:crosses val="autoZero"/>
        <c:auto val="1"/>
        <c:lblAlgn val="ctr"/>
        <c:lblOffset val="100"/>
      </c:catAx>
      <c:valAx>
        <c:axId val="246916992"/>
        <c:scaling>
          <c:orientation val="minMax"/>
        </c:scaling>
        <c:axPos val="l"/>
        <c:majorGridlines/>
        <c:numFmt formatCode="0%" sourceLinked="0"/>
        <c:tickLblPos val="nextTo"/>
        <c:crossAx val="246915456"/>
        <c:crosses val="autoZero"/>
        <c:crossBetween val="between"/>
      </c:valAx>
    </c:plotArea>
    <c:legend>
      <c:legendPos val="b"/>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CBSA!$B$86</c:f>
              <c:strCache>
                <c:ptCount val="1"/>
                <c:pt idx="0">
                  <c:v>2012-2013</c:v>
                </c:pt>
              </c:strCache>
            </c:strRef>
          </c:tx>
          <c:spPr>
            <a:solidFill>
              <a:schemeClr val="bg1">
                <a:lumMod val="65000"/>
              </a:schemeClr>
            </a:solidFill>
          </c:spPr>
          <c:cat>
            <c:strRef>
              <c:f>CBSA!$A$87:$A$88</c:f>
              <c:strCache>
                <c:ptCount val="2"/>
                <c:pt idx="0">
                  <c:v>All disclosed </c:v>
                </c:pt>
                <c:pt idx="1">
                  <c:v>Disclosed in part </c:v>
                </c:pt>
              </c:strCache>
            </c:strRef>
          </c:cat>
          <c:val>
            <c:numRef>
              <c:f>CBSA!$B$87:$B$88</c:f>
              <c:numCache>
                <c:formatCode>0.00%</c:formatCode>
                <c:ptCount val="2"/>
                <c:pt idx="0">
                  <c:v>0.44970000000000004</c:v>
                </c:pt>
                <c:pt idx="1">
                  <c:v>0.34832237979938008</c:v>
                </c:pt>
              </c:numCache>
            </c:numRef>
          </c:val>
        </c:ser>
        <c:ser>
          <c:idx val="1"/>
          <c:order val="1"/>
          <c:tx>
            <c:strRef>
              <c:f>CBSA!$C$86</c:f>
              <c:strCache>
                <c:ptCount val="1"/>
                <c:pt idx="0">
                  <c:v>2013-2014</c:v>
                </c:pt>
              </c:strCache>
            </c:strRef>
          </c:tx>
          <c:spPr>
            <a:solidFill>
              <a:srgbClr val="FFC000"/>
            </a:solidFill>
            <a:ln>
              <a:solidFill>
                <a:srgbClr val="FFC000"/>
              </a:solidFill>
            </a:ln>
          </c:spPr>
          <c:cat>
            <c:strRef>
              <c:f>CBSA!$A$87:$A$88</c:f>
              <c:strCache>
                <c:ptCount val="2"/>
                <c:pt idx="0">
                  <c:v>All disclosed </c:v>
                </c:pt>
                <c:pt idx="1">
                  <c:v>Disclosed in part </c:v>
                </c:pt>
              </c:strCache>
            </c:strRef>
          </c:cat>
          <c:val>
            <c:numRef>
              <c:f>CBSA!$C$87:$C$88</c:f>
              <c:numCache>
                <c:formatCode>0.00%</c:formatCode>
                <c:ptCount val="2"/>
                <c:pt idx="0">
                  <c:v>0.54600000000000004</c:v>
                </c:pt>
                <c:pt idx="1">
                  <c:v>0.36780000000000157</c:v>
                </c:pt>
              </c:numCache>
            </c:numRef>
          </c:val>
        </c:ser>
        <c:ser>
          <c:idx val="2"/>
          <c:order val="2"/>
          <c:tx>
            <c:strRef>
              <c:f>CBSA!$D$86</c:f>
              <c:strCache>
                <c:ptCount val="1"/>
                <c:pt idx="0">
                  <c:v>2014-2015</c:v>
                </c:pt>
              </c:strCache>
            </c:strRef>
          </c:tx>
          <c:spPr>
            <a:solidFill>
              <a:schemeClr val="accent5">
                <a:lumMod val="75000"/>
              </a:schemeClr>
            </a:solidFill>
          </c:spPr>
          <c:cat>
            <c:strRef>
              <c:f>CBSA!$A$87:$A$88</c:f>
              <c:strCache>
                <c:ptCount val="2"/>
                <c:pt idx="0">
                  <c:v>All disclosed </c:v>
                </c:pt>
                <c:pt idx="1">
                  <c:v>Disclosed in part </c:v>
                </c:pt>
              </c:strCache>
            </c:strRef>
          </c:cat>
          <c:val>
            <c:numRef>
              <c:f>CBSA!$D$87:$D$88</c:f>
              <c:numCache>
                <c:formatCode>0.00%</c:formatCode>
                <c:ptCount val="2"/>
                <c:pt idx="0">
                  <c:v>0.598353425463099</c:v>
                </c:pt>
                <c:pt idx="1">
                  <c:v>0.27874154660393785</c:v>
                </c:pt>
              </c:numCache>
            </c:numRef>
          </c:val>
        </c:ser>
        <c:dLbls/>
        <c:axId val="217845760"/>
        <c:axId val="217847296"/>
      </c:barChart>
      <c:catAx>
        <c:axId val="217845760"/>
        <c:scaling>
          <c:orientation val="minMax"/>
        </c:scaling>
        <c:axPos val="b"/>
        <c:numFmt formatCode="General" sourceLinked="0"/>
        <c:tickLblPos val="nextTo"/>
        <c:crossAx val="217847296"/>
        <c:crosses val="autoZero"/>
        <c:auto val="1"/>
        <c:lblAlgn val="ctr"/>
        <c:lblOffset val="100"/>
      </c:catAx>
      <c:valAx>
        <c:axId val="217847296"/>
        <c:scaling>
          <c:orientation val="minMax"/>
        </c:scaling>
        <c:axPos val="l"/>
        <c:majorGridlines/>
        <c:numFmt formatCode="0%" sourceLinked="0"/>
        <c:tickLblPos val="nextTo"/>
        <c:crossAx val="217845760"/>
        <c:crosses val="autoZero"/>
        <c:crossBetween val="between"/>
      </c:valAx>
    </c:plotArea>
    <c:legend>
      <c:legendPos val="b"/>
    </c:legend>
    <c:plotVisOnly val="1"/>
    <c:dispBlanksAs val="gap"/>
  </c:chart>
  <c:txPr>
    <a:bodyPr/>
    <a:lstStyle/>
    <a:p>
      <a:pPr>
        <a:defRPr sz="1100"/>
      </a:pPr>
      <a:endParaRPr lang="en-US"/>
    </a:p>
  </c:txPr>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CBC!$B$2</c:f>
              <c:strCache>
                <c:ptCount val="1"/>
                <c:pt idx="0">
                  <c:v>2012-2013</c:v>
                </c:pt>
              </c:strCache>
            </c:strRef>
          </c:tx>
          <c:spPr>
            <a:solidFill>
              <a:schemeClr val="bg1">
                <a:lumMod val="65000"/>
              </a:schemeClr>
            </a:solidFill>
          </c:spPr>
          <c:cat>
            <c:strRef>
              <c:f>CBC!$A$3:$A$8</c:f>
              <c:strCache>
                <c:ptCount val="6"/>
                <c:pt idx="0">
                  <c:v>30 days or less</c:v>
                </c:pt>
                <c:pt idx="1">
                  <c:v>31-60 days</c:v>
                </c:pt>
                <c:pt idx="2">
                  <c:v>61-120 days</c:v>
                </c:pt>
                <c:pt idx="3">
                  <c:v>121-180 days</c:v>
                </c:pt>
                <c:pt idx="4">
                  <c:v>181-365 days</c:v>
                </c:pt>
                <c:pt idx="5">
                  <c:v>More than 365 days</c:v>
                </c:pt>
              </c:strCache>
            </c:strRef>
          </c:cat>
          <c:val>
            <c:numRef>
              <c:f>CBC!$B$3:$B$8</c:f>
              <c:numCache>
                <c:formatCode>0.00%</c:formatCode>
                <c:ptCount val="6"/>
                <c:pt idx="0">
                  <c:v>0.66450000000000065</c:v>
                </c:pt>
                <c:pt idx="1">
                  <c:v>0.13159999999999999</c:v>
                </c:pt>
                <c:pt idx="2">
                  <c:v>0.1711</c:v>
                </c:pt>
                <c:pt idx="3">
                  <c:v>6.6000000000000104E-3</c:v>
                </c:pt>
                <c:pt idx="4">
                  <c:v>1.9699999999999999E-2</c:v>
                </c:pt>
                <c:pt idx="5">
                  <c:v>6.6000000000000104E-3</c:v>
                </c:pt>
              </c:numCache>
            </c:numRef>
          </c:val>
        </c:ser>
        <c:ser>
          <c:idx val="1"/>
          <c:order val="1"/>
          <c:tx>
            <c:strRef>
              <c:f>CBC!$C$2</c:f>
              <c:strCache>
                <c:ptCount val="1"/>
                <c:pt idx="0">
                  <c:v>2013-2014</c:v>
                </c:pt>
              </c:strCache>
            </c:strRef>
          </c:tx>
          <c:spPr>
            <a:solidFill>
              <a:srgbClr val="FFC000"/>
            </a:solidFill>
          </c:spPr>
          <c:cat>
            <c:strRef>
              <c:f>CBC!$A$3:$A$8</c:f>
              <c:strCache>
                <c:ptCount val="6"/>
                <c:pt idx="0">
                  <c:v>30 days or less</c:v>
                </c:pt>
                <c:pt idx="1">
                  <c:v>31-60 days</c:v>
                </c:pt>
                <c:pt idx="2">
                  <c:v>61-120 days</c:v>
                </c:pt>
                <c:pt idx="3">
                  <c:v>121-180 days</c:v>
                </c:pt>
                <c:pt idx="4">
                  <c:v>181-365 days</c:v>
                </c:pt>
                <c:pt idx="5">
                  <c:v>More than 365 days</c:v>
                </c:pt>
              </c:strCache>
            </c:strRef>
          </c:cat>
          <c:val>
            <c:numRef>
              <c:f>CBC!$C$3:$C$8</c:f>
              <c:numCache>
                <c:formatCode>0.00%</c:formatCode>
                <c:ptCount val="6"/>
                <c:pt idx="0">
                  <c:v>0.57140000000000002</c:v>
                </c:pt>
                <c:pt idx="1">
                  <c:v>0.21430000000000021</c:v>
                </c:pt>
                <c:pt idx="2">
                  <c:v>0.17760000000000001</c:v>
                </c:pt>
                <c:pt idx="3">
                  <c:v>3.2500000000000091E-2</c:v>
                </c:pt>
                <c:pt idx="4">
                  <c:v>6.5000000000000144E-3</c:v>
                </c:pt>
                <c:pt idx="5">
                  <c:v>0</c:v>
                </c:pt>
              </c:numCache>
            </c:numRef>
          </c:val>
        </c:ser>
        <c:ser>
          <c:idx val="2"/>
          <c:order val="2"/>
          <c:tx>
            <c:strRef>
              <c:f>CBC!$D$2</c:f>
              <c:strCache>
                <c:ptCount val="1"/>
                <c:pt idx="0">
                  <c:v>2014-2015</c:v>
                </c:pt>
              </c:strCache>
            </c:strRef>
          </c:tx>
          <c:spPr>
            <a:solidFill>
              <a:schemeClr val="accent5">
                <a:lumMod val="75000"/>
              </a:schemeClr>
            </a:solidFill>
          </c:spPr>
          <c:cat>
            <c:strRef>
              <c:f>CBC!$A$3:$A$8</c:f>
              <c:strCache>
                <c:ptCount val="6"/>
                <c:pt idx="0">
                  <c:v>30 days or less</c:v>
                </c:pt>
                <c:pt idx="1">
                  <c:v>31-60 days</c:v>
                </c:pt>
                <c:pt idx="2">
                  <c:v>61-120 days</c:v>
                </c:pt>
                <c:pt idx="3">
                  <c:v>121-180 days</c:v>
                </c:pt>
                <c:pt idx="4">
                  <c:v>181-365 days</c:v>
                </c:pt>
                <c:pt idx="5">
                  <c:v>More than 365 days</c:v>
                </c:pt>
              </c:strCache>
            </c:strRef>
          </c:cat>
          <c:val>
            <c:numRef>
              <c:f>CBC!$D$3:$D$8</c:f>
              <c:numCache>
                <c:formatCode>0.00%</c:formatCode>
                <c:ptCount val="6"/>
                <c:pt idx="0">
                  <c:v>0.72483000000000064</c:v>
                </c:pt>
                <c:pt idx="1">
                  <c:v>0.16107000000000016</c:v>
                </c:pt>
                <c:pt idx="2">
                  <c:v>0.10738</c:v>
                </c:pt>
                <c:pt idx="3">
                  <c:v>6.7100000000000163E-3</c:v>
                </c:pt>
                <c:pt idx="4">
                  <c:v>0</c:v>
                </c:pt>
                <c:pt idx="5">
                  <c:v>0</c:v>
                </c:pt>
              </c:numCache>
            </c:numRef>
          </c:val>
        </c:ser>
        <c:dLbls/>
        <c:axId val="246837248"/>
        <c:axId val="246838784"/>
      </c:barChart>
      <c:catAx>
        <c:axId val="246837248"/>
        <c:scaling>
          <c:orientation val="minMax"/>
        </c:scaling>
        <c:axPos val="b"/>
        <c:numFmt formatCode="General" sourceLinked="0"/>
        <c:tickLblPos val="nextTo"/>
        <c:crossAx val="246838784"/>
        <c:crosses val="autoZero"/>
        <c:auto val="1"/>
        <c:lblAlgn val="ctr"/>
        <c:lblOffset val="100"/>
      </c:catAx>
      <c:valAx>
        <c:axId val="246838784"/>
        <c:scaling>
          <c:orientation val="minMax"/>
        </c:scaling>
        <c:axPos val="l"/>
        <c:majorGridlines/>
        <c:numFmt formatCode="0%" sourceLinked="0"/>
        <c:tickLblPos val="nextTo"/>
        <c:crossAx val="246837248"/>
        <c:crosses val="autoZero"/>
        <c:crossBetween val="between"/>
      </c:valAx>
    </c:plotArea>
    <c:legend>
      <c:legendPos val="b"/>
    </c:legend>
    <c:plotVisOnly val="1"/>
    <c:dispBlanksAs val="gap"/>
  </c:chart>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CBC!$B$31</c:f>
              <c:strCache>
                <c:ptCount val="1"/>
                <c:pt idx="0">
                  <c:v>2012-2013</c:v>
                </c:pt>
              </c:strCache>
            </c:strRef>
          </c:tx>
          <c:spPr>
            <a:solidFill>
              <a:schemeClr val="bg1">
                <a:lumMod val="65000"/>
              </a:schemeClr>
            </a:solidFill>
          </c:spPr>
          <c:cat>
            <c:strRef>
              <c:f>CBC!$A$32:$A$37</c:f>
              <c:strCache>
                <c:ptCount val="6"/>
                <c:pt idx="0">
                  <c:v> 30 days or less</c:v>
                </c:pt>
                <c:pt idx="1">
                  <c:v>31-60 days</c:v>
                </c:pt>
                <c:pt idx="2">
                  <c:v>61-120 days </c:v>
                </c:pt>
                <c:pt idx="3">
                  <c:v>121-180 days </c:v>
                </c:pt>
                <c:pt idx="4">
                  <c:v>181-365 days </c:v>
                </c:pt>
                <c:pt idx="5">
                  <c:v>More than 365 days </c:v>
                </c:pt>
              </c:strCache>
            </c:strRef>
          </c:cat>
          <c:val>
            <c:numRef>
              <c:f>CBC!$B$32:$B$37</c:f>
              <c:numCache>
                <c:formatCode>0.00%</c:formatCode>
                <c:ptCount val="6"/>
                <c:pt idx="0">
                  <c:v>0.21430000000000021</c:v>
                </c:pt>
                <c:pt idx="1">
                  <c:v>0.66670000000000218</c:v>
                </c:pt>
                <c:pt idx="2">
                  <c:v>7.1400000000000019E-2</c:v>
                </c:pt>
                <c:pt idx="3">
                  <c:v>2.3800000000000002E-2</c:v>
                </c:pt>
                <c:pt idx="4">
                  <c:v>2.3800000000000002E-2</c:v>
                </c:pt>
                <c:pt idx="5">
                  <c:v>0</c:v>
                </c:pt>
              </c:numCache>
            </c:numRef>
          </c:val>
        </c:ser>
        <c:ser>
          <c:idx val="1"/>
          <c:order val="1"/>
          <c:tx>
            <c:strRef>
              <c:f>CBC!$C$31</c:f>
              <c:strCache>
                <c:ptCount val="1"/>
                <c:pt idx="0">
                  <c:v>2013-2014</c:v>
                </c:pt>
              </c:strCache>
            </c:strRef>
          </c:tx>
          <c:spPr>
            <a:solidFill>
              <a:srgbClr val="FFC000"/>
            </a:solidFill>
          </c:spPr>
          <c:cat>
            <c:strRef>
              <c:f>CBC!$A$32:$A$37</c:f>
              <c:strCache>
                <c:ptCount val="6"/>
                <c:pt idx="0">
                  <c:v> 30 days or less</c:v>
                </c:pt>
                <c:pt idx="1">
                  <c:v>31-60 days</c:v>
                </c:pt>
                <c:pt idx="2">
                  <c:v>61-120 days </c:v>
                </c:pt>
                <c:pt idx="3">
                  <c:v>121-180 days </c:v>
                </c:pt>
                <c:pt idx="4">
                  <c:v>181-365 days </c:v>
                </c:pt>
                <c:pt idx="5">
                  <c:v>More than 365 days </c:v>
                </c:pt>
              </c:strCache>
            </c:strRef>
          </c:cat>
          <c:val>
            <c:numRef>
              <c:f>CBC!$C$32:$C$37</c:f>
              <c:numCache>
                <c:formatCode>0.00%</c:formatCode>
                <c:ptCount val="6"/>
                <c:pt idx="0">
                  <c:v>0.23636363636363636</c:v>
                </c:pt>
                <c:pt idx="1">
                  <c:v>0.60000000000000064</c:v>
                </c:pt>
                <c:pt idx="2">
                  <c:v>0.12727272727272718</c:v>
                </c:pt>
                <c:pt idx="3">
                  <c:v>3.6363636363636362E-2</c:v>
                </c:pt>
                <c:pt idx="4">
                  <c:v>0</c:v>
                </c:pt>
                <c:pt idx="5">
                  <c:v>0</c:v>
                </c:pt>
              </c:numCache>
            </c:numRef>
          </c:val>
        </c:ser>
        <c:ser>
          <c:idx val="2"/>
          <c:order val="2"/>
          <c:tx>
            <c:strRef>
              <c:f>CBC!$D$31</c:f>
              <c:strCache>
                <c:ptCount val="1"/>
                <c:pt idx="0">
                  <c:v>2014-2015</c:v>
                </c:pt>
              </c:strCache>
            </c:strRef>
          </c:tx>
          <c:spPr>
            <a:solidFill>
              <a:schemeClr val="accent5">
                <a:lumMod val="75000"/>
              </a:schemeClr>
            </a:solidFill>
          </c:spPr>
          <c:cat>
            <c:strRef>
              <c:f>CBC!$A$32:$A$37</c:f>
              <c:strCache>
                <c:ptCount val="6"/>
                <c:pt idx="0">
                  <c:v> 30 days or less</c:v>
                </c:pt>
                <c:pt idx="1">
                  <c:v>31-60 days</c:v>
                </c:pt>
                <c:pt idx="2">
                  <c:v>61-120 days </c:v>
                </c:pt>
                <c:pt idx="3">
                  <c:v>121-180 days </c:v>
                </c:pt>
                <c:pt idx="4">
                  <c:v>181-365 days </c:v>
                </c:pt>
                <c:pt idx="5">
                  <c:v>More than 365 days </c:v>
                </c:pt>
              </c:strCache>
            </c:strRef>
          </c:cat>
          <c:val>
            <c:numRef>
              <c:f>CBC!$D$32:$D$37</c:f>
              <c:numCache>
                <c:formatCode>0.00%</c:formatCode>
                <c:ptCount val="6"/>
                <c:pt idx="0">
                  <c:v>0.40384615384615402</c:v>
                </c:pt>
                <c:pt idx="1">
                  <c:v>0.36538461538461797</c:v>
                </c:pt>
                <c:pt idx="2">
                  <c:v>0</c:v>
                </c:pt>
                <c:pt idx="3">
                  <c:v>0</c:v>
                </c:pt>
                <c:pt idx="4">
                  <c:v>0</c:v>
                </c:pt>
                <c:pt idx="5">
                  <c:v>0.23076923076923153</c:v>
                </c:pt>
              </c:numCache>
            </c:numRef>
          </c:val>
        </c:ser>
        <c:dLbls/>
        <c:axId val="246943104"/>
        <c:axId val="246948992"/>
      </c:barChart>
      <c:catAx>
        <c:axId val="246943104"/>
        <c:scaling>
          <c:orientation val="minMax"/>
        </c:scaling>
        <c:axPos val="b"/>
        <c:numFmt formatCode="General" sourceLinked="0"/>
        <c:tickLblPos val="nextTo"/>
        <c:crossAx val="246948992"/>
        <c:crosses val="autoZero"/>
        <c:auto val="1"/>
        <c:lblAlgn val="ctr"/>
        <c:lblOffset val="100"/>
      </c:catAx>
      <c:valAx>
        <c:axId val="246948992"/>
        <c:scaling>
          <c:orientation val="minMax"/>
        </c:scaling>
        <c:axPos val="l"/>
        <c:majorGridlines/>
        <c:numFmt formatCode="0%" sourceLinked="0"/>
        <c:tickLblPos val="nextTo"/>
        <c:crossAx val="246943104"/>
        <c:crosses val="autoZero"/>
        <c:crossBetween val="between"/>
      </c:valAx>
    </c:plotArea>
    <c:legend>
      <c:legendPos val="b"/>
    </c:legend>
    <c:plotVisOnly val="1"/>
    <c:dispBlanksAs val="gap"/>
  </c:chart>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lang val="en-CA"/>
  <c:chart>
    <c:autoTitleDeleted val="1"/>
    <c:plotArea>
      <c:layout>
        <c:manualLayout>
          <c:layoutTarget val="inner"/>
          <c:xMode val="edge"/>
          <c:yMode val="edge"/>
          <c:x val="6.7133067037608962E-2"/>
          <c:y val="5.6286538327195802E-2"/>
          <c:w val="0.90477401021792869"/>
          <c:h val="0.69461553047313973"/>
        </c:manualLayout>
      </c:layout>
      <c:barChart>
        <c:barDir val="col"/>
        <c:grouping val="clustered"/>
        <c:ser>
          <c:idx val="0"/>
          <c:order val="0"/>
          <c:tx>
            <c:strRef>
              <c:f>CBC!$B$72</c:f>
              <c:strCache>
                <c:ptCount val="1"/>
                <c:pt idx="0">
                  <c:v>2012-2013</c:v>
                </c:pt>
              </c:strCache>
            </c:strRef>
          </c:tx>
          <c:spPr>
            <a:solidFill>
              <a:schemeClr val="bg1">
                <a:lumMod val="65000"/>
              </a:schemeClr>
            </a:solidFill>
          </c:spPr>
          <c:cat>
            <c:strRef>
              <c:f>CBC!$A$73:$A$74</c:f>
              <c:strCache>
                <c:ptCount val="2"/>
                <c:pt idx="0">
                  <c:v>All disclosed </c:v>
                </c:pt>
                <c:pt idx="1">
                  <c:v>Disclosed in part </c:v>
                </c:pt>
              </c:strCache>
            </c:strRef>
          </c:cat>
          <c:val>
            <c:numRef>
              <c:f>CBC!$B$73:$B$74</c:f>
              <c:numCache>
                <c:formatCode>0.00%</c:formatCode>
                <c:ptCount val="2"/>
                <c:pt idx="0">
                  <c:v>0.1118</c:v>
                </c:pt>
                <c:pt idx="1">
                  <c:v>0.51970000000000005</c:v>
                </c:pt>
              </c:numCache>
            </c:numRef>
          </c:val>
        </c:ser>
        <c:ser>
          <c:idx val="1"/>
          <c:order val="1"/>
          <c:tx>
            <c:strRef>
              <c:f>CBC!$C$72</c:f>
              <c:strCache>
                <c:ptCount val="1"/>
                <c:pt idx="0">
                  <c:v>2013-2014</c:v>
                </c:pt>
              </c:strCache>
            </c:strRef>
          </c:tx>
          <c:spPr>
            <a:solidFill>
              <a:srgbClr val="FFC000"/>
            </a:solidFill>
          </c:spPr>
          <c:cat>
            <c:strRef>
              <c:f>CBC!$A$73:$A$74</c:f>
              <c:strCache>
                <c:ptCount val="2"/>
                <c:pt idx="0">
                  <c:v>All disclosed </c:v>
                </c:pt>
                <c:pt idx="1">
                  <c:v>Disclosed in part </c:v>
                </c:pt>
              </c:strCache>
            </c:strRef>
          </c:cat>
          <c:val>
            <c:numRef>
              <c:f>CBC!$C$73:$C$74</c:f>
              <c:numCache>
                <c:formatCode>0.00%</c:formatCode>
                <c:ptCount val="2"/>
                <c:pt idx="0">
                  <c:v>0.1104</c:v>
                </c:pt>
                <c:pt idx="1">
                  <c:v>0.66230000000000144</c:v>
                </c:pt>
              </c:numCache>
            </c:numRef>
          </c:val>
        </c:ser>
        <c:ser>
          <c:idx val="2"/>
          <c:order val="2"/>
          <c:tx>
            <c:strRef>
              <c:f>CBC!$D$72</c:f>
              <c:strCache>
                <c:ptCount val="1"/>
                <c:pt idx="0">
                  <c:v>2014-2015</c:v>
                </c:pt>
              </c:strCache>
            </c:strRef>
          </c:tx>
          <c:spPr>
            <a:solidFill>
              <a:schemeClr val="accent5">
                <a:lumMod val="75000"/>
              </a:schemeClr>
            </a:solidFill>
          </c:spPr>
          <c:cat>
            <c:strRef>
              <c:f>CBC!$A$73:$A$74</c:f>
              <c:strCache>
                <c:ptCount val="2"/>
                <c:pt idx="0">
                  <c:v>All disclosed </c:v>
                </c:pt>
                <c:pt idx="1">
                  <c:v>Disclosed in part </c:v>
                </c:pt>
              </c:strCache>
            </c:strRef>
          </c:cat>
          <c:val>
            <c:numRef>
              <c:f>CBC!$D$73:$D$74</c:f>
              <c:numCache>
                <c:formatCode>0.00%</c:formatCode>
                <c:ptCount val="2"/>
                <c:pt idx="0">
                  <c:v>0.1275</c:v>
                </c:pt>
                <c:pt idx="1">
                  <c:v>0.51680000000000004</c:v>
                </c:pt>
              </c:numCache>
            </c:numRef>
          </c:val>
        </c:ser>
        <c:dLbls/>
        <c:axId val="246987776"/>
        <c:axId val="247001856"/>
      </c:barChart>
      <c:catAx>
        <c:axId val="246987776"/>
        <c:scaling>
          <c:orientation val="minMax"/>
        </c:scaling>
        <c:axPos val="b"/>
        <c:numFmt formatCode="General" sourceLinked="0"/>
        <c:tickLblPos val="nextTo"/>
        <c:crossAx val="247001856"/>
        <c:crosses val="autoZero"/>
        <c:auto val="1"/>
        <c:lblAlgn val="ctr"/>
        <c:lblOffset val="100"/>
      </c:catAx>
      <c:valAx>
        <c:axId val="247001856"/>
        <c:scaling>
          <c:orientation val="minMax"/>
        </c:scaling>
        <c:axPos val="l"/>
        <c:majorGridlines/>
        <c:numFmt formatCode="0%" sourceLinked="0"/>
        <c:tickLblPos val="nextTo"/>
        <c:crossAx val="246987776"/>
        <c:crosses val="autoZero"/>
        <c:crossBetween val="between"/>
      </c:valAx>
    </c:plotArea>
    <c:legend>
      <c:legendPos val="b"/>
    </c:legend>
    <c:plotVisOnly val="1"/>
    <c:dispBlanksAs val="gap"/>
  </c:chart>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CPC!$B$2</c:f>
              <c:strCache>
                <c:ptCount val="1"/>
                <c:pt idx="0">
                  <c:v>2012-2013</c:v>
                </c:pt>
              </c:strCache>
            </c:strRef>
          </c:tx>
          <c:spPr>
            <a:solidFill>
              <a:schemeClr val="bg1">
                <a:lumMod val="65000"/>
              </a:schemeClr>
            </a:solidFill>
          </c:spPr>
          <c:cat>
            <c:strRef>
              <c:f>CPC!$A$3:$A$8</c:f>
              <c:strCache>
                <c:ptCount val="6"/>
                <c:pt idx="0">
                  <c:v>30 days or less</c:v>
                </c:pt>
                <c:pt idx="1">
                  <c:v>31-60 days</c:v>
                </c:pt>
                <c:pt idx="2">
                  <c:v>61-120 days</c:v>
                </c:pt>
                <c:pt idx="3">
                  <c:v>121-180 days</c:v>
                </c:pt>
                <c:pt idx="4">
                  <c:v>181-365 days</c:v>
                </c:pt>
                <c:pt idx="5">
                  <c:v>More than 365 days</c:v>
                </c:pt>
              </c:strCache>
            </c:strRef>
          </c:cat>
          <c:val>
            <c:numRef>
              <c:f>CPC!$B$3:$B$8</c:f>
              <c:numCache>
                <c:formatCode>0.00%</c:formatCode>
                <c:ptCount val="6"/>
                <c:pt idx="0">
                  <c:v>0.39260000000000062</c:v>
                </c:pt>
                <c:pt idx="1">
                  <c:v>0.17040000000000027</c:v>
                </c:pt>
                <c:pt idx="2">
                  <c:v>0.15560000000000004</c:v>
                </c:pt>
                <c:pt idx="3">
                  <c:v>2.9600000000000046E-2</c:v>
                </c:pt>
                <c:pt idx="4">
                  <c:v>1.4800000000000023E-2</c:v>
                </c:pt>
                <c:pt idx="5">
                  <c:v>0.23700000000000004</c:v>
                </c:pt>
              </c:numCache>
            </c:numRef>
          </c:val>
        </c:ser>
        <c:ser>
          <c:idx val="1"/>
          <c:order val="1"/>
          <c:tx>
            <c:strRef>
              <c:f>CPC!$C$2</c:f>
              <c:strCache>
                <c:ptCount val="1"/>
                <c:pt idx="0">
                  <c:v>2013-2014</c:v>
                </c:pt>
              </c:strCache>
            </c:strRef>
          </c:tx>
          <c:spPr>
            <a:solidFill>
              <a:srgbClr val="FFC000"/>
            </a:solidFill>
          </c:spPr>
          <c:cat>
            <c:strRef>
              <c:f>CPC!$A$3:$A$8</c:f>
              <c:strCache>
                <c:ptCount val="6"/>
                <c:pt idx="0">
                  <c:v>30 days or less</c:v>
                </c:pt>
                <c:pt idx="1">
                  <c:v>31-60 days</c:v>
                </c:pt>
                <c:pt idx="2">
                  <c:v>61-120 days</c:v>
                </c:pt>
                <c:pt idx="3">
                  <c:v>121-180 days</c:v>
                </c:pt>
                <c:pt idx="4">
                  <c:v>181-365 days</c:v>
                </c:pt>
                <c:pt idx="5">
                  <c:v>More than 365 days</c:v>
                </c:pt>
              </c:strCache>
            </c:strRef>
          </c:cat>
          <c:val>
            <c:numRef>
              <c:f>CPC!$C$3:$C$8</c:f>
              <c:numCache>
                <c:formatCode>0.00%</c:formatCode>
                <c:ptCount val="6"/>
                <c:pt idx="0">
                  <c:v>0.67270000000000174</c:v>
                </c:pt>
                <c:pt idx="1">
                  <c:v>0.18180000000000004</c:v>
                </c:pt>
                <c:pt idx="2">
                  <c:v>0.11820000000000019</c:v>
                </c:pt>
                <c:pt idx="3">
                  <c:v>2.7300000000000046E-2</c:v>
                </c:pt>
                <c:pt idx="4">
                  <c:v>0</c:v>
                </c:pt>
                <c:pt idx="5">
                  <c:v>0</c:v>
                </c:pt>
              </c:numCache>
            </c:numRef>
          </c:val>
        </c:ser>
        <c:ser>
          <c:idx val="2"/>
          <c:order val="2"/>
          <c:tx>
            <c:strRef>
              <c:f>CPC!$D$2</c:f>
              <c:strCache>
                <c:ptCount val="1"/>
                <c:pt idx="0">
                  <c:v>2014-2015</c:v>
                </c:pt>
              </c:strCache>
            </c:strRef>
          </c:tx>
          <c:spPr>
            <a:solidFill>
              <a:schemeClr val="accent5">
                <a:lumMod val="75000"/>
              </a:schemeClr>
            </a:solidFill>
          </c:spPr>
          <c:cat>
            <c:strRef>
              <c:f>CPC!$A$3:$A$8</c:f>
              <c:strCache>
                <c:ptCount val="6"/>
                <c:pt idx="0">
                  <c:v>30 days or less</c:v>
                </c:pt>
                <c:pt idx="1">
                  <c:v>31-60 days</c:v>
                </c:pt>
                <c:pt idx="2">
                  <c:v>61-120 days</c:v>
                </c:pt>
                <c:pt idx="3">
                  <c:v>121-180 days</c:v>
                </c:pt>
                <c:pt idx="4">
                  <c:v>181-365 days</c:v>
                </c:pt>
                <c:pt idx="5">
                  <c:v>More than 365 days</c:v>
                </c:pt>
              </c:strCache>
            </c:strRef>
          </c:cat>
          <c:val>
            <c:numRef>
              <c:f>CPC!$D$3:$D$8</c:f>
              <c:numCache>
                <c:formatCode>0.00%</c:formatCode>
                <c:ptCount val="6"/>
                <c:pt idx="0">
                  <c:v>0.53680000000000005</c:v>
                </c:pt>
                <c:pt idx="1">
                  <c:v>0.22110000000000016</c:v>
                </c:pt>
                <c:pt idx="2">
                  <c:v>0.16840000000000041</c:v>
                </c:pt>
                <c:pt idx="3">
                  <c:v>5.2600000000000063E-2</c:v>
                </c:pt>
                <c:pt idx="4">
                  <c:v>2.1100000000000011E-2</c:v>
                </c:pt>
                <c:pt idx="5">
                  <c:v>0</c:v>
                </c:pt>
              </c:numCache>
            </c:numRef>
          </c:val>
        </c:ser>
        <c:dLbls/>
        <c:axId val="247024256"/>
        <c:axId val="247042432"/>
      </c:barChart>
      <c:catAx>
        <c:axId val="247024256"/>
        <c:scaling>
          <c:orientation val="minMax"/>
        </c:scaling>
        <c:axPos val="b"/>
        <c:numFmt formatCode="General" sourceLinked="0"/>
        <c:tickLblPos val="nextTo"/>
        <c:crossAx val="247042432"/>
        <c:crosses val="autoZero"/>
        <c:auto val="1"/>
        <c:lblAlgn val="ctr"/>
        <c:lblOffset val="100"/>
      </c:catAx>
      <c:valAx>
        <c:axId val="247042432"/>
        <c:scaling>
          <c:orientation val="minMax"/>
        </c:scaling>
        <c:axPos val="l"/>
        <c:majorGridlines/>
        <c:numFmt formatCode="0%" sourceLinked="0"/>
        <c:tickLblPos val="nextTo"/>
        <c:crossAx val="247024256"/>
        <c:crosses val="autoZero"/>
        <c:crossBetween val="between"/>
      </c:valAx>
    </c:plotArea>
    <c:legend>
      <c:legendPos val="b"/>
    </c:legend>
    <c:plotVisOnly val="1"/>
    <c:dispBlanksAs val="gap"/>
  </c:chart>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CPC!$B$30</c:f>
              <c:strCache>
                <c:ptCount val="1"/>
                <c:pt idx="0">
                  <c:v>2012-2013</c:v>
                </c:pt>
              </c:strCache>
            </c:strRef>
          </c:tx>
          <c:spPr>
            <a:solidFill>
              <a:schemeClr val="bg1">
                <a:lumMod val="65000"/>
              </a:schemeClr>
            </a:solidFill>
          </c:spPr>
          <c:cat>
            <c:strRef>
              <c:f>CPC!$A$31:$A$36</c:f>
              <c:strCache>
                <c:ptCount val="6"/>
                <c:pt idx="0">
                  <c:v> 30 days or less</c:v>
                </c:pt>
                <c:pt idx="1">
                  <c:v>31-60 days</c:v>
                </c:pt>
                <c:pt idx="2">
                  <c:v>61-120 days </c:v>
                </c:pt>
                <c:pt idx="3">
                  <c:v>121-180 days </c:v>
                </c:pt>
                <c:pt idx="4">
                  <c:v>181-365 days </c:v>
                </c:pt>
                <c:pt idx="5">
                  <c:v>More than 365 days </c:v>
                </c:pt>
              </c:strCache>
            </c:strRef>
          </c:cat>
          <c:val>
            <c:numRef>
              <c:f>CPC!$B$31:$B$36</c:f>
              <c:numCache>
                <c:formatCode>0.00%</c:formatCode>
                <c:ptCount val="6"/>
                <c:pt idx="0">
                  <c:v>0.38890000000000075</c:v>
                </c:pt>
                <c:pt idx="1">
                  <c:v>0.35190000000000032</c:v>
                </c:pt>
                <c:pt idx="2">
                  <c:v>0.16669999999999999</c:v>
                </c:pt>
                <c:pt idx="3">
                  <c:v>5.5600000000000004E-2</c:v>
                </c:pt>
                <c:pt idx="4">
                  <c:v>3.6999999999999998E-2</c:v>
                </c:pt>
                <c:pt idx="5">
                  <c:v>0</c:v>
                </c:pt>
              </c:numCache>
            </c:numRef>
          </c:val>
        </c:ser>
        <c:ser>
          <c:idx val="1"/>
          <c:order val="1"/>
          <c:tx>
            <c:strRef>
              <c:f>CPC!$C$30</c:f>
              <c:strCache>
                <c:ptCount val="1"/>
                <c:pt idx="0">
                  <c:v>2013-2014</c:v>
                </c:pt>
              </c:strCache>
            </c:strRef>
          </c:tx>
          <c:spPr>
            <a:solidFill>
              <a:srgbClr val="FFC000"/>
            </a:solidFill>
          </c:spPr>
          <c:cat>
            <c:strRef>
              <c:f>CPC!$A$31:$A$36</c:f>
              <c:strCache>
                <c:ptCount val="6"/>
                <c:pt idx="0">
                  <c:v> 30 days or less</c:v>
                </c:pt>
                <c:pt idx="1">
                  <c:v>31-60 days</c:v>
                </c:pt>
                <c:pt idx="2">
                  <c:v>61-120 days </c:v>
                </c:pt>
                <c:pt idx="3">
                  <c:v>121-180 days </c:v>
                </c:pt>
                <c:pt idx="4">
                  <c:v>181-365 days </c:v>
                </c:pt>
                <c:pt idx="5">
                  <c:v>More than 365 days </c:v>
                </c:pt>
              </c:strCache>
            </c:strRef>
          </c:cat>
          <c:val>
            <c:numRef>
              <c:f>CPC!$C$31:$C$36</c:f>
              <c:numCache>
                <c:formatCode>0.00%</c:formatCode>
                <c:ptCount val="6"/>
                <c:pt idx="0">
                  <c:v>0.16669999999999999</c:v>
                </c:pt>
                <c:pt idx="1">
                  <c:v>0.55559999999999998</c:v>
                </c:pt>
                <c:pt idx="2">
                  <c:v>0.16669999999999999</c:v>
                </c:pt>
                <c:pt idx="3">
                  <c:v>0.1111</c:v>
                </c:pt>
                <c:pt idx="4">
                  <c:v>0</c:v>
                </c:pt>
                <c:pt idx="5">
                  <c:v>0</c:v>
                </c:pt>
              </c:numCache>
            </c:numRef>
          </c:val>
        </c:ser>
        <c:ser>
          <c:idx val="2"/>
          <c:order val="2"/>
          <c:tx>
            <c:strRef>
              <c:f>CPC!$D$30</c:f>
              <c:strCache>
                <c:ptCount val="1"/>
                <c:pt idx="0">
                  <c:v>2014-2015</c:v>
                </c:pt>
              </c:strCache>
            </c:strRef>
          </c:tx>
          <c:spPr>
            <a:solidFill>
              <a:schemeClr val="accent5">
                <a:lumMod val="75000"/>
              </a:schemeClr>
            </a:solidFill>
          </c:spPr>
          <c:cat>
            <c:strRef>
              <c:f>CPC!$A$31:$A$36</c:f>
              <c:strCache>
                <c:ptCount val="6"/>
                <c:pt idx="0">
                  <c:v> 30 days or less</c:v>
                </c:pt>
                <c:pt idx="1">
                  <c:v>31-60 days</c:v>
                </c:pt>
                <c:pt idx="2">
                  <c:v>61-120 days </c:v>
                </c:pt>
                <c:pt idx="3">
                  <c:v>121-180 days </c:v>
                </c:pt>
                <c:pt idx="4">
                  <c:v>181-365 days </c:v>
                </c:pt>
                <c:pt idx="5">
                  <c:v>More than 365 days </c:v>
                </c:pt>
              </c:strCache>
            </c:strRef>
          </c:cat>
          <c:val>
            <c:numRef>
              <c:f>CPC!$D$31:$D$36</c:f>
              <c:numCache>
                <c:formatCode>0.00%</c:formatCode>
                <c:ptCount val="6"/>
                <c:pt idx="0">
                  <c:v>0.30000000000000032</c:v>
                </c:pt>
                <c:pt idx="1">
                  <c:v>0.4</c:v>
                </c:pt>
                <c:pt idx="2">
                  <c:v>0.23330000000000001</c:v>
                </c:pt>
                <c:pt idx="3">
                  <c:v>6.6699999999999995E-2</c:v>
                </c:pt>
                <c:pt idx="4">
                  <c:v>0</c:v>
                </c:pt>
                <c:pt idx="5">
                  <c:v>0</c:v>
                </c:pt>
              </c:numCache>
            </c:numRef>
          </c:val>
        </c:ser>
        <c:dLbls/>
        <c:axId val="247085312"/>
        <c:axId val="247095296"/>
      </c:barChart>
      <c:catAx>
        <c:axId val="247085312"/>
        <c:scaling>
          <c:orientation val="minMax"/>
        </c:scaling>
        <c:axPos val="b"/>
        <c:numFmt formatCode="General" sourceLinked="0"/>
        <c:tickLblPos val="nextTo"/>
        <c:crossAx val="247095296"/>
        <c:crosses val="autoZero"/>
        <c:auto val="1"/>
        <c:lblAlgn val="ctr"/>
        <c:lblOffset val="100"/>
      </c:catAx>
      <c:valAx>
        <c:axId val="247095296"/>
        <c:scaling>
          <c:orientation val="minMax"/>
        </c:scaling>
        <c:axPos val="l"/>
        <c:majorGridlines/>
        <c:numFmt formatCode="0%" sourceLinked="0"/>
        <c:tickLblPos val="nextTo"/>
        <c:crossAx val="247085312"/>
        <c:crosses val="autoZero"/>
        <c:crossBetween val="between"/>
      </c:valAx>
    </c:plotArea>
    <c:legend>
      <c:legendPos val="b"/>
    </c:legend>
    <c:plotVisOnly val="1"/>
    <c:dispBlanksAs val="gap"/>
  </c:chart>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CPC!$B$58</c:f>
              <c:strCache>
                <c:ptCount val="1"/>
                <c:pt idx="0">
                  <c:v>2012-2013</c:v>
                </c:pt>
              </c:strCache>
            </c:strRef>
          </c:tx>
          <c:spPr>
            <a:solidFill>
              <a:schemeClr val="bg1">
                <a:lumMod val="65000"/>
              </a:schemeClr>
            </a:solidFill>
          </c:spPr>
          <c:cat>
            <c:strRef>
              <c:f>CPC!$A$59:$A$60</c:f>
              <c:strCache>
                <c:ptCount val="2"/>
                <c:pt idx="0">
                  <c:v>All disclosed </c:v>
                </c:pt>
                <c:pt idx="1">
                  <c:v>Disclosed in part </c:v>
                </c:pt>
              </c:strCache>
            </c:strRef>
          </c:cat>
          <c:val>
            <c:numRef>
              <c:f>CPC!$B$59:$B$60</c:f>
              <c:numCache>
                <c:formatCode>0.00%</c:formatCode>
                <c:ptCount val="2"/>
                <c:pt idx="0">
                  <c:v>0.18520000000000031</c:v>
                </c:pt>
                <c:pt idx="1">
                  <c:v>0.4667</c:v>
                </c:pt>
              </c:numCache>
            </c:numRef>
          </c:val>
        </c:ser>
        <c:ser>
          <c:idx val="1"/>
          <c:order val="1"/>
          <c:tx>
            <c:strRef>
              <c:f>CPC!$C$58</c:f>
              <c:strCache>
                <c:ptCount val="1"/>
                <c:pt idx="0">
                  <c:v>2013-2014</c:v>
                </c:pt>
              </c:strCache>
            </c:strRef>
          </c:tx>
          <c:spPr>
            <a:solidFill>
              <a:srgbClr val="FFC000"/>
            </a:solidFill>
          </c:spPr>
          <c:cat>
            <c:strRef>
              <c:f>CPC!$A$59:$A$60</c:f>
              <c:strCache>
                <c:ptCount val="2"/>
                <c:pt idx="0">
                  <c:v>All disclosed </c:v>
                </c:pt>
                <c:pt idx="1">
                  <c:v>Disclosed in part </c:v>
                </c:pt>
              </c:strCache>
            </c:strRef>
          </c:cat>
          <c:val>
            <c:numRef>
              <c:f>CPC!$C$59:$C$60</c:f>
              <c:numCache>
                <c:formatCode>0.00%</c:formatCode>
                <c:ptCount val="2"/>
                <c:pt idx="0">
                  <c:v>0.20910000000000001</c:v>
                </c:pt>
                <c:pt idx="1">
                  <c:v>0.43640000000000062</c:v>
                </c:pt>
              </c:numCache>
            </c:numRef>
          </c:val>
        </c:ser>
        <c:ser>
          <c:idx val="2"/>
          <c:order val="2"/>
          <c:tx>
            <c:strRef>
              <c:f>CPC!$D$58</c:f>
              <c:strCache>
                <c:ptCount val="1"/>
                <c:pt idx="0">
                  <c:v>2014-2015</c:v>
                </c:pt>
              </c:strCache>
            </c:strRef>
          </c:tx>
          <c:spPr>
            <a:solidFill>
              <a:schemeClr val="accent5">
                <a:lumMod val="75000"/>
              </a:schemeClr>
            </a:solidFill>
          </c:spPr>
          <c:cat>
            <c:strRef>
              <c:f>CPC!$A$59:$A$60</c:f>
              <c:strCache>
                <c:ptCount val="2"/>
                <c:pt idx="0">
                  <c:v>All disclosed </c:v>
                </c:pt>
                <c:pt idx="1">
                  <c:v>Disclosed in part </c:v>
                </c:pt>
              </c:strCache>
            </c:strRef>
          </c:cat>
          <c:val>
            <c:numRef>
              <c:f>CPC!$D$59:$D$60</c:f>
              <c:numCache>
                <c:formatCode>0.00%</c:formatCode>
                <c:ptCount val="2"/>
                <c:pt idx="0">
                  <c:v>0.1158</c:v>
                </c:pt>
                <c:pt idx="1">
                  <c:v>0.41050000000000031</c:v>
                </c:pt>
              </c:numCache>
            </c:numRef>
          </c:val>
        </c:ser>
        <c:dLbls/>
        <c:axId val="247138176"/>
        <c:axId val="247139712"/>
      </c:barChart>
      <c:catAx>
        <c:axId val="247138176"/>
        <c:scaling>
          <c:orientation val="minMax"/>
        </c:scaling>
        <c:axPos val="b"/>
        <c:numFmt formatCode="General" sourceLinked="0"/>
        <c:tickLblPos val="nextTo"/>
        <c:crossAx val="247139712"/>
        <c:crosses val="autoZero"/>
        <c:auto val="1"/>
        <c:lblAlgn val="ctr"/>
        <c:lblOffset val="100"/>
      </c:catAx>
      <c:valAx>
        <c:axId val="247139712"/>
        <c:scaling>
          <c:orientation val="minMax"/>
        </c:scaling>
        <c:axPos val="l"/>
        <c:majorGridlines/>
        <c:numFmt formatCode="0%" sourceLinked="0"/>
        <c:tickLblPos val="nextTo"/>
        <c:crossAx val="247138176"/>
        <c:crosses val="autoZero"/>
        <c:crossBetween val="between"/>
      </c:valAx>
    </c:plotArea>
    <c:legend>
      <c:legendPos val="b"/>
    </c:legend>
    <c:plotVisOnly val="1"/>
    <c:dispBlanksAs val="gap"/>
  </c:chart>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lang val="en-CA"/>
  <c:chart>
    <c:autoTitleDeleted val="1"/>
    <c:plotArea>
      <c:layout>
        <c:manualLayout>
          <c:layoutTarget val="inner"/>
          <c:xMode val="edge"/>
          <c:yMode val="edge"/>
          <c:x val="7.0420246558733982E-2"/>
          <c:y val="7.9870422420187964E-2"/>
          <c:w val="0.90615306831721099"/>
          <c:h val="0.70806525156697675"/>
        </c:manualLayout>
      </c:layout>
      <c:barChart>
        <c:barDir val="col"/>
        <c:grouping val="clustered"/>
        <c:ser>
          <c:idx val="0"/>
          <c:order val="0"/>
          <c:tx>
            <c:strRef>
              <c:f>CSIS!$B$2</c:f>
              <c:strCache>
                <c:ptCount val="1"/>
                <c:pt idx="0">
                  <c:v>2012-2013</c:v>
                </c:pt>
              </c:strCache>
            </c:strRef>
          </c:tx>
          <c:spPr>
            <a:solidFill>
              <a:schemeClr val="bg1">
                <a:lumMod val="65000"/>
              </a:schemeClr>
            </a:solidFill>
          </c:spPr>
          <c:cat>
            <c:strRef>
              <c:f>CSIS!$A$3:$A$8</c:f>
              <c:strCache>
                <c:ptCount val="6"/>
                <c:pt idx="0">
                  <c:v>30 days or less</c:v>
                </c:pt>
                <c:pt idx="1">
                  <c:v>31-60 days</c:v>
                </c:pt>
                <c:pt idx="2">
                  <c:v>61-120 days</c:v>
                </c:pt>
                <c:pt idx="3">
                  <c:v>121-180 days</c:v>
                </c:pt>
                <c:pt idx="4">
                  <c:v>181-365 days</c:v>
                </c:pt>
                <c:pt idx="5">
                  <c:v>More than 365 days</c:v>
                </c:pt>
              </c:strCache>
            </c:strRef>
          </c:cat>
          <c:val>
            <c:numRef>
              <c:f>CSIS!$B$3:$B$8</c:f>
              <c:numCache>
                <c:formatCode>0.00%</c:formatCode>
                <c:ptCount val="6"/>
                <c:pt idx="0">
                  <c:v>0.61730000000000063</c:v>
                </c:pt>
                <c:pt idx="1">
                  <c:v>0.1268</c:v>
                </c:pt>
                <c:pt idx="2">
                  <c:v>0.16490000000000024</c:v>
                </c:pt>
                <c:pt idx="3">
                  <c:v>6.7700000000000093E-2</c:v>
                </c:pt>
                <c:pt idx="4">
                  <c:v>1.9000000000000034E-2</c:v>
                </c:pt>
                <c:pt idx="5">
                  <c:v>4.0000000000000089E-4</c:v>
                </c:pt>
              </c:numCache>
            </c:numRef>
          </c:val>
        </c:ser>
        <c:ser>
          <c:idx val="1"/>
          <c:order val="1"/>
          <c:tx>
            <c:strRef>
              <c:f>CSIS!$C$2</c:f>
              <c:strCache>
                <c:ptCount val="1"/>
                <c:pt idx="0">
                  <c:v>2013-2014</c:v>
                </c:pt>
              </c:strCache>
            </c:strRef>
          </c:tx>
          <c:spPr>
            <a:solidFill>
              <a:srgbClr val="FFC000"/>
            </a:solidFill>
          </c:spPr>
          <c:cat>
            <c:strRef>
              <c:f>CSIS!$A$3:$A$8</c:f>
              <c:strCache>
                <c:ptCount val="6"/>
                <c:pt idx="0">
                  <c:v>30 days or less</c:v>
                </c:pt>
                <c:pt idx="1">
                  <c:v>31-60 days</c:v>
                </c:pt>
                <c:pt idx="2">
                  <c:v>61-120 days</c:v>
                </c:pt>
                <c:pt idx="3">
                  <c:v>121-180 days</c:v>
                </c:pt>
                <c:pt idx="4">
                  <c:v>181-365 days</c:v>
                </c:pt>
                <c:pt idx="5">
                  <c:v>More than 365 days</c:v>
                </c:pt>
              </c:strCache>
            </c:strRef>
          </c:cat>
          <c:val>
            <c:numRef>
              <c:f>CSIS!$C$3:$C$8</c:f>
              <c:numCache>
                <c:formatCode>0.00%</c:formatCode>
                <c:ptCount val="6"/>
                <c:pt idx="0">
                  <c:v>0.8428000000000011</c:v>
                </c:pt>
                <c:pt idx="1">
                  <c:v>5.570000000000009E-2</c:v>
                </c:pt>
                <c:pt idx="2">
                  <c:v>4.1500000000000002E-2</c:v>
                </c:pt>
                <c:pt idx="3">
                  <c:v>3.9300000000000002E-2</c:v>
                </c:pt>
                <c:pt idx="4">
                  <c:v>1.9699999999999999E-2</c:v>
                </c:pt>
                <c:pt idx="5">
                  <c:v>1.1000000000000029E-3</c:v>
                </c:pt>
              </c:numCache>
            </c:numRef>
          </c:val>
        </c:ser>
        <c:ser>
          <c:idx val="2"/>
          <c:order val="2"/>
          <c:tx>
            <c:strRef>
              <c:f>CSIS!$D$2</c:f>
              <c:strCache>
                <c:ptCount val="1"/>
                <c:pt idx="0">
                  <c:v>2014-2015</c:v>
                </c:pt>
              </c:strCache>
            </c:strRef>
          </c:tx>
          <c:spPr>
            <a:solidFill>
              <a:schemeClr val="accent5">
                <a:lumMod val="75000"/>
              </a:schemeClr>
            </a:solidFill>
          </c:spPr>
          <c:cat>
            <c:strRef>
              <c:f>CSIS!$A$3:$A$8</c:f>
              <c:strCache>
                <c:ptCount val="6"/>
                <c:pt idx="0">
                  <c:v>30 days or less</c:v>
                </c:pt>
                <c:pt idx="1">
                  <c:v>31-60 days</c:v>
                </c:pt>
                <c:pt idx="2">
                  <c:v>61-120 days</c:v>
                </c:pt>
                <c:pt idx="3">
                  <c:v>121-180 days</c:v>
                </c:pt>
                <c:pt idx="4">
                  <c:v>181-365 days</c:v>
                </c:pt>
                <c:pt idx="5">
                  <c:v>More than 365 days</c:v>
                </c:pt>
              </c:strCache>
            </c:strRef>
          </c:cat>
          <c:val>
            <c:numRef>
              <c:f>CSIS!$D$3:$D$8</c:f>
              <c:numCache>
                <c:formatCode>0.00%</c:formatCode>
                <c:ptCount val="6"/>
                <c:pt idx="0">
                  <c:v>0.66240000000000065</c:v>
                </c:pt>
                <c:pt idx="1">
                  <c:v>7.6400000000000023E-2</c:v>
                </c:pt>
                <c:pt idx="2">
                  <c:v>0.1401</c:v>
                </c:pt>
                <c:pt idx="3">
                  <c:v>6.0500000000000033E-2</c:v>
                </c:pt>
                <c:pt idx="4">
                  <c:v>4.4600000000000056E-2</c:v>
                </c:pt>
                <c:pt idx="5">
                  <c:v>1.5900000000000039E-2</c:v>
                </c:pt>
              </c:numCache>
            </c:numRef>
          </c:val>
        </c:ser>
        <c:dLbls/>
        <c:axId val="247174656"/>
        <c:axId val="247176192"/>
      </c:barChart>
      <c:catAx>
        <c:axId val="247174656"/>
        <c:scaling>
          <c:orientation val="minMax"/>
        </c:scaling>
        <c:axPos val="b"/>
        <c:numFmt formatCode="General" sourceLinked="0"/>
        <c:tickLblPos val="nextTo"/>
        <c:crossAx val="247176192"/>
        <c:crosses val="autoZero"/>
        <c:auto val="1"/>
        <c:lblAlgn val="ctr"/>
        <c:lblOffset val="100"/>
      </c:catAx>
      <c:valAx>
        <c:axId val="247176192"/>
        <c:scaling>
          <c:orientation val="minMax"/>
        </c:scaling>
        <c:axPos val="l"/>
        <c:majorGridlines/>
        <c:numFmt formatCode="0%" sourceLinked="0"/>
        <c:tickLblPos val="nextTo"/>
        <c:crossAx val="247174656"/>
        <c:crosses val="autoZero"/>
        <c:crossBetween val="between"/>
      </c:valAx>
    </c:plotArea>
    <c:legend>
      <c:legendPos val="b"/>
    </c:legend>
    <c:plotVisOnly val="1"/>
    <c:dispBlanksAs val="gap"/>
  </c:chart>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CSIS!$B$30</c:f>
              <c:strCache>
                <c:ptCount val="1"/>
                <c:pt idx="0">
                  <c:v>2012-2013</c:v>
                </c:pt>
              </c:strCache>
            </c:strRef>
          </c:tx>
          <c:spPr>
            <a:solidFill>
              <a:schemeClr val="bg1">
                <a:lumMod val="65000"/>
              </a:schemeClr>
            </a:solidFill>
          </c:spPr>
          <c:cat>
            <c:strRef>
              <c:f>CSIS!$A$31:$A$36</c:f>
              <c:strCache>
                <c:ptCount val="6"/>
                <c:pt idx="0">
                  <c:v> 30 days or less</c:v>
                </c:pt>
                <c:pt idx="1">
                  <c:v>31-60 days</c:v>
                </c:pt>
                <c:pt idx="2">
                  <c:v>61-120 days </c:v>
                </c:pt>
                <c:pt idx="3">
                  <c:v>121-180 days </c:v>
                </c:pt>
                <c:pt idx="4">
                  <c:v>181-365 days </c:v>
                </c:pt>
                <c:pt idx="5">
                  <c:v>More than 365 days </c:v>
                </c:pt>
              </c:strCache>
            </c:strRef>
          </c:cat>
          <c:val>
            <c:numRef>
              <c:f>CSIS!$B$31:$B$36</c:f>
              <c:numCache>
                <c:formatCode>0.00%</c:formatCode>
                <c:ptCount val="6"/>
                <c:pt idx="0">
                  <c:v>9.1954022988505746E-2</c:v>
                </c:pt>
                <c:pt idx="1">
                  <c:v>0.25287356321839088</c:v>
                </c:pt>
                <c:pt idx="2">
                  <c:v>0.36781609195402459</c:v>
                </c:pt>
                <c:pt idx="3">
                  <c:v>0.22988505747126431</c:v>
                </c:pt>
                <c:pt idx="4">
                  <c:v>5.7471264367816112E-2</c:v>
                </c:pt>
                <c:pt idx="5">
                  <c:v>0</c:v>
                </c:pt>
              </c:numCache>
            </c:numRef>
          </c:val>
        </c:ser>
        <c:ser>
          <c:idx val="1"/>
          <c:order val="1"/>
          <c:tx>
            <c:strRef>
              <c:f>CSIS!$C$30</c:f>
              <c:strCache>
                <c:ptCount val="1"/>
                <c:pt idx="0">
                  <c:v>2013-2014</c:v>
                </c:pt>
              </c:strCache>
            </c:strRef>
          </c:tx>
          <c:spPr>
            <a:solidFill>
              <a:srgbClr val="FFC000"/>
            </a:solidFill>
          </c:spPr>
          <c:cat>
            <c:strRef>
              <c:f>CSIS!$A$31:$A$36</c:f>
              <c:strCache>
                <c:ptCount val="6"/>
                <c:pt idx="0">
                  <c:v> 30 days or less</c:v>
                </c:pt>
                <c:pt idx="1">
                  <c:v>31-60 days</c:v>
                </c:pt>
                <c:pt idx="2">
                  <c:v>61-120 days </c:v>
                </c:pt>
                <c:pt idx="3">
                  <c:v>121-180 days </c:v>
                </c:pt>
                <c:pt idx="4">
                  <c:v>181-365 days </c:v>
                </c:pt>
                <c:pt idx="5">
                  <c:v>More than 365 days </c:v>
                </c:pt>
              </c:strCache>
            </c:strRef>
          </c:cat>
          <c:val>
            <c:numRef>
              <c:f>CSIS!$C$31:$C$36</c:f>
              <c:numCache>
                <c:formatCode>0.00%</c:formatCode>
                <c:ptCount val="6"/>
                <c:pt idx="0">
                  <c:v>5.6603773584905662E-2</c:v>
                </c:pt>
                <c:pt idx="1">
                  <c:v>0.12264150943396226</c:v>
                </c:pt>
                <c:pt idx="2">
                  <c:v>0.5094339622641505</c:v>
                </c:pt>
                <c:pt idx="3">
                  <c:v>0.26415094339622641</c:v>
                </c:pt>
                <c:pt idx="4">
                  <c:v>4.7169811320754707E-2</c:v>
                </c:pt>
                <c:pt idx="5">
                  <c:v>0</c:v>
                </c:pt>
              </c:numCache>
            </c:numRef>
          </c:val>
        </c:ser>
        <c:ser>
          <c:idx val="2"/>
          <c:order val="2"/>
          <c:tx>
            <c:strRef>
              <c:f>CSIS!$D$30</c:f>
              <c:strCache>
                <c:ptCount val="1"/>
                <c:pt idx="0">
                  <c:v>2014-2015</c:v>
                </c:pt>
              </c:strCache>
            </c:strRef>
          </c:tx>
          <c:spPr>
            <a:solidFill>
              <a:schemeClr val="accent5">
                <a:lumMod val="75000"/>
              </a:schemeClr>
            </a:solidFill>
          </c:spPr>
          <c:cat>
            <c:strRef>
              <c:f>CSIS!$A$31:$A$36</c:f>
              <c:strCache>
                <c:ptCount val="6"/>
                <c:pt idx="0">
                  <c:v> 30 days or less</c:v>
                </c:pt>
                <c:pt idx="1">
                  <c:v>31-60 days</c:v>
                </c:pt>
                <c:pt idx="2">
                  <c:v>61-120 days </c:v>
                </c:pt>
                <c:pt idx="3">
                  <c:v>121-180 days </c:v>
                </c:pt>
                <c:pt idx="4">
                  <c:v>181-365 days </c:v>
                </c:pt>
                <c:pt idx="5">
                  <c:v>More than 365 days </c:v>
                </c:pt>
              </c:strCache>
            </c:strRef>
          </c:cat>
          <c:val>
            <c:numRef>
              <c:f>CSIS!$D$31:$D$36</c:f>
              <c:numCache>
                <c:formatCode>0.00%</c:formatCode>
                <c:ptCount val="6"/>
                <c:pt idx="0">
                  <c:v>0.10891089108910891</c:v>
                </c:pt>
                <c:pt idx="1">
                  <c:v>0.12871287128712874</c:v>
                </c:pt>
                <c:pt idx="2">
                  <c:v>0.47524752475247528</c:v>
                </c:pt>
                <c:pt idx="3">
                  <c:v>0.14851485148514884</c:v>
                </c:pt>
                <c:pt idx="4">
                  <c:v>8.9108910891089299E-2</c:v>
                </c:pt>
                <c:pt idx="5">
                  <c:v>4.9504950495049507E-2</c:v>
                </c:pt>
              </c:numCache>
            </c:numRef>
          </c:val>
        </c:ser>
        <c:dLbls/>
        <c:axId val="247231616"/>
        <c:axId val="247233152"/>
      </c:barChart>
      <c:catAx>
        <c:axId val="247231616"/>
        <c:scaling>
          <c:orientation val="minMax"/>
        </c:scaling>
        <c:axPos val="b"/>
        <c:numFmt formatCode="General" sourceLinked="0"/>
        <c:tickLblPos val="nextTo"/>
        <c:crossAx val="247233152"/>
        <c:crosses val="autoZero"/>
        <c:auto val="1"/>
        <c:lblAlgn val="ctr"/>
        <c:lblOffset val="100"/>
      </c:catAx>
      <c:valAx>
        <c:axId val="247233152"/>
        <c:scaling>
          <c:orientation val="minMax"/>
        </c:scaling>
        <c:axPos val="l"/>
        <c:majorGridlines/>
        <c:numFmt formatCode="0%" sourceLinked="0"/>
        <c:tickLblPos val="nextTo"/>
        <c:crossAx val="247231616"/>
        <c:crosses val="autoZero"/>
        <c:crossBetween val="between"/>
      </c:valAx>
    </c:plotArea>
    <c:legend>
      <c:legendPos val="b"/>
      <c:layout>
        <c:manualLayout>
          <c:xMode val="edge"/>
          <c:yMode val="edge"/>
          <c:x val="0.29240782915578434"/>
          <c:y val="0.88014121474252349"/>
          <c:w val="0.4194519187715427"/>
          <c:h val="7.7178460887011413E-2"/>
        </c:manualLayout>
      </c:layout>
    </c:legend>
    <c:plotVisOnly val="1"/>
    <c:dispBlanksAs val="gap"/>
  </c:chart>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CSIS!$B$72</c:f>
              <c:strCache>
                <c:ptCount val="1"/>
                <c:pt idx="0">
                  <c:v>2012-2013</c:v>
                </c:pt>
              </c:strCache>
            </c:strRef>
          </c:tx>
          <c:spPr>
            <a:solidFill>
              <a:schemeClr val="bg1">
                <a:lumMod val="65000"/>
              </a:schemeClr>
            </a:solidFill>
          </c:spPr>
          <c:cat>
            <c:strRef>
              <c:f>CSIS!$A$73:$A$74</c:f>
              <c:strCache>
                <c:ptCount val="2"/>
                <c:pt idx="0">
                  <c:v>All disclosed </c:v>
                </c:pt>
                <c:pt idx="1">
                  <c:v>Disclosed in part </c:v>
                </c:pt>
              </c:strCache>
            </c:strRef>
          </c:cat>
          <c:val>
            <c:numRef>
              <c:f>CSIS!$B$73:$B$74</c:f>
              <c:numCache>
                <c:formatCode>0.00%</c:formatCode>
                <c:ptCount val="2"/>
                <c:pt idx="0">
                  <c:v>8.4566596194503626E-3</c:v>
                </c:pt>
                <c:pt idx="1">
                  <c:v>0.2494714587737844</c:v>
                </c:pt>
              </c:numCache>
            </c:numRef>
          </c:val>
        </c:ser>
        <c:ser>
          <c:idx val="1"/>
          <c:order val="1"/>
          <c:tx>
            <c:strRef>
              <c:f>CSIS!$C$72</c:f>
              <c:strCache>
                <c:ptCount val="1"/>
                <c:pt idx="0">
                  <c:v>2013-2014</c:v>
                </c:pt>
              </c:strCache>
            </c:strRef>
          </c:tx>
          <c:spPr>
            <a:solidFill>
              <a:srgbClr val="FFC000"/>
            </a:solidFill>
          </c:spPr>
          <c:cat>
            <c:strRef>
              <c:f>CSIS!$A$73:$A$74</c:f>
              <c:strCache>
                <c:ptCount val="2"/>
                <c:pt idx="0">
                  <c:v>All disclosed </c:v>
                </c:pt>
                <c:pt idx="1">
                  <c:v>Disclosed in part </c:v>
                </c:pt>
              </c:strCache>
            </c:strRef>
          </c:cat>
          <c:val>
            <c:numRef>
              <c:f>CSIS!$C$73:$C$74</c:f>
              <c:numCache>
                <c:formatCode>0.00%</c:formatCode>
                <c:ptCount val="2"/>
                <c:pt idx="0">
                  <c:v>1.0917030567685613E-3</c:v>
                </c:pt>
                <c:pt idx="1">
                  <c:v>0.13209606986899591</c:v>
                </c:pt>
              </c:numCache>
            </c:numRef>
          </c:val>
        </c:ser>
        <c:ser>
          <c:idx val="2"/>
          <c:order val="2"/>
          <c:tx>
            <c:strRef>
              <c:f>CSIS!$D$72</c:f>
              <c:strCache>
                <c:ptCount val="1"/>
                <c:pt idx="0">
                  <c:v>2014-2015</c:v>
                </c:pt>
              </c:strCache>
            </c:strRef>
          </c:tx>
          <c:spPr>
            <a:solidFill>
              <a:schemeClr val="accent5">
                <a:lumMod val="75000"/>
              </a:schemeClr>
            </a:solidFill>
          </c:spPr>
          <c:cat>
            <c:strRef>
              <c:f>CSIS!$A$73:$A$74</c:f>
              <c:strCache>
                <c:ptCount val="2"/>
                <c:pt idx="0">
                  <c:v>All disclosed </c:v>
                </c:pt>
                <c:pt idx="1">
                  <c:v>Disclosed in part </c:v>
                </c:pt>
              </c:strCache>
            </c:strRef>
          </c:cat>
          <c:val>
            <c:numRef>
              <c:f>CSIS!$D$73:$D$74</c:f>
              <c:numCache>
                <c:formatCode>0.00%</c:formatCode>
                <c:ptCount val="2"/>
                <c:pt idx="0">
                  <c:v>9.5541401273885346E-3</c:v>
                </c:pt>
                <c:pt idx="1">
                  <c:v>0.41401273885350331</c:v>
                </c:pt>
              </c:numCache>
            </c:numRef>
          </c:val>
        </c:ser>
        <c:dLbls/>
        <c:axId val="246682368"/>
        <c:axId val="246683904"/>
      </c:barChart>
      <c:catAx>
        <c:axId val="246682368"/>
        <c:scaling>
          <c:orientation val="minMax"/>
        </c:scaling>
        <c:axPos val="b"/>
        <c:numFmt formatCode="General" sourceLinked="0"/>
        <c:tickLblPos val="nextTo"/>
        <c:crossAx val="246683904"/>
        <c:crosses val="autoZero"/>
        <c:auto val="1"/>
        <c:lblAlgn val="ctr"/>
        <c:lblOffset val="100"/>
      </c:catAx>
      <c:valAx>
        <c:axId val="246683904"/>
        <c:scaling>
          <c:orientation val="minMax"/>
        </c:scaling>
        <c:axPos val="l"/>
        <c:majorGridlines/>
        <c:numFmt formatCode="0%" sourceLinked="0"/>
        <c:tickLblPos val="nextTo"/>
        <c:crossAx val="246682368"/>
        <c:crosses val="autoZero"/>
        <c:crossBetween val="between"/>
      </c:valAx>
    </c:plotArea>
    <c:legend>
      <c:legendPos val="b"/>
    </c:legend>
    <c:plotVisOnly val="1"/>
    <c:dispBlanksAs val="gap"/>
  </c:chart>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PSC!$B$2</c:f>
              <c:strCache>
                <c:ptCount val="1"/>
                <c:pt idx="0">
                  <c:v>2012-2013</c:v>
                </c:pt>
              </c:strCache>
            </c:strRef>
          </c:tx>
          <c:spPr>
            <a:solidFill>
              <a:schemeClr val="bg1">
                <a:lumMod val="65000"/>
              </a:schemeClr>
            </a:solidFill>
          </c:spPr>
          <c:cat>
            <c:strRef>
              <c:f>PSC!$A$3:$A$8</c:f>
              <c:strCache>
                <c:ptCount val="6"/>
                <c:pt idx="0">
                  <c:v>30 days or less</c:v>
                </c:pt>
                <c:pt idx="1">
                  <c:v>31-60 days</c:v>
                </c:pt>
                <c:pt idx="2">
                  <c:v>61-120 days</c:v>
                </c:pt>
                <c:pt idx="3">
                  <c:v>121-180 days</c:v>
                </c:pt>
                <c:pt idx="4">
                  <c:v>181-365 days</c:v>
                </c:pt>
                <c:pt idx="5">
                  <c:v>More than 365 days</c:v>
                </c:pt>
              </c:strCache>
            </c:strRef>
          </c:cat>
          <c:val>
            <c:numRef>
              <c:f>PSC!$B$3:$B$8</c:f>
              <c:numCache>
                <c:formatCode>0.00%</c:formatCode>
                <c:ptCount val="6"/>
                <c:pt idx="0">
                  <c:v>0.65690376569037734</c:v>
                </c:pt>
                <c:pt idx="1">
                  <c:v>6.9037656903765801E-2</c:v>
                </c:pt>
                <c:pt idx="2">
                  <c:v>0.11087866108786605</c:v>
                </c:pt>
                <c:pt idx="3">
                  <c:v>6.0669456066945661E-2</c:v>
                </c:pt>
                <c:pt idx="4">
                  <c:v>8.1589958158995848E-2</c:v>
                </c:pt>
                <c:pt idx="5">
                  <c:v>2.0920502092050198E-2</c:v>
                </c:pt>
              </c:numCache>
            </c:numRef>
          </c:val>
        </c:ser>
        <c:ser>
          <c:idx val="1"/>
          <c:order val="1"/>
          <c:tx>
            <c:strRef>
              <c:f>PSC!$C$2</c:f>
              <c:strCache>
                <c:ptCount val="1"/>
                <c:pt idx="0">
                  <c:v>2013-2014</c:v>
                </c:pt>
              </c:strCache>
            </c:strRef>
          </c:tx>
          <c:spPr>
            <a:solidFill>
              <a:srgbClr val="FFC000"/>
            </a:solidFill>
          </c:spPr>
          <c:cat>
            <c:strRef>
              <c:f>PSC!$A$3:$A$8</c:f>
              <c:strCache>
                <c:ptCount val="6"/>
                <c:pt idx="0">
                  <c:v>30 days or less</c:v>
                </c:pt>
                <c:pt idx="1">
                  <c:v>31-60 days</c:v>
                </c:pt>
                <c:pt idx="2">
                  <c:v>61-120 days</c:v>
                </c:pt>
                <c:pt idx="3">
                  <c:v>121-180 days</c:v>
                </c:pt>
                <c:pt idx="4">
                  <c:v>181-365 days</c:v>
                </c:pt>
                <c:pt idx="5">
                  <c:v>More than 365 days</c:v>
                </c:pt>
              </c:strCache>
            </c:strRef>
          </c:cat>
          <c:val>
            <c:numRef>
              <c:f>PSC!$C$3:$C$8</c:f>
              <c:numCache>
                <c:formatCode>0.00%</c:formatCode>
                <c:ptCount val="6"/>
                <c:pt idx="0">
                  <c:v>0.68500948766603509</c:v>
                </c:pt>
                <c:pt idx="1">
                  <c:v>6.4516129032258132E-2</c:v>
                </c:pt>
                <c:pt idx="2">
                  <c:v>0.10626185958254269</c:v>
                </c:pt>
                <c:pt idx="3">
                  <c:v>5.6925996204933584E-2</c:v>
                </c:pt>
                <c:pt idx="4">
                  <c:v>6.0721062618595827E-2</c:v>
                </c:pt>
                <c:pt idx="5">
                  <c:v>2.6565464895635656E-2</c:v>
                </c:pt>
              </c:numCache>
            </c:numRef>
          </c:val>
        </c:ser>
        <c:ser>
          <c:idx val="2"/>
          <c:order val="2"/>
          <c:tx>
            <c:strRef>
              <c:f>PSC!$D$2</c:f>
              <c:strCache>
                <c:ptCount val="1"/>
                <c:pt idx="0">
                  <c:v>2014-2015</c:v>
                </c:pt>
              </c:strCache>
            </c:strRef>
          </c:tx>
          <c:spPr>
            <a:solidFill>
              <a:schemeClr val="accent5">
                <a:lumMod val="75000"/>
              </a:schemeClr>
            </a:solidFill>
          </c:spPr>
          <c:cat>
            <c:strRef>
              <c:f>PSC!$A$3:$A$8</c:f>
              <c:strCache>
                <c:ptCount val="6"/>
                <c:pt idx="0">
                  <c:v>30 days or less</c:v>
                </c:pt>
                <c:pt idx="1">
                  <c:v>31-60 days</c:v>
                </c:pt>
                <c:pt idx="2">
                  <c:v>61-120 days</c:v>
                </c:pt>
                <c:pt idx="3">
                  <c:v>121-180 days</c:v>
                </c:pt>
                <c:pt idx="4">
                  <c:v>181-365 days</c:v>
                </c:pt>
                <c:pt idx="5">
                  <c:v>More than 365 days</c:v>
                </c:pt>
              </c:strCache>
            </c:strRef>
          </c:cat>
          <c:val>
            <c:numRef>
              <c:f>PSC!$D$3:$D$8</c:f>
              <c:numCache>
                <c:formatCode>0.00%</c:formatCode>
                <c:ptCount val="6"/>
                <c:pt idx="0">
                  <c:v>0.63356164383561642</c:v>
                </c:pt>
                <c:pt idx="1">
                  <c:v>9.9315068493150804E-2</c:v>
                </c:pt>
                <c:pt idx="2">
                  <c:v>0.16780821917808228</c:v>
                </c:pt>
                <c:pt idx="3">
                  <c:v>5.8219178082191778E-2</c:v>
                </c:pt>
                <c:pt idx="4">
                  <c:v>3.0821917808219256E-2</c:v>
                </c:pt>
                <c:pt idx="5">
                  <c:v>1.0273972602739724E-2</c:v>
                </c:pt>
              </c:numCache>
            </c:numRef>
          </c:val>
        </c:ser>
        <c:dLbls/>
        <c:axId val="246735232"/>
        <c:axId val="246736768"/>
      </c:barChart>
      <c:catAx>
        <c:axId val="246735232"/>
        <c:scaling>
          <c:orientation val="minMax"/>
        </c:scaling>
        <c:axPos val="b"/>
        <c:numFmt formatCode="General" sourceLinked="0"/>
        <c:tickLblPos val="nextTo"/>
        <c:crossAx val="246736768"/>
        <c:crosses val="autoZero"/>
        <c:auto val="1"/>
        <c:lblAlgn val="ctr"/>
        <c:lblOffset val="100"/>
      </c:catAx>
      <c:valAx>
        <c:axId val="246736768"/>
        <c:scaling>
          <c:orientation val="minMax"/>
        </c:scaling>
        <c:axPos val="l"/>
        <c:majorGridlines/>
        <c:numFmt formatCode="0%" sourceLinked="0"/>
        <c:tickLblPos val="nextTo"/>
        <c:crossAx val="246735232"/>
        <c:crosses val="autoZero"/>
        <c:crossBetween val="between"/>
      </c:valAx>
    </c:plotArea>
    <c:legend>
      <c:legendPos val="b"/>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RCMP!$B$2</c:f>
              <c:strCache>
                <c:ptCount val="1"/>
                <c:pt idx="0">
                  <c:v>2012-2013</c:v>
                </c:pt>
              </c:strCache>
            </c:strRef>
          </c:tx>
          <c:spPr>
            <a:solidFill>
              <a:schemeClr val="bg1">
                <a:lumMod val="65000"/>
              </a:schemeClr>
            </a:solidFill>
          </c:spPr>
          <c:cat>
            <c:strRef>
              <c:f>RCMP!$A$3:$A$8</c:f>
              <c:strCache>
                <c:ptCount val="6"/>
                <c:pt idx="0">
                  <c:v>30 days or less</c:v>
                </c:pt>
                <c:pt idx="1">
                  <c:v>31-60 days</c:v>
                </c:pt>
                <c:pt idx="2">
                  <c:v>61-120 days</c:v>
                </c:pt>
                <c:pt idx="3">
                  <c:v>121-180 days</c:v>
                </c:pt>
                <c:pt idx="4">
                  <c:v>181-365 days</c:v>
                </c:pt>
                <c:pt idx="5">
                  <c:v>More than 365 days</c:v>
                </c:pt>
              </c:strCache>
            </c:strRef>
          </c:cat>
          <c:val>
            <c:numRef>
              <c:f>RCMP!$B$3:$B$8</c:f>
              <c:numCache>
                <c:formatCode>0.00%</c:formatCode>
                <c:ptCount val="6"/>
                <c:pt idx="0">
                  <c:v>0.35474006116208034</c:v>
                </c:pt>
                <c:pt idx="1">
                  <c:v>0.19673802242609634</c:v>
                </c:pt>
                <c:pt idx="2">
                  <c:v>0.20489296636085627</c:v>
                </c:pt>
                <c:pt idx="3">
                  <c:v>9.2762487257900109E-2</c:v>
                </c:pt>
                <c:pt idx="4">
                  <c:v>0.11722731906218156</c:v>
                </c:pt>
                <c:pt idx="5">
                  <c:v>3.3639143730886875E-2</c:v>
                </c:pt>
              </c:numCache>
            </c:numRef>
          </c:val>
        </c:ser>
        <c:ser>
          <c:idx val="1"/>
          <c:order val="1"/>
          <c:tx>
            <c:strRef>
              <c:f>RCMP!$C$2</c:f>
              <c:strCache>
                <c:ptCount val="1"/>
                <c:pt idx="0">
                  <c:v>2013-2014</c:v>
                </c:pt>
              </c:strCache>
            </c:strRef>
          </c:tx>
          <c:spPr>
            <a:solidFill>
              <a:srgbClr val="FFC000"/>
            </a:solidFill>
            <a:ln>
              <a:solidFill>
                <a:srgbClr val="FFC000"/>
              </a:solidFill>
            </a:ln>
          </c:spPr>
          <c:cat>
            <c:strRef>
              <c:f>RCMP!$A$3:$A$8</c:f>
              <c:strCache>
                <c:ptCount val="6"/>
                <c:pt idx="0">
                  <c:v>30 days or less</c:v>
                </c:pt>
                <c:pt idx="1">
                  <c:v>31-60 days</c:v>
                </c:pt>
                <c:pt idx="2">
                  <c:v>61-120 days</c:v>
                </c:pt>
                <c:pt idx="3">
                  <c:v>121-180 days</c:v>
                </c:pt>
                <c:pt idx="4">
                  <c:v>181-365 days</c:v>
                </c:pt>
                <c:pt idx="5">
                  <c:v>More than 365 days</c:v>
                </c:pt>
              </c:strCache>
            </c:strRef>
          </c:cat>
          <c:val>
            <c:numRef>
              <c:f>RCMP!$C$3:$C$8</c:f>
              <c:numCache>
                <c:formatCode>0.00%</c:formatCode>
                <c:ptCount val="6"/>
                <c:pt idx="0">
                  <c:v>0.29308323563892147</c:v>
                </c:pt>
                <c:pt idx="1">
                  <c:v>0.13188745603751464</c:v>
                </c:pt>
                <c:pt idx="2">
                  <c:v>0.12837045720984716</c:v>
                </c:pt>
                <c:pt idx="3">
                  <c:v>0.11090000000000005</c:v>
                </c:pt>
                <c:pt idx="4">
                  <c:v>0.25439624853458376</c:v>
                </c:pt>
                <c:pt idx="5">
                  <c:v>8.1600000000000047E-2</c:v>
                </c:pt>
              </c:numCache>
            </c:numRef>
          </c:val>
        </c:ser>
        <c:ser>
          <c:idx val="2"/>
          <c:order val="2"/>
          <c:tx>
            <c:strRef>
              <c:f>RCMP!$D$2</c:f>
              <c:strCache>
                <c:ptCount val="1"/>
                <c:pt idx="0">
                  <c:v>2014-2015</c:v>
                </c:pt>
              </c:strCache>
            </c:strRef>
          </c:tx>
          <c:spPr>
            <a:solidFill>
              <a:schemeClr val="accent5">
                <a:lumMod val="75000"/>
              </a:schemeClr>
            </a:solidFill>
          </c:spPr>
          <c:cat>
            <c:strRef>
              <c:f>RCMP!$A$3:$A$8</c:f>
              <c:strCache>
                <c:ptCount val="6"/>
                <c:pt idx="0">
                  <c:v>30 days or less</c:v>
                </c:pt>
                <c:pt idx="1">
                  <c:v>31-60 days</c:v>
                </c:pt>
                <c:pt idx="2">
                  <c:v>61-120 days</c:v>
                </c:pt>
                <c:pt idx="3">
                  <c:v>121-180 days</c:v>
                </c:pt>
                <c:pt idx="4">
                  <c:v>181-365 days</c:v>
                </c:pt>
                <c:pt idx="5">
                  <c:v>More than 365 days</c:v>
                </c:pt>
              </c:strCache>
            </c:strRef>
          </c:cat>
          <c:val>
            <c:numRef>
              <c:f>RCMP!$D$3:$D$8</c:f>
              <c:numCache>
                <c:formatCode>0.00%</c:formatCode>
                <c:ptCount val="6"/>
                <c:pt idx="0">
                  <c:v>0.59952324195470663</c:v>
                </c:pt>
                <c:pt idx="1">
                  <c:v>0.14153754469606691</c:v>
                </c:pt>
                <c:pt idx="2">
                  <c:v>0.10548271752085817</c:v>
                </c:pt>
                <c:pt idx="3">
                  <c:v>3.1585220500596006E-2</c:v>
                </c:pt>
                <c:pt idx="4">
                  <c:v>7.3003575685339703E-2</c:v>
                </c:pt>
                <c:pt idx="5">
                  <c:v>4.886769964243174E-2</c:v>
                </c:pt>
              </c:numCache>
            </c:numRef>
          </c:val>
        </c:ser>
        <c:dLbls/>
        <c:axId val="217891584"/>
        <c:axId val="217893120"/>
      </c:barChart>
      <c:catAx>
        <c:axId val="217891584"/>
        <c:scaling>
          <c:orientation val="minMax"/>
        </c:scaling>
        <c:axPos val="b"/>
        <c:numFmt formatCode="General" sourceLinked="0"/>
        <c:tickLblPos val="nextTo"/>
        <c:crossAx val="217893120"/>
        <c:crosses val="autoZero"/>
        <c:auto val="1"/>
        <c:lblAlgn val="ctr"/>
        <c:lblOffset val="100"/>
      </c:catAx>
      <c:valAx>
        <c:axId val="217893120"/>
        <c:scaling>
          <c:orientation val="minMax"/>
        </c:scaling>
        <c:axPos val="l"/>
        <c:majorGridlines/>
        <c:numFmt formatCode="0%" sourceLinked="0"/>
        <c:tickLblPos val="nextTo"/>
        <c:crossAx val="217891584"/>
        <c:crosses val="autoZero"/>
        <c:crossBetween val="between"/>
      </c:valAx>
    </c:plotArea>
    <c:legend>
      <c:legendPos val="b"/>
    </c:legend>
    <c:plotVisOnly val="1"/>
    <c:dispBlanksAs val="gap"/>
  </c:chart>
  <c:txPr>
    <a:bodyPr/>
    <a:lstStyle/>
    <a:p>
      <a:pPr>
        <a:defRPr sz="1100"/>
      </a:pPr>
      <a:endParaRPr lang="en-US"/>
    </a:p>
  </c:txPr>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PSC!$B$30</c:f>
              <c:strCache>
                <c:ptCount val="1"/>
                <c:pt idx="0">
                  <c:v>2012-2013</c:v>
                </c:pt>
              </c:strCache>
            </c:strRef>
          </c:tx>
          <c:spPr>
            <a:solidFill>
              <a:schemeClr val="bg1">
                <a:lumMod val="65000"/>
              </a:schemeClr>
            </a:solidFill>
          </c:spPr>
          <c:cat>
            <c:strRef>
              <c:f>PSC!$A$31:$A$36</c:f>
              <c:strCache>
                <c:ptCount val="6"/>
                <c:pt idx="0">
                  <c:v> 30 days or less</c:v>
                </c:pt>
                <c:pt idx="1">
                  <c:v>31-60 days</c:v>
                </c:pt>
                <c:pt idx="2">
                  <c:v>61-120 days </c:v>
                </c:pt>
                <c:pt idx="3">
                  <c:v>121-180 days </c:v>
                </c:pt>
                <c:pt idx="4">
                  <c:v>181-365 days </c:v>
                </c:pt>
                <c:pt idx="5">
                  <c:v>More than 365 days </c:v>
                </c:pt>
              </c:strCache>
            </c:strRef>
          </c:cat>
          <c:val>
            <c:numRef>
              <c:f>PSC!$B$31:$B$36</c:f>
              <c:numCache>
                <c:formatCode>0.00%</c:formatCode>
                <c:ptCount val="6"/>
                <c:pt idx="0">
                  <c:v>0.22535211267605632</c:v>
                </c:pt>
                <c:pt idx="1">
                  <c:v>0.25821596244131423</c:v>
                </c:pt>
                <c:pt idx="2">
                  <c:v>0.28169014084507044</c:v>
                </c:pt>
                <c:pt idx="3">
                  <c:v>0.12206572769953068</c:v>
                </c:pt>
                <c:pt idx="4">
                  <c:v>0.11267605633802817</c:v>
                </c:pt>
                <c:pt idx="5">
                  <c:v>0</c:v>
                </c:pt>
              </c:numCache>
            </c:numRef>
          </c:val>
        </c:ser>
        <c:ser>
          <c:idx val="1"/>
          <c:order val="1"/>
          <c:tx>
            <c:strRef>
              <c:f>PSC!$C$30</c:f>
              <c:strCache>
                <c:ptCount val="1"/>
                <c:pt idx="0">
                  <c:v>2013-2014</c:v>
                </c:pt>
              </c:strCache>
            </c:strRef>
          </c:tx>
          <c:spPr>
            <a:solidFill>
              <a:srgbClr val="FFC000"/>
            </a:solidFill>
          </c:spPr>
          <c:cat>
            <c:strRef>
              <c:f>PSC!$A$31:$A$36</c:f>
              <c:strCache>
                <c:ptCount val="6"/>
                <c:pt idx="0">
                  <c:v> 30 days or less</c:v>
                </c:pt>
                <c:pt idx="1">
                  <c:v>31-60 days</c:v>
                </c:pt>
                <c:pt idx="2">
                  <c:v>61-120 days </c:v>
                </c:pt>
                <c:pt idx="3">
                  <c:v>121-180 days </c:v>
                </c:pt>
                <c:pt idx="4">
                  <c:v>181-365 days </c:v>
                </c:pt>
                <c:pt idx="5">
                  <c:v>More than 365 days </c:v>
                </c:pt>
              </c:strCache>
            </c:strRef>
          </c:cat>
          <c:val>
            <c:numRef>
              <c:f>PSC!$C$31:$C$36</c:f>
              <c:numCache>
                <c:formatCode>0.00%</c:formatCode>
                <c:ptCount val="6"/>
                <c:pt idx="0">
                  <c:v>0.16517857142857087</c:v>
                </c:pt>
                <c:pt idx="1">
                  <c:v>0.29910714285714285</c:v>
                </c:pt>
                <c:pt idx="2">
                  <c:v>0.24107142857142913</c:v>
                </c:pt>
                <c:pt idx="3">
                  <c:v>0.25446428571428664</c:v>
                </c:pt>
                <c:pt idx="4">
                  <c:v>3.5714285714285712E-2</c:v>
                </c:pt>
                <c:pt idx="5">
                  <c:v>4.464285714285714E-3</c:v>
                </c:pt>
              </c:numCache>
            </c:numRef>
          </c:val>
        </c:ser>
        <c:ser>
          <c:idx val="2"/>
          <c:order val="2"/>
          <c:tx>
            <c:strRef>
              <c:f>PSC!$D$30</c:f>
              <c:strCache>
                <c:ptCount val="1"/>
                <c:pt idx="0">
                  <c:v>2014-2015</c:v>
                </c:pt>
              </c:strCache>
            </c:strRef>
          </c:tx>
          <c:spPr>
            <a:solidFill>
              <a:schemeClr val="accent5">
                <a:lumMod val="75000"/>
              </a:schemeClr>
            </a:solidFill>
          </c:spPr>
          <c:cat>
            <c:strRef>
              <c:f>PSC!$A$31:$A$36</c:f>
              <c:strCache>
                <c:ptCount val="6"/>
                <c:pt idx="0">
                  <c:v> 30 days or less</c:v>
                </c:pt>
                <c:pt idx="1">
                  <c:v>31-60 days</c:v>
                </c:pt>
                <c:pt idx="2">
                  <c:v>61-120 days </c:v>
                </c:pt>
                <c:pt idx="3">
                  <c:v>121-180 days </c:v>
                </c:pt>
                <c:pt idx="4">
                  <c:v>181-365 days </c:v>
                </c:pt>
                <c:pt idx="5">
                  <c:v>More than 365 days </c:v>
                </c:pt>
              </c:strCache>
            </c:strRef>
          </c:cat>
          <c:val>
            <c:numRef>
              <c:f>PSC!$D$31:$D$36</c:f>
              <c:numCache>
                <c:formatCode>0.00%</c:formatCode>
                <c:ptCount val="6"/>
                <c:pt idx="0">
                  <c:v>0.18881118881118941</c:v>
                </c:pt>
                <c:pt idx="1">
                  <c:v>0.39860139860139859</c:v>
                </c:pt>
                <c:pt idx="2">
                  <c:v>0.29370629370629381</c:v>
                </c:pt>
                <c:pt idx="3">
                  <c:v>5.5944055944055895E-2</c:v>
                </c:pt>
                <c:pt idx="4">
                  <c:v>4.8951048951048973E-2</c:v>
                </c:pt>
                <c:pt idx="5">
                  <c:v>1.3986013986013989E-2</c:v>
                </c:pt>
              </c:numCache>
            </c:numRef>
          </c:val>
        </c:ser>
        <c:dLbls/>
        <c:axId val="247365632"/>
        <c:axId val="247367168"/>
      </c:barChart>
      <c:catAx>
        <c:axId val="247365632"/>
        <c:scaling>
          <c:orientation val="minMax"/>
        </c:scaling>
        <c:axPos val="b"/>
        <c:numFmt formatCode="General" sourceLinked="0"/>
        <c:tickLblPos val="nextTo"/>
        <c:crossAx val="247367168"/>
        <c:crosses val="autoZero"/>
        <c:auto val="1"/>
        <c:lblAlgn val="ctr"/>
        <c:lblOffset val="100"/>
      </c:catAx>
      <c:valAx>
        <c:axId val="247367168"/>
        <c:scaling>
          <c:orientation val="minMax"/>
        </c:scaling>
        <c:axPos val="l"/>
        <c:majorGridlines/>
        <c:numFmt formatCode="0%" sourceLinked="0"/>
        <c:tickLblPos val="nextTo"/>
        <c:crossAx val="247365632"/>
        <c:crosses val="autoZero"/>
        <c:crossBetween val="between"/>
      </c:valAx>
    </c:plotArea>
    <c:legend>
      <c:legendPos val="b"/>
    </c:legend>
    <c:plotVisOnly val="1"/>
    <c:dispBlanksAs val="gap"/>
  </c:chart>
  <c:externalData r:id="rId1"/>
</c:chartSpace>
</file>

<file path=word/charts/chart91.xml><?xml version="1.0" encoding="utf-8"?>
<c:chartSpace xmlns:c="http://schemas.openxmlformats.org/drawingml/2006/chart" xmlns:a="http://schemas.openxmlformats.org/drawingml/2006/main" xmlns:r="http://schemas.openxmlformats.org/officeDocument/2006/relationships">
  <c:lang val="en-CA"/>
  <c:chart>
    <c:autoTitleDeleted val="1"/>
    <c:plotArea>
      <c:layout/>
      <c:barChart>
        <c:barDir val="col"/>
        <c:grouping val="clustered"/>
        <c:ser>
          <c:idx val="0"/>
          <c:order val="0"/>
          <c:tx>
            <c:strRef>
              <c:f>PSC!$B$62</c:f>
              <c:strCache>
                <c:ptCount val="1"/>
                <c:pt idx="0">
                  <c:v>2012-2013</c:v>
                </c:pt>
              </c:strCache>
            </c:strRef>
          </c:tx>
          <c:spPr>
            <a:solidFill>
              <a:schemeClr val="bg1">
                <a:lumMod val="65000"/>
              </a:schemeClr>
            </a:solidFill>
          </c:spPr>
          <c:cat>
            <c:strRef>
              <c:f>PSC!$A$63:$A$64</c:f>
              <c:strCache>
                <c:ptCount val="2"/>
                <c:pt idx="0">
                  <c:v>All disclosed </c:v>
                </c:pt>
                <c:pt idx="1">
                  <c:v>Disclosed in part </c:v>
                </c:pt>
              </c:strCache>
            </c:strRef>
          </c:cat>
          <c:val>
            <c:numRef>
              <c:f>PSC!$B$63:$B$64</c:f>
              <c:numCache>
                <c:formatCode>0.00%</c:formatCode>
                <c:ptCount val="2"/>
                <c:pt idx="0">
                  <c:v>6.694560669456065E-2</c:v>
                </c:pt>
                <c:pt idx="1">
                  <c:v>0.42259414225941438</c:v>
                </c:pt>
              </c:numCache>
            </c:numRef>
          </c:val>
        </c:ser>
        <c:ser>
          <c:idx val="1"/>
          <c:order val="1"/>
          <c:tx>
            <c:strRef>
              <c:f>PSC!$C$62</c:f>
              <c:strCache>
                <c:ptCount val="1"/>
                <c:pt idx="0">
                  <c:v>2013-2014</c:v>
                </c:pt>
              </c:strCache>
            </c:strRef>
          </c:tx>
          <c:spPr>
            <a:solidFill>
              <a:srgbClr val="FFC000"/>
            </a:solidFill>
          </c:spPr>
          <c:cat>
            <c:strRef>
              <c:f>PSC!$A$63:$A$64</c:f>
              <c:strCache>
                <c:ptCount val="2"/>
                <c:pt idx="0">
                  <c:v>All disclosed </c:v>
                </c:pt>
                <c:pt idx="1">
                  <c:v>Disclosed in part </c:v>
                </c:pt>
              </c:strCache>
            </c:strRef>
          </c:cat>
          <c:val>
            <c:numRef>
              <c:f>PSC!$C$63:$C$64</c:f>
              <c:numCache>
                <c:formatCode>0.00%</c:formatCode>
                <c:ptCount val="2"/>
                <c:pt idx="0">
                  <c:v>6.8311195445920334E-2</c:v>
                </c:pt>
                <c:pt idx="1">
                  <c:v>0.4648956356736243</c:v>
                </c:pt>
              </c:numCache>
            </c:numRef>
          </c:val>
        </c:ser>
        <c:ser>
          <c:idx val="2"/>
          <c:order val="2"/>
          <c:tx>
            <c:strRef>
              <c:f>PSC!$D$62</c:f>
              <c:strCache>
                <c:ptCount val="1"/>
                <c:pt idx="0">
                  <c:v>2014-2015</c:v>
                </c:pt>
              </c:strCache>
            </c:strRef>
          </c:tx>
          <c:spPr>
            <a:solidFill>
              <a:schemeClr val="accent5">
                <a:lumMod val="75000"/>
              </a:schemeClr>
            </a:solidFill>
          </c:spPr>
          <c:cat>
            <c:strRef>
              <c:f>PSC!$A$63:$A$64</c:f>
              <c:strCache>
                <c:ptCount val="2"/>
                <c:pt idx="0">
                  <c:v>All disclosed </c:v>
                </c:pt>
                <c:pt idx="1">
                  <c:v>Disclosed in part </c:v>
                </c:pt>
              </c:strCache>
            </c:strRef>
          </c:cat>
          <c:val>
            <c:numRef>
              <c:f>PSC!$D$63:$D$64</c:f>
              <c:numCache>
                <c:formatCode>0.00%</c:formatCode>
                <c:ptCount val="2"/>
                <c:pt idx="0">
                  <c:v>0.10616438356164414</c:v>
                </c:pt>
                <c:pt idx="1">
                  <c:v>0.56164383561644005</c:v>
                </c:pt>
              </c:numCache>
            </c:numRef>
          </c:val>
        </c:ser>
        <c:dLbls/>
        <c:axId val="247537024"/>
        <c:axId val="247551104"/>
      </c:barChart>
      <c:catAx>
        <c:axId val="247537024"/>
        <c:scaling>
          <c:orientation val="minMax"/>
        </c:scaling>
        <c:axPos val="b"/>
        <c:numFmt formatCode="General" sourceLinked="0"/>
        <c:tickLblPos val="nextTo"/>
        <c:crossAx val="247551104"/>
        <c:crosses val="autoZero"/>
        <c:auto val="1"/>
        <c:lblAlgn val="ctr"/>
        <c:lblOffset val="100"/>
      </c:catAx>
      <c:valAx>
        <c:axId val="247551104"/>
        <c:scaling>
          <c:orientation val="minMax"/>
        </c:scaling>
        <c:axPos val="l"/>
        <c:majorGridlines/>
        <c:numFmt formatCode="0%" sourceLinked="0"/>
        <c:tickLblPos val="nextTo"/>
        <c:crossAx val="247537024"/>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EF22-DCC8-4DA0-8E17-A55F9DB98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17850</Words>
  <Characters>101747</Characters>
  <Application>Microsoft Office Word</Application>
  <DocSecurity>0</DocSecurity>
  <Lines>847</Lines>
  <Paragraphs>238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Office of the Information Commissioner of Canada</Company>
  <LinksUpToDate>false</LinksUpToDate>
  <CharactersWithSpaces>119359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Bourdeau</dc:creator>
  <cp:lastModifiedBy>mduguay</cp:lastModifiedBy>
  <cp:revision>2</cp:revision>
  <cp:lastPrinted>2017-02-22T19:28:00Z</cp:lastPrinted>
  <dcterms:created xsi:type="dcterms:W3CDTF">2017-03-03T19:18:00Z</dcterms:created>
  <dcterms:modified xsi:type="dcterms:W3CDTF">2017-03-03T19:18:00Z</dcterms:modified>
</cp:coreProperties>
</file>